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版本号：KY2025-1-72320250716001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北校区部分排污管道改造项目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KY2025-1-723</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北校区部分排污管道改造项目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KY2025-1-723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北校区部分排污管道改造项目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理工大学北校区部分排污管道改造项目，1项。北校区部分排污管道改造；主要功能或目标:北区部分排污管道改造(管网长度约700米)；需满足的要求:将污水引入至校园南门西侧已有勉县市政污水管网内部。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采购包1（陕西理工大学北校区部分排污管道改造项目）：属于专门面向中小企业采购。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1、企业资质：供应商应具备建设行政主管部门颁发合法有效的市政公用工程施工总承包三级及以上资质，且具备合法有效的安全生产许可证。</w:t>
      </w:r>
    </w:p>
    <w:p>
      <w:pPr>
        <w:pStyle w:val="null3"/>
      </w:pPr>
      <w:r>
        <w:rPr>
          <w:rFonts w:ascii="仿宋_GB2312" w:hAnsi="仿宋_GB2312" w:cs="仿宋_GB2312" w:eastAsia="仿宋_GB2312"/>
        </w:rPr>
        <w:t>2、项目负责人资质：拟派项目经理具备合法有效的市政公用工程专业二级及以上注册建造师资格和安全生产考核合格证，且无其他在建工程（提供无在建工程的承诺函）。</w:t>
      </w:r>
    </w:p>
    <w:p>
      <w:pPr>
        <w:pStyle w:val="null3"/>
      </w:pPr>
      <w:r>
        <w:rPr>
          <w:rFonts w:ascii="仿宋_GB2312" w:hAnsi="仿宋_GB2312" w:cs="仿宋_GB2312" w:eastAsia="仿宋_GB2312"/>
        </w:rPr>
        <w:t>3、法定代表人授权书：法定代表人授权书及被授权人身份证明。（法定代表人直接投标只须提供其身份证明）</w:t>
      </w:r>
    </w:p>
    <w:p>
      <w:pPr>
        <w:pStyle w:val="null3"/>
      </w:pPr>
      <w:r>
        <w:rPr>
          <w:rFonts w:ascii="仿宋_GB2312" w:hAnsi="仿宋_GB2312" w:cs="仿宋_GB2312" w:eastAsia="仿宋_GB2312"/>
        </w:rPr>
        <w:t>4、其他要求：供应商及其拟派项目经理相关信息须在“陕西省住房和城乡建设厅”官方网站可查询。</w:t>
      </w:r>
    </w:p>
    <w:p>
      <w:pPr>
        <w:pStyle w:val="null3"/>
      </w:pPr>
      <w:r>
        <w:rPr>
          <w:rFonts w:ascii="仿宋_GB2312" w:hAnsi="仿宋_GB2312" w:cs="仿宋_GB2312" w:eastAsia="仿宋_GB2312"/>
        </w:rPr>
        <w:t>5、中小企业声明：本项目专门面向中小企业采购，供应商须为中小企业，并提供声明函。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采购包1：842,747.43元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银行账号：86113010750181502000169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说明：中标/成交供应商在与采购人签订合同前，须缴纳履约保证金；履约保证金金额为成交金额的3%。待验收合格后，履约保证金予转为质保金，质保期满后无质量服务问题予以退还(无息)。</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成交金额向采购代理机构交纳成交服务费，交费金额参照国家计委颁布的《招标代理服务收费管理暂行办法》（计价格[2002]1980号）及发改办价格[2003]857号文件的规定标准，30万-100万(含)项目，代理费按《招标代理服务收费暂行办法》(计价格〔2002〕1980号)的80%计收。 2、本项目成交服务费按工程计取。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踏勘时间：2025-07-24 10:00:00</w:t>
            </w:r>
          </w:p>
          <w:p>
            <w:pPr>
              <w:pStyle w:val="null3"/>
              <w:ind w:firstLine="975"/>
            </w:pPr>
            <w:r>
              <w:rPr>
                <w:rFonts w:ascii="仿宋_GB2312" w:hAnsi="仿宋_GB2312" w:cs="仿宋_GB2312" w:eastAsia="仿宋_GB2312"/>
              </w:rPr>
              <w:t>踏勘地点：陕西理工大学北校区门前集合</w:t>
            </w:r>
          </w:p>
          <w:p>
            <w:pPr>
              <w:pStyle w:val="null3"/>
              <w:ind w:firstLine="975"/>
            </w:pPr>
            <w:r>
              <w:rPr>
                <w:rFonts w:ascii="仿宋_GB2312" w:hAnsi="仿宋_GB2312" w:cs="仿宋_GB2312" w:eastAsia="仿宋_GB2312"/>
              </w:rPr>
              <w:t>联系人：吕老师</w:t>
            </w:r>
          </w:p>
          <w:p>
            <w:pPr>
              <w:pStyle w:val="null3"/>
              <w:ind w:firstLine="975"/>
            </w:pPr>
            <w:r>
              <w:rPr>
                <w:rFonts w:ascii="仿宋_GB2312" w:hAnsi="仿宋_GB2312" w:cs="仿宋_GB2312" w:eastAsia="仿宋_GB2312"/>
              </w:rPr>
              <w:t>联系电话号码：15091619001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联系人：杭琨、刘金柯</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842,747.43</w:t>
      </w:r>
    </w:p>
    <w:p>
      <w:pPr>
        <w:pStyle w:val="null3"/>
      </w:pPr>
      <w:r>
        <w:rPr>
          <w:rFonts w:ascii="仿宋_GB2312" w:hAnsi="仿宋_GB2312" w:cs="仿宋_GB2312" w:eastAsia="仿宋_GB2312"/>
        </w:rPr>
        <w:t>采购包最高限价（元）: 842,747.43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排污管道改造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842,747.43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标的名称：排污管道改造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、清单编制依据：</w:t>
            </w:r>
          </w:p>
          <w:p>
            <w:pPr>
              <w:pStyle w:val="null3"/>
              <w:ind w:firstLine="482"/>
              <w:jc w:val="both"/>
            </w:pPr>
            <w:r>
              <w:rPr>
                <w:rFonts w:ascii="仿宋_GB2312" w:hAnsi="仿宋_GB2312" w:cs="仿宋_GB2312" w:eastAsia="仿宋_GB2312"/>
                <w:sz w:val="24"/>
                <w:b/>
              </w:rPr>
              <w:t>一、项目概况</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、项目名称：陕西理工大学陕西理工大学北校区部分排污管道改造项目</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、建设单位：陕西理工大学</w:t>
            </w:r>
          </w:p>
          <w:p>
            <w:pPr>
              <w:pStyle w:val="null3"/>
              <w:ind w:firstLine="480"/>
              <w:jc w:val="both"/>
            </w:pPr>
            <w:r>
              <w:rPr>
                <w:rFonts w:ascii="仿宋_GB2312" w:hAnsi="仿宋_GB2312" w:cs="仿宋_GB2312" w:eastAsia="仿宋_GB2312"/>
                <w:sz w:val="24"/>
                <w:b/>
              </w:rPr>
              <w:t>二、编制范围：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、本工程位于陕西理工大学北校区内；</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、建设内容主要为：北校区</w:t>
            </w:r>
            <w:r>
              <w:rPr>
                <w:rFonts w:ascii="仿宋_GB2312" w:hAnsi="仿宋_GB2312" w:cs="仿宋_GB2312" w:eastAsia="仿宋_GB2312"/>
                <w:sz w:val="24"/>
              </w:rPr>
              <w:t>7</w:t>
            </w:r>
            <w:r>
              <w:rPr>
                <w:rFonts w:ascii="仿宋_GB2312" w:hAnsi="仿宋_GB2312" w:cs="仿宋_GB2312" w:eastAsia="仿宋_GB2312"/>
                <w:sz w:val="24"/>
              </w:rPr>
              <w:t>处污水进行收集，</w:t>
            </w:r>
            <w:r>
              <w:rPr>
                <w:rFonts w:ascii="仿宋_GB2312" w:hAnsi="仿宋_GB2312" w:cs="仿宋_GB2312" w:eastAsia="仿宋_GB2312"/>
                <w:sz w:val="24"/>
              </w:rPr>
              <w:t>DN500</w:t>
            </w:r>
            <w:r>
              <w:rPr>
                <w:rFonts w:ascii="仿宋_GB2312" w:hAnsi="仿宋_GB2312" w:cs="仿宋_GB2312" w:eastAsia="仿宋_GB2312"/>
                <w:sz w:val="24"/>
              </w:rPr>
              <w:t>污水管网</w:t>
            </w:r>
            <w:r>
              <w:rPr>
                <w:rFonts w:ascii="仿宋_GB2312" w:hAnsi="仿宋_GB2312" w:cs="仿宋_GB2312" w:eastAsia="仿宋_GB2312"/>
                <w:sz w:val="24"/>
              </w:rPr>
              <w:t>446m</w:t>
            </w:r>
            <w:r>
              <w:rPr>
                <w:rFonts w:ascii="仿宋_GB2312" w:hAnsi="仿宋_GB2312" w:cs="仿宋_GB2312" w:eastAsia="仿宋_GB2312"/>
                <w:sz w:val="24"/>
              </w:rPr>
              <w:t>，</w:t>
            </w:r>
            <w:r>
              <w:rPr>
                <w:rFonts w:ascii="仿宋_GB2312" w:hAnsi="仿宋_GB2312" w:cs="仿宋_GB2312" w:eastAsia="仿宋_GB2312"/>
                <w:sz w:val="24"/>
              </w:rPr>
              <w:t>DN300</w:t>
            </w:r>
            <w:r>
              <w:rPr>
                <w:rFonts w:ascii="仿宋_GB2312" w:hAnsi="仿宋_GB2312" w:cs="仿宋_GB2312" w:eastAsia="仿宋_GB2312"/>
                <w:sz w:val="24"/>
              </w:rPr>
              <w:t>污水管网</w:t>
            </w:r>
            <w:r>
              <w:rPr>
                <w:rFonts w:ascii="仿宋_GB2312" w:hAnsi="仿宋_GB2312" w:cs="仿宋_GB2312" w:eastAsia="仿宋_GB2312"/>
                <w:sz w:val="24"/>
              </w:rPr>
              <w:t>228m</w:t>
            </w:r>
            <w:r>
              <w:rPr>
                <w:rFonts w:ascii="仿宋_GB2312" w:hAnsi="仿宋_GB2312" w:cs="仿宋_GB2312" w:eastAsia="仿宋_GB2312"/>
                <w:sz w:val="24"/>
              </w:rPr>
              <w:t>，φ</w:t>
            </w:r>
            <w:r>
              <w:rPr>
                <w:rFonts w:ascii="仿宋_GB2312" w:hAnsi="仿宋_GB2312" w:cs="仿宋_GB2312" w:eastAsia="仿宋_GB2312"/>
                <w:sz w:val="24"/>
              </w:rPr>
              <w:t>1000mm</w:t>
            </w:r>
            <w:r>
              <w:rPr>
                <w:rFonts w:ascii="仿宋_GB2312" w:hAnsi="仿宋_GB2312" w:cs="仿宋_GB2312" w:eastAsia="仿宋_GB2312"/>
                <w:sz w:val="24"/>
              </w:rPr>
              <w:t>检查井</w:t>
            </w:r>
            <w:r>
              <w:rPr>
                <w:rFonts w:ascii="仿宋_GB2312" w:hAnsi="仿宋_GB2312" w:cs="仿宋_GB2312" w:eastAsia="仿宋_GB2312"/>
                <w:sz w:val="24"/>
              </w:rPr>
              <w:t>15</w:t>
            </w:r>
            <w:r>
              <w:rPr>
                <w:rFonts w:ascii="仿宋_GB2312" w:hAnsi="仿宋_GB2312" w:cs="仿宋_GB2312" w:eastAsia="仿宋_GB2312"/>
                <w:sz w:val="24"/>
              </w:rPr>
              <w:t>座，φ</w:t>
            </w:r>
            <w:r>
              <w:rPr>
                <w:rFonts w:ascii="仿宋_GB2312" w:hAnsi="仿宋_GB2312" w:cs="仿宋_GB2312" w:eastAsia="仿宋_GB2312"/>
                <w:sz w:val="24"/>
              </w:rPr>
              <w:t>1000mm</w:t>
            </w:r>
            <w:r>
              <w:rPr>
                <w:rFonts w:ascii="仿宋_GB2312" w:hAnsi="仿宋_GB2312" w:cs="仿宋_GB2312" w:eastAsia="仿宋_GB2312"/>
                <w:sz w:val="24"/>
              </w:rPr>
              <w:t>沉泥井</w:t>
            </w:r>
            <w:r>
              <w:rPr>
                <w:rFonts w:ascii="仿宋_GB2312" w:hAnsi="仿宋_GB2312" w:cs="仿宋_GB2312" w:eastAsia="仿宋_GB2312"/>
                <w:sz w:val="24"/>
              </w:rPr>
              <w:t>3</w:t>
            </w:r>
            <w:r>
              <w:rPr>
                <w:rFonts w:ascii="仿宋_GB2312" w:hAnsi="仿宋_GB2312" w:cs="仿宋_GB2312" w:eastAsia="仿宋_GB2312"/>
                <w:sz w:val="24"/>
              </w:rPr>
              <w:t>座，</w:t>
            </w:r>
            <w:r>
              <w:rPr>
                <w:rFonts w:ascii="仿宋_GB2312" w:hAnsi="仿宋_GB2312" w:cs="仿宋_GB2312" w:eastAsia="仿宋_GB2312"/>
                <w:sz w:val="24"/>
              </w:rPr>
              <w:t>700*700</w:t>
            </w:r>
            <w:r>
              <w:rPr>
                <w:rFonts w:ascii="仿宋_GB2312" w:hAnsi="仿宋_GB2312" w:cs="仿宋_GB2312" w:eastAsia="仿宋_GB2312"/>
                <w:sz w:val="24"/>
              </w:rPr>
              <w:t>方型检查井</w:t>
            </w:r>
            <w:r>
              <w:rPr>
                <w:rFonts w:ascii="仿宋_GB2312" w:hAnsi="仿宋_GB2312" w:cs="仿宋_GB2312" w:eastAsia="仿宋_GB2312"/>
                <w:sz w:val="24"/>
              </w:rPr>
              <w:t>7</w:t>
            </w:r>
            <w:r>
              <w:rPr>
                <w:rFonts w:ascii="仿宋_GB2312" w:hAnsi="仿宋_GB2312" w:cs="仿宋_GB2312" w:eastAsia="仿宋_GB2312"/>
                <w:sz w:val="24"/>
              </w:rPr>
              <w:t>座，混凝土路面破除及恢复</w:t>
            </w:r>
            <w:r>
              <w:rPr>
                <w:rFonts w:ascii="仿宋_GB2312" w:hAnsi="仿宋_GB2312" w:cs="仿宋_GB2312" w:eastAsia="仿宋_GB2312"/>
                <w:sz w:val="24"/>
              </w:rPr>
              <w:t>566</w:t>
            </w:r>
            <w:r>
              <w:rPr>
                <w:rFonts w:ascii="仿宋_GB2312" w:hAnsi="仿宋_GB2312" w:cs="仿宋_GB2312" w:eastAsia="仿宋_GB2312"/>
                <w:sz w:val="24"/>
              </w:rPr>
              <w:t>㎡，沥青路面破除及恢复</w:t>
            </w:r>
            <w:r>
              <w:rPr>
                <w:rFonts w:ascii="仿宋_GB2312" w:hAnsi="仿宋_GB2312" w:cs="仿宋_GB2312" w:eastAsia="仿宋_GB2312"/>
                <w:sz w:val="24"/>
              </w:rPr>
              <w:t>1416.4</w:t>
            </w:r>
            <w:r>
              <w:rPr>
                <w:rFonts w:ascii="仿宋_GB2312" w:hAnsi="仿宋_GB2312" w:cs="仿宋_GB2312" w:eastAsia="仿宋_GB2312"/>
                <w:sz w:val="24"/>
              </w:rPr>
              <w:t>㎡，预制管沟盖板</w:t>
            </w:r>
            <w:r>
              <w:rPr>
                <w:rFonts w:ascii="仿宋_GB2312" w:hAnsi="仿宋_GB2312" w:cs="仿宋_GB2312" w:eastAsia="仿宋_GB2312"/>
                <w:sz w:val="24"/>
              </w:rPr>
              <w:t>26m</w:t>
            </w:r>
            <w:r>
              <w:rPr>
                <w:rFonts w:ascii="仿宋_GB2312" w:hAnsi="仿宋_GB2312" w:cs="仿宋_GB2312" w:eastAsia="仿宋_GB2312"/>
                <w:sz w:val="24"/>
              </w:rPr>
              <w:t>等内容。</w:t>
            </w:r>
          </w:p>
          <w:p>
            <w:pPr>
              <w:pStyle w:val="null3"/>
              <w:ind w:firstLine="482"/>
            </w:pPr>
            <w:r>
              <w:rPr>
                <w:rFonts w:ascii="仿宋_GB2312" w:hAnsi="仿宋_GB2312" w:cs="仿宋_GB2312" w:eastAsia="仿宋_GB2312"/>
                <w:sz w:val="24"/>
                <w:b/>
              </w:rPr>
              <w:t>三、编制依据</w:t>
            </w:r>
          </w:p>
          <w:p>
            <w:pPr>
              <w:pStyle w:val="null3"/>
              <w:ind w:firstLine="482"/>
            </w:pPr>
            <w:r>
              <w:rPr>
                <w:rFonts w:ascii="仿宋_GB2312" w:hAnsi="仿宋_GB2312" w:cs="仿宋_GB2312" w:eastAsia="仿宋_GB2312"/>
                <w:sz w:val="24"/>
              </w:rPr>
              <w:t>1、《陕西省建设工程工程量清单计价标准及计算标准》</w:t>
            </w:r>
            <w:r>
              <w:rPr>
                <w:rFonts w:ascii="仿宋_GB2312" w:hAnsi="仿宋_GB2312" w:cs="仿宋_GB2312" w:eastAsia="仿宋_GB2312"/>
                <w:sz w:val="24"/>
              </w:rPr>
              <w:t>(2025)</w:t>
            </w:r>
            <w:r>
              <w:rPr>
                <w:rFonts w:ascii="仿宋_GB2312" w:hAnsi="仿宋_GB2312" w:cs="仿宋_GB2312" w:eastAsia="仿宋_GB2312"/>
                <w:sz w:val="24"/>
              </w:rPr>
              <w:t>，《陕西省房屋建筑与装饰工程工程量计算标准》（</w:t>
            </w:r>
            <w:r>
              <w:rPr>
                <w:rFonts w:ascii="仿宋_GB2312" w:hAnsi="仿宋_GB2312" w:cs="仿宋_GB2312" w:eastAsia="仿宋_GB2312"/>
                <w:sz w:val="24"/>
              </w:rPr>
              <w:t>2025</w:t>
            </w:r>
            <w:r>
              <w:rPr>
                <w:rFonts w:ascii="仿宋_GB2312" w:hAnsi="仿宋_GB2312" w:cs="仿宋_GB2312" w:eastAsia="仿宋_GB2312"/>
                <w:sz w:val="24"/>
              </w:rPr>
              <w:t>），《陕西省建设工程费用规则》（</w:t>
            </w:r>
            <w:r>
              <w:rPr>
                <w:rFonts w:ascii="仿宋_GB2312" w:hAnsi="仿宋_GB2312" w:cs="仿宋_GB2312" w:eastAsia="仿宋_GB2312"/>
                <w:sz w:val="24"/>
              </w:rPr>
              <w:t>2025</w:t>
            </w:r>
            <w:r>
              <w:rPr>
                <w:rFonts w:ascii="仿宋_GB2312" w:hAnsi="仿宋_GB2312" w:cs="仿宋_GB2312" w:eastAsia="仿宋_GB2312"/>
                <w:sz w:val="24"/>
              </w:rPr>
              <w:t>），《陕西省房屋建筑与装饰工程基价表》（</w:t>
            </w:r>
            <w:r>
              <w:rPr>
                <w:rFonts w:ascii="仿宋_GB2312" w:hAnsi="仿宋_GB2312" w:cs="仿宋_GB2312" w:eastAsia="仿宋_GB2312"/>
                <w:sz w:val="24"/>
              </w:rPr>
              <w:t>2025</w:t>
            </w:r>
            <w:r>
              <w:rPr>
                <w:rFonts w:ascii="仿宋_GB2312" w:hAnsi="仿宋_GB2312" w:cs="仿宋_GB2312" w:eastAsia="仿宋_GB2312"/>
                <w:sz w:val="24"/>
              </w:rPr>
              <w:t>），《陕西省通用安装工程基价表》（</w:t>
            </w:r>
            <w:r>
              <w:rPr>
                <w:rFonts w:ascii="仿宋_GB2312" w:hAnsi="仿宋_GB2312" w:cs="仿宋_GB2312" w:eastAsia="仿宋_GB2312"/>
                <w:sz w:val="24"/>
              </w:rPr>
              <w:t>2025</w:t>
            </w:r>
            <w:r>
              <w:rPr>
                <w:rFonts w:ascii="仿宋_GB2312" w:hAnsi="仿宋_GB2312" w:cs="仿宋_GB2312" w:eastAsia="仿宋_GB2312"/>
                <w:sz w:val="24"/>
              </w:rPr>
              <w:t>），《陕西省房屋建筑与装饰工程消耗量定额》（</w:t>
            </w:r>
            <w:r>
              <w:rPr>
                <w:rFonts w:ascii="仿宋_GB2312" w:hAnsi="仿宋_GB2312" w:cs="仿宋_GB2312" w:eastAsia="仿宋_GB2312"/>
                <w:sz w:val="24"/>
              </w:rPr>
              <w:t>2025</w:t>
            </w:r>
            <w:r>
              <w:rPr>
                <w:rFonts w:ascii="仿宋_GB2312" w:hAnsi="仿宋_GB2312" w:cs="仿宋_GB2312" w:eastAsia="仿宋_GB2312"/>
                <w:sz w:val="24"/>
              </w:rPr>
              <w:t>），《陕西省通用安装工程消耗量定额》（</w:t>
            </w:r>
            <w:r>
              <w:rPr>
                <w:rFonts w:ascii="仿宋_GB2312" w:hAnsi="仿宋_GB2312" w:cs="仿宋_GB2312" w:eastAsia="仿宋_GB2312"/>
                <w:sz w:val="24"/>
              </w:rPr>
              <w:t>2025</w:t>
            </w:r>
            <w:r>
              <w:rPr>
                <w:rFonts w:ascii="仿宋_GB2312" w:hAnsi="仿宋_GB2312" w:cs="仿宋_GB2312" w:eastAsia="仿宋_GB2312"/>
                <w:sz w:val="24"/>
              </w:rPr>
              <w:t>），《陕西省建设工程施工机械台班费用定额》（</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rPr>
              <w:t>2、增值税按一般纳税人</w:t>
            </w:r>
            <w:r>
              <w:rPr>
                <w:rFonts w:ascii="仿宋_GB2312" w:hAnsi="仿宋_GB2312" w:cs="仿宋_GB2312" w:eastAsia="仿宋_GB2312"/>
                <w:sz w:val="24"/>
              </w:rPr>
              <w:t>9%</w:t>
            </w:r>
            <w:r>
              <w:rPr>
                <w:rFonts w:ascii="仿宋_GB2312" w:hAnsi="仿宋_GB2312" w:cs="仿宋_GB2312" w:eastAsia="仿宋_GB2312"/>
                <w:sz w:val="24"/>
              </w:rPr>
              <w:t>计入</w:t>
            </w:r>
          </w:p>
          <w:p>
            <w:pPr>
              <w:pStyle w:val="null3"/>
              <w:jc w:val="both"/>
            </w:pPr>
            <w:r>
              <w:rPr>
                <w:rFonts w:ascii="仿宋_GB2312" w:hAnsi="仿宋_GB2312" w:cs="仿宋_GB2312" w:eastAsia="仿宋_GB2312"/>
                <w:sz w:val="24"/>
              </w:rPr>
              <w:t xml:space="preserve">       3、本工程主要材料价格参照</w:t>
            </w:r>
            <w:r>
              <w:rPr>
                <w:rFonts w:ascii="仿宋_GB2312" w:hAnsi="仿宋_GB2312" w:cs="仿宋_GB2312" w:eastAsia="仿宋_GB2312"/>
                <w:sz w:val="24"/>
              </w:rPr>
              <w:t>2025</w:t>
            </w:r>
            <w:r>
              <w:rPr>
                <w:rFonts w:ascii="仿宋_GB2312" w:hAnsi="仿宋_GB2312" w:cs="仿宋_GB2312" w:eastAsia="仿宋_GB2312"/>
                <w:sz w:val="24"/>
              </w:rPr>
              <w:t>年第</w:t>
            </w:r>
            <w:r>
              <w:rPr>
                <w:rFonts w:ascii="仿宋_GB2312" w:hAnsi="仿宋_GB2312" w:cs="仿宋_GB2312" w:eastAsia="仿宋_GB2312"/>
                <w:sz w:val="24"/>
              </w:rPr>
              <w:t>5</w:t>
            </w:r>
            <w:r>
              <w:rPr>
                <w:rFonts w:ascii="仿宋_GB2312" w:hAnsi="仿宋_GB2312" w:cs="仿宋_GB2312" w:eastAsia="仿宋_GB2312"/>
                <w:sz w:val="24"/>
              </w:rPr>
              <w:t>期《汉中建设工程</w:t>
            </w:r>
            <w:r>
              <w:rPr>
                <w:rFonts w:ascii="仿宋_GB2312" w:hAnsi="仿宋_GB2312" w:cs="仿宋_GB2312" w:eastAsia="仿宋_GB2312"/>
              </w:rPr>
              <w:t>造价信息》汉台材料价格，信息价未发布的按市场询价计入。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广联达云计价</w:t>
            </w:r>
            <w:r>
              <w:rPr>
                <w:rFonts w:ascii="仿宋_GB2312" w:hAnsi="仿宋_GB2312" w:cs="仿宋_GB2312" w:eastAsia="仿宋_GB2312"/>
                <w:sz w:val="24"/>
              </w:rPr>
              <w:t>GCCP7.5000.23.1</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绿化带破除及恢复</w:t>
            </w:r>
            <w:r>
              <w:rPr>
                <w:rFonts w:ascii="仿宋_GB2312" w:hAnsi="仿宋_GB2312" w:cs="仿宋_GB2312" w:eastAsia="仿宋_GB2312"/>
                <w:sz w:val="24"/>
              </w:rPr>
              <w:t>42</w:t>
            </w:r>
            <w:r>
              <w:rPr>
                <w:rFonts w:ascii="仿宋_GB2312" w:hAnsi="仿宋_GB2312" w:cs="仿宋_GB2312" w:eastAsia="仿宋_GB2312"/>
                <w:sz w:val="24"/>
              </w:rPr>
              <w:t>㎡，按单项计入。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最高限价：</w:t>
            </w:r>
            <w:r>
              <w:rPr>
                <w:rFonts w:ascii="仿宋_GB2312" w:hAnsi="仿宋_GB2312" w:cs="仿宋_GB2312" w:eastAsia="仿宋_GB2312"/>
                <w:sz w:val="24"/>
              </w:rPr>
              <w:t>842747.43</w:t>
            </w:r>
            <w:r>
              <w:rPr>
                <w:rFonts w:ascii="仿宋_GB2312" w:hAnsi="仿宋_GB2312" w:cs="仿宋_GB2312" w:eastAsia="仿宋_GB2312"/>
                <w:sz w:val="24"/>
              </w:rPr>
              <w:t>元</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其它项目费：</w:t>
            </w:r>
            <w:r>
              <w:rPr>
                <w:rFonts w:ascii="仿宋_GB2312" w:hAnsi="仿宋_GB2312" w:cs="仿宋_GB2312" w:eastAsia="仿宋_GB2312"/>
                <w:sz w:val="24"/>
              </w:rPr>
              <w:t>23000.00</w:t>
            </w:r>
            <w:r>
              <w:rPr>
                <w:rFonts w:ascii="仿宋_GB2312" w:hAnsi="仿宋_GB2312" w:cs="仿宋_GB2312" w:eastAsia="仿宋_GB2312"/>
                <w:sz w:val="24"/>
              </w:rPr>
              <w:t>元（暂列金）</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、质</w:t>
            </w:r>
            <w:r>
              <w:rPr>
                <w:rFonts w:ascii="仿宋_GB2312" w:hAnsi="仿宋_GB2312" w:cs="仿宋_GB2312" w:eastAsia="仿宋_GB2312"/>
                <w:sz w:val="24"/>
              </w:rPr>
              <w:t>量：合格。</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b/>
              </w:rPr>
              <w:t>9</w:t>
            </w:r>
            <w:r>
              <w:rPr>
                <w:rFonts w:ascii="仿宋_GB2312" w:hAnsi="仿宋_GB2312" w:cs="仿宋_GB2312" w:eastAsia="仿宋_GB2312"/>
                <w:sz w:val="24"/>
                <w:b/>
              </w:rPr>
              <w:t>、工程量清单、图纸：具体详见本项目清单工程量、图纸。</w:t>
            </w:r>
          </w:p>
          <w:p>
            <w:pPr>
              <w:pStyle w:val="null3"/>
              <w:jc w:val="both"/>
            </w:pPr>
            <w:r>
              <w:rPr>
                <w:rFonts w:ascii="仿宋_GB2312" w:hAnsi="仿宋_GB2312" w:cs="仿宋_GB2312" w:eastAsia="仿宋_GB2312"/>
                <w:sz w:val="24"/>
                <w:b/>
              </w:rPr>
              <w:t>二、商务要求（实质性要求，不允许负偏离）：</w:t>
            </w:r>
          </w:p>
          <w:p>
            <w:pPr>
              <w:pStyle w:val="null3"/>
              <w:jc w:val="both"/>
            </w:pPr>
            <w:r>
              <w:rPr>
                <w:rFonts w:ascii="仿宋_GB2312" w:hAnsi="仿宋_GB2312" w:cs="仿宋_GB2312" w:eastAsia="仿宋_GB2312"/>
                <w:sz w:val="24"/>
                <w:b/>
              </w:rPr>
              <w:t xml:space="preserve">    商务要求：</w:t>
            </w:r>
          </w:p>
          <w:p>
            <w:pPr>
              <w:pStyle w:val="null3"/>
              <w:jc w:val="both"/>
            </w:pPr>
            <w:r>
              <w:rPr>
                <w:rFonts w:ascii="仿宋_GB2312" w:hAnsi="仿宋_GB2312" w:cs="仿宋_GB2312" w:eastAsia="仿宋_GB2312"/>
                <w:sz w:val="24"/>
                <w:b/>
              </w:rPr>
              <w:t xml:space="preserve">    1.</w:t>
            </w:r>
            <w:r>
              <w:rPr>
                <w:rFonts w:ascii="仿宋_GB2312" w:hAnsi="仿宋_GB2312" w:cs="仿宋_GB2312" w:eastAsia="仿宋_GB2312"/>
                <w:sz w:val="24"/>
                <w:b/>
              </w:rPr>
              <w:t>工期：</w:t>
            </w:r>
            <w:r>
              <w:rPr>
                <w:rFonts w:ascii="仿宋_GB2312" w:hAnsi="仿宋_GB2312" w:cs="仿宋_GB2312" w:eastAsia="仿宋_GB2312"/>
                <w:sz w:val="24"/>
                <w:b/>
              </w:rPr>
              <w:t>20</w:t>
            </w:r>
            <w:r>
              <w:rPr>
                <w:rFonts w:ascii="仿宋_GB2312" w:hAnsi="仿宋_GB2312" w:cs="仿宋_GB2312" w:eastAsia="仿宋_GB2312"/>
                <w:sz w:val="24"/>
                <w:b/>
              </w:rPr>
              <w:t>个日历日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 xml:space="preserve">    2.</w:t>
            </w:r>
            <w:r>
              <w:rPr>
                <w:rFonts w:ascii="仿宋_GB2312" w:hAnsi="仿宋_GB2312" w:cs="仿宋_GB2312" w:eastAsia="仿宋_GB2312"/>
                <w:sz w:val="24"/>
                <w:b/>
              </w:rPr>
              <w:t>付款方式要求及履约保证金</w:t>
            </w:r>
          </w:p>
          <w:p>
            <w:pPr>
              <w:pStyle w:val="null3"/>
              <w:spacing w:before="120"/>
              <w:ind w:firstLine="482"/>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）付款方式要求</w:t>
            </w:r>
          </w:p>
          <w:p>
            <w:pPr>
              <w:pStyle w:val="null3"/>
              <w:ind w:firstLine="480"/>
              <w:jc w:val="both"/>
            </w:pPr>
            <w:r>
              <w:rPr>
                <w:rFonts w:ascii="仿宋_GB2312" w:hAnsi="仿宋_GB2312" w:cs="仿宋_GB2312" w:eastAsia="仿宋_GB2312"/>
                <w:sz w:val="24"/>
                <w:b/>
                <w:u w:val="single"/>
              </w:rPr>
              <w:t>待工程竣工验收合格后，经学校审计并出具审计报告后付至审定金额的</w:t>
            </w:r>
            <w:r>
              <w:rPr>
                <w:rFonts w:ascii="仿宋_GB2312" w:hAnsi="仿宋_GB2312" w:cs="仿宋_GB2312" w:eastAsia="仿宋_GB2312"/>
                <w:sz w:val="24"/>
                <w:b/>
                <w:u w:val="single"/>
              </w:rPr>
              <w:t>100%</w:t>
            </w:r>
            <w:r>
              <w:rPr>
                <w:rFonts w:ascii="仿宋_GB2312" w:hAnsi="仿宋_GB2312" w:cs="仿宋_GB2312" w:eastAsia="仿宋_GB2312"/>
                <w:sz w:val="24"/>
                <w:b/>
                <w:u w:val="single"/>
              </w:rPr>
              <w:t>。</w:t>
            </w:r>
            <w:r>
              <w:rPr>
                <w:rFonts w:ascii="仿宋_GB2312" w:hAnsi="仿宋_GB2312" w:cs="仿宋_GB2312" w:eastAsia="仿宋_GB2312"/>
                <w:sz w:val="24"/>
                <w:b/>
                <w:u w:val="single"/>
              </w:rPr>
              <w:t>本项目质保期为</w:t>
            </w:r>
            <w:r>
              <w:rPr>
                <w:rFonts w:ascii="仿宋_GB2312" w:hAnsi="仿宋_GB2312" w:cs="仿宋_GB2312" w:eastAsia="仿宋_GB2312"/>
                <w:sz w:val="24"/>
                <w:b/>
                <w:u w:val="single"/>
              </w:rPr>
              <w:t>2</w:t>
            </w:r>
            <w:r>
              <w:rPr>
                <w:rFonts w:ascii="仿宋_GB2312" w:hAnsi="仿宋_GB2312" w:cs="仿宋_GB2312" w:eastAsia="仿宋_GB2312"/>
                <w:sz w:val="24"/>
                <w:b/>
                <w:u w:val="single"/>
              </w:rPr>
              <w:t>年，质保金在质保期满后无质量问题一次性付清</w:t>
            </w:r>
            <w:r>
              <w:rPr>
                <w:rFonts w:ascii="仿宋_GB2312" w:hAnsi="仿宋_GB2312" w:cs="仿宋_GB2312" w:eastAsia="仿宋_GB2312"/>
                <w:sz w:val="24"/>
                <w:b/>
                <w:u w:val="single"/>
              </w:rPr>
              <w:t>(</w:t>
            </w:r>
            <w:r>
              <w:rPr>
                <w:rFonts w:ascii="仿宋_GB2312" w:hAnsi="仿宋_GB2312" w:cs="仿宋_GB2312" w:eastAsia="仿宋_GB2312"/>
                <w:sz w:val="24"/>
                <w:b/>
                <w:u w:val="single"/>
              </w:rPr>
              <w:t>无息</w:t>
            </w:r>
            <w:r>
              <w:rPr>
                <w:rFonts w:ascii="仿宋_GB2312" w:hAnsi="仿宋_GB2312" w:cs="仿宋_GB2312" w:eastAsia="仿宋_GB2312"/>
                <w:sz w:val="24"/>
                <w:b/>
                <w:u w:val="single"/>
              </w:rPr>
              <w:t>)</w:t>
            </w:r>
            <w:r>
              <w:rPr>
                <w:rFonts w:ascii="仿宋_GB2312" w:hAnsi="仿宋_GB2312" w:cs="仿宋_GB2312" w:eastAsia="仿宋_GB2312"/>
                <w:sz w:val="24"/>
                <w:b/>
                <w:u w:val="single"/>
              </w:rPr>
              <w:t>。</w:t>
            </w:r>
          </w:p>
          <w:p>
            <w:pPr>
              <w:pStyle w:val="null3"/>
              <w:jc w:val="both"/>
            </w:pPr>
            <w:r>
              <w:rPr>
                <w:rFonts w:ascii="仿宋_GB2312" w:hAnsi="仿宋_GB2312" w:cs="仿宋_GB2312" w:eastAsia="仿宋_GB2312"/>
                <w:sz w:val="20"/>
                <w:b/>
              </w:rPr>
              <w:t xml:space="preserve">        </w:t>
            </w: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）履约保证金要求</w:t>
            </w:r>
          </w:p>
          <w:p>
            <w:pPr>
              <w:pStyle w:val="null3"/>
              <w:ind w:firstLine="720"/>
              <w:jc w:val="both"/>
            </w:pPr>
            <w:r>
              <w:rPr>
                <w:rFonts w:ascii="仿宋_GB2312" w:hAnsi="仿宋_GB2312" w:cs="仿宋_GB2312" w:eastAsia="仿宋_GB2312"/>
                <w:sz w:val="24"/>
                <w:u w:val="single"/>
              </w:rPr>
              <w:t>中标</w:t>
            </w:r>
            <w:r>
              <w:rPr>
                <w:rFonts w:ascii="仿宋_GB2312" w:hAnsi="仿宋_GB2312" w:cs="仿宋_GB2312" w:eastAsia="仿宋_GB2312"/>
                <w:sz w:val="24"/>
                <w:u w:val="single"/>
              </w:rPr>
              <w:t>/</w:t>
            </w:r>
            <w:r>
              <w:rPr>
                <w:rFonts w:ascii="仿宋_GB2312" w:hAnsi="仿宋_GB2312" w:cs="仿宋_GB2312" w:eastAsia="仿宋_GB2312"/>
                <w:sz w:val="24"/>
                <w:u w:val="single"/>
              </w:rPr>
              <w:t>成交供应商在与采购人签订合同前，须缴纳履约保证金</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履约保证金金额为成交金额的</w:t>
            </w:r>
            <w:r>
              <w:rPr>
                <w:rFonts w:ascii="仿宋_GB2312" w:hAnsi="仿宋_GB2312" w:cs="仿宋_GB2312" w:eastAsia="仿宋_GB2312"/>
                <w:sz w:val="24"/>
                <w:u w:val="single"/>
              </w:rPr>
              <w:t xml:space="preserve"> 3%</w:t>
            </w:r>
            <w:r>
              <w:rPr>
                <w:rFonts w:ascii="仿宋_GB2312" w:hAnsi="仿宋_GB2312" w:cs="仿宋_GB2312" w:eastAsia="仿宋_GB2312"/>
                <w:sz w:val="24"/>
                <w:u w:val="single"/>
              </w:rPr>
              <w:t>。待验收合格后，履约保证金予转为质保金，质保期满后无质量服务问题予以退还</w:t>
            </w:r>
            <w:r>
              <w:rPr>
                <w:rFonts w:ascii="仿宋_GB2312" w:hAnsi="仿宋_GB2312" w:cs="仿宋_GB2312" w:eastAsia="仿宋_GB2312"/>
                <w:sz w:val="24"/>
                <w:u w:val="single"/>
              </w:rPr>
              <w:t>(</w:t>
            </w:r>
            <w:r>
              <w:rPr>
                <w:rFonts w:ascii="仿宋_GB2312" w:hAnsi="仿宋_GB2312" w:cs="仿宋_GB2312" w:eastAsia="仿宋_GB2312"/>
                <w:sz w:val="24"/>
                <w:u w:val="single"/>
              </w:rPr>
              <w:t>无息</w:t>
            </w:r>
            <w:r>
              <w:rPr>
                <w:rFonts w:ascii="仿宋_GB2312" w:hAnsi="仿宋_GB2312" w:cs="仿宋_GB2312" w:eastAsia="仿宋_GB2312"/>
                <w:sz w:val="24"/>
                <w:u w:val="single"/>
              </w:rPr>
              <w:t>)</w:t>
            </w:r>
            <w:r>
              <w:rPr>
                <w:rFonts w:ascii="仿宋_GB2312" w:hAnsi="仿宋_GB2312" w:cs="仿宋_GB2312" w:eastAsia="仿宋_GB2312"/>
                <w:sz w:val="24"/>
                <w:u w:val="single"/>
              </w:rPr>
              <w:t>。</w:t>
            </w:r>
          </w:p>
          <w:p>
            <w:pPr>
              <w:pStyle w:val="null3"/>
              <w:jc w:val="both"/>
            </w:pPr>
            <w:r>
              <w:rPr>
                <w:rFonts w:ascii="仿宋_GB2312" w:hAnsi="仿宋_GB2312" w:cs="仿宋_GB2312" w:eastAsia="仿宋_GB2312"/>
                <w:sz w:val="24"/>
                <w:b/>
              </w:rPr>
              <w:t xml:space="preserve">    3.</w:t>
            </w:r>
            <w:r>
              <w:rPr>
                <w:rFonts w:ascii="仿宋_GB2312" w:hAnsi="仿宋_GB2312" w:cs="仿宋_GB2312" w:eastAsia="仿宋_GB2312"/>
                <w:sz w:val="24"/>
                <w:b/>
              </w:rPr>
              <w:t>质保期及质保保修要求</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1</w:t>
            </w:r>
            <w:r>
              <w:rPr>
                <w:rFonts w:ascii="仿宋_GB2312" w:hAnsi="仿宋_GB2312" w:cs="仿宋_GB2312" w:eastAsia="仿宋_GB2312"/>
                <w:sz w:val="24"/>
                <w:b/>
              </w:rPr>
              <w:t>）质保期：验收合格后</w:t>
            </w:r>
            <w:r>
              <w:rPr>
                <w:rFonts w:ascii="仿宋_GB2312" w:hAnsi="仿宋_GB2312" w:cs="仿宋_GB2312" w:eastAsia="仿宋_GB2312"/>
                <w:sz w:val="24"/>
                <w:b/>
              </w:rPr>
              <w:t xml:space="preserve"> 24</w:t>
            </w:r>
            <w:r>
              <w:rPr>
                <w:rFonts w:ascii="仿宋_GB2312" w:hAnsi="仿宋_GB2312" w:cs="仿宋_GB2312" w:eastAsia="仿宋_GB2312"/>
                <w:sz w:val="24"/>
                <w:b/>
              </w:rPr>
              <w:t>个月。</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2</w:t>
            </w:r>
            <w:r>
              <w:rPr>
                <w:rFonts w:ascii="仿宋_GB2312" w:hAnsi="仿宋_GB2312" w:cs="仿宋_GB2312" w:eastAsia="仿宋_GB2312"/>
                <w:sz w:val="24"/>
                <w:b/>
              </w:rPr>
              <w:t>）保修要求</w:t>
            </w:r>
          </w:p>
          <w:p>
            <w:pPr>
              <w:pStyle w:val="null3"/>
              <w:jc w:val="both"/>
            </w:pPr>
            <w:r>
              <w:rPr>
                <w:rFonts w:ascii="仿宋_GB2312" w:hAnsi="仿宋_GB2312" w:cs="仿宋_GB2312" w:eastAsia="仿宋_GB2312"/>
                <w:sz w:val="24"/>
                <w:b/>
              </w:rPr>
              <w:t xml:space="preserve">    响应时效</w:t>
            </w:r>
            <w:r>
              <w:rPr>
                <w:rFonts w:ascii="仿宋_GB2312" w:hAnsi="仿宋_GB2312" w:cs="仿宋_GB2312" w:eastAsia="仿宋_GB2312"/>
                <w:sz w:val="24"/>
                <w:b/>
              </w:rPr>
              <w:t>:</w:t>
            </w:r>
            <w:r>
              <w:rPr>
                <w:rFonts w:ascii="仿宋_GB2312" w:hAnsi="仿宋_GB2312" w:cs="仿宋_GB2312" w:eastAsia="仿宋_GB2312"/>
                <w:sz w:val="24"/>
                <w:b/>
              </w:rPr>
              <w:t>即时响应</w:t>
            </w:r>
            <w:r>
              <w:rPr>
                <w:rFonts w:ascii="仿宋_GB2312" w:hAnsi="仿宋_GB2312" w:cs="仿宋_GB2312" w:eastAsia="仿宋_GB2312"/>
                <w:sz w:val="24"/>
                <w:b/>
              </w:rPr>
              <w:t>(</w:t>
            </w:r>
            <w:r>
              <w:rPr>
                <w:rFonts w:ascii="仿宋_GB2312" w:hAnsi="仿宋_GB2312" w:cs="仿宋_GB2312" w:eastAsia="仿宋_GB2312"/>
                <w:sz w:val="24"/>
                <w:b/>
              </w:rPr>
              <w:t>包括电话响应</w:t>
            </w:r>
            <w:r>
              <w:rPr>
                <w:rFonts w:ascii="仿宋_GB2312" w:hAnsi="仿宋_GB2312" w:cs="仿宋_GB2312" w:eastAsia="仿宋_GB2312"/>
                <w:sz w:val="24"/>
                <w:b/>
              </w:rPr>
              <w:t>);</w:t>
            </w:r>
            <w:r>
              <w:rPr>
                <w:rFonts w:ascii="仿宋_GB2312" w:hAnsi="仿宋_GB2312" w:cs="仿宋_GB2312" w:eastAsia="仿宋_GB2312"/>
                <w:sz w:val="24"/>
                <w:b/>
              </w:rPr>
              <w:t>电话响应无法解决</w:t>
            </w:r>
            <w:r>
              <w:rPr>
                <w:rFonts w:ascii="仿宋_GB2312" w:hAnsi="仿宋_GB2312" w:cs="仿宋_GB2312" w:eastAsia="仿宋_GB2312"/>
                <w:sz w:val="24"/>
                <w:b/>
              </w:rPr>
              <w:t>1</w:t>
            </w:r>
            <w:r>
              <w:rPr>
                <w:rFonts w:ascii="仿宋_GB2312" w:hAnsi="仿宋_GB2312" w:cs="仿宋_GB2312" w:eastAsia="仿宋_GB2312"/>
                <w:sz w:val="24"/>
                <w:b/>
              </w:rPr>
              <w:t>小时内到达现场。修复时间</w:t>
            </w:r>
            <w:r>
              <w:rPr>
                <w:rFonts w:ascii="仿宋_GB2312" w:hAnsi="仿宋_GB2312" w:cs="仿宋_GB2312" w:eastAsia="仿宋_GB2312"/>
                <w:sz w:val="24"/>
                <w:b/>
              </w:rPr>
              <w:t>2</w:t>
            </w:r>
            <w:r>
              <w:rPr>
                <w:rFonts w:ascii="仿宋_GB2312" w:hAnsi="仿宋_GB2312" w:cs="仿宋_GB2312" w:eastAsia="仿宋_GB2312"/>
                <w:sz w:val="24"/>
                <w:b/>
              </w:rPr>
              <w:t>小时内解决</w:t>
            </w:r>
            <w:r>
              <w:rPr>
                <w:rFonts w:ascii="仿宋_GB2312" w:hAnsi="仿宋_GB2312" w:cs="仿宋_GB2312" w:eastAsia="仿宋_GB2312"/>
                <w:sz w:val="24"/>
                <w:b/>
              </w:rPr>
              <w:t>;</w:t>
            </w:r>
            <w:r>
              <w:rPr>
                <w:rFonts w:ascii="仿宋_GB2312" w:hAnsi="仿宋_GB2312" w:cs="仿宋_GB2312" w:eastAsia="仿宋_GB2312"/>
                <w:sz w:val="24"/>
                <w:b/>
              </w:rPr>
              <w:t>如</w:t>
            </w:r>
            <w:r>
              <w:rPr>
                <w:rFonts w:ascii="仿宋_GB2312" w:hAnsi="仿宋_GB2312" w:cs="仿宋_GB2312" w:eastAsia="仿宋_GB2312"/>
                <w:sz w:val="24"/>
                <w:b/>
              </w:rPr>
              <w:t>6</w:t>
            </w:r>
            <w:r>
              <w:rPr>
                <w:rFonts w:ascii="仿宋_GB2312" w:hAnsi="仿宋_GB2312" w:cs="仿宋_GB2312" w:eastAsia="仿宋_GB2312"/>
                <w:sz w:val="24"/>
                <w:b/>
              </w:rPr>
              <w:t>小时内无法修复，应提供相应解决方案。</w:t>
            </w:r>
          </w:p>
          <w:p>
            <w:pPr>
              <w:pStyle w:val="null3"/>
              <w:jc w:val="both"/>
            </w:pPr>
            <w:r>
              <w:rPr>
                <w:rFonts w:ascii="仿宋_GB2312" w:hAnsi="仿宋_GB2312" w:cs="仿宋_GB2312" w:eastAsia="仿宋_GB2312"/>
                <w:sz w:val="24"/>
                <w:b/>
              </w:rPr>
              <w:t xml:space="preserve">    4.</w:t>
            </w:r>
            <w:r>
              <w:rPr>
                <w:rFonts w:ascii="仿宋_GB2312" w:hAnsi="仿宋_GB2312" w:cs="仿宋_GB2312" w:eastAsia="仿宋_GB2312"/>
                <w:sz w:val="24"/>
                <w:b/>
              </w:rPr>
              <w:t>施工地点：</w:t>
            </w:r>
            <w:r>
              <w:rPr>
                <w:rFonts w:ascii="仿宋_GB2312" w:hAnsi="仿宋_GB2312" w:cs="仿宋_GB2312" w:eastAsia="仿宋_GB2312"/>
                <w:sz w:val="24"/>
              </w:rPr>
              <w:t>陕西理工大学北校区。</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质量标准符合本项目采购清单要求、建筑装饰装修工程质量验收规范和国家、陕西省、汉中市现行工程质量验评标准。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1、本工程为固定综合单价，为清单报价，报价中包含暂列金，最终工程量按照实际发生量计取。 2、报价汇总表中的价格必须是完成本项目的所有费用的报价；工程量清单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 3、供应商填报工程量清单报价时，对采购人提供的工程量清单数据及内容、表格格式均不得改动，如有改动，工程结算时采购人有权按有利于采购人的方式进行结算。 4、磋商报价应是包含劳保统筹基金的含税工程造价。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1、成交供应商领取成交通知书时，提交纸质响应文件正本壹份、副本贰份、电子版壹份（U盘壹份注明单位名称）编辑目录和页码，内容和通过电子化交易平台实施的政府采购项目提交的响应文件一致。 2、纸质响应文件正副本分别胶装。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并出具合法有效的营业执照或事业单位法人证书等国家规定的相关证明，自然人参与的提供其身份证明。 ②提供2024年7月至今已缴纳至少一个月的依法缴纳税款的相关凭据（时间以税款所属日期为准），凭据应有税务机关或代收机关的公章或业务专用章。依法免税或无须缴纳税款的供应商，应提供相关证明文件。 ③提供2024年7月至今已缴存的至少一个月的社会保障资金缴存单据或社保机构开具的社会保险参保缴费情况证明，依法不需要缴纳社会保障资金的单位应提供相关证明材料。 ④参加本次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供应商参与。 ⑤提供具有履行合同所必需的设备和专业技术能力的承诺函。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2024年度审计报告（成立时间至提交投标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供应商应具备建设行政主管部门颁发合法有效的市政公用工程施工总承包三级及以上资质，且具备合法有效的安全生产许可证。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拟派项目经理具备合法有效的市政公用工程专业二级及以上注册建造师资格和安全生产考核合格证，且无其他在建工程（提供无在建工程的承诺函）。</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供应商及其拟派项目经理相关信息须在“陕西省住房和城乡建设厅”官方网站可查询。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本项目专门面向中小企业采购，供应商须为中小企业，并提供声明函。</w:t>
            </w:r>
          </w:p>
        </w:tc>
        <w:tc>
          <w:tcPr>
            <w:tcW w:type="dxa" w:w="1661"/>
          </w:tcPr>
          <w:p>
            <w:pPr>
              <w:pStyle w:val="null3"/>
            </w:pPr>
            <w:r>
              <w:rPr>
                <w:rFonts w:ascii="仿宋_GB2312" w:hAnsi="仿宋_GB2312" w:cs="仿宋_GB2312" w:eastAsia="仿宋_GB2312"/>
              </w:rPr>
              <w:t>中小企业声明函.docx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响应方案说明.docx 已标价工程量清单 中小企业声明函.docx 技术服务合同条款及其他商务要求应答表 保证金交纳凭证保函.docx 供应商承诺书.docx 强制优先采购产品承诺函 响应文件封面 主要材料清单.docx 项目管理机构组成表 残疾人福利性单位声明函 报价函 标的清单 供应商类似项目业绩一览表 供应商资格证明文件.docx 响应报价表.docx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磋商小组应当对供应商提交的响应文件进行初步审查，包括响应文件的有效性、完整性、符合性。除可变动的技术、服务要求以及合同草案条款外，首次提交的响应文件有不符合下列情况的，其响应文件无效。 (1) 供应商名称与营业执照、资质证书一致； (2) 响应文件按磋商文件要求的数量、计量单位、报价货币及签字盖章； (3) 响应文件的有效期达到磋商文件要求； (4) 响应文件中主要材料技术指标无负偏离的； (5) 符合法律、法规和磋商文件中规定的其他实质性要求； (6) 已标价工程量清单扉页需加盖有注册或登记在工程造价咨询企业的造价人员签字并盖执业印章（委托第三方造价咨询企业需提供相关证明材料）； (7) 保证金交纳符合磋商文件要求。</w:t>
            </w:r>
          </w:p>
        </w:tc>
        <w:tc>
          <w:tcPr>
            <w:tcW w:type="dxa" w:w="1661"/>
          </w:tcPr>
          <w:p>
            <w:pPr>
              <w:pStyle w:val="null3"/>
            </w:pPr>
            <w:r>
              <w:rPr>
                <w:rFonts w:ascii="仿宋_GB2312" w:hAnsi="仿宋_GB2312" w:cs="仿宋_GB2312" w:eastAsia="仿宋_GB2312"/>
              </w:rPr>
              <w:t>响应方案说明.docx 已标价工程量清单 中小企业声明函.docx 技术服务合同条款及其他商务要求应答表 保证金交纳凭证保函.docx 供应商承诺书.docx 强制优先采购产品承诺函 响应文件封面 主要材料清单.docx 项目管理机构组成表 残疾人福利性单位声明函 供应商类似项目业绩一览表 供应商资格证明文件.docx 响应报价表.docx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 1、施工方案及技术方案内容完善、具体、先进、可行性强计（5-8]分； 2、施工方案及技术方案内容基本全面、可行，满足施工要求计（3-5]分； 3、施工方案及技术方案内容简单、技术落后、可行性较差计（0-3]分。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1、项目经理具有相同性质和规模工程的业绩，每项业绩计1分，最高不超过2分。 合同中需要体现项目经理姓名，拟派项目经理业绩与企业业绩不可重复得分。 （注：响应文件中提供合同扫描件及竣工验收资料，若合同中无法体现签订时间、合同金额、项目内容的，须另附证明等相关证明材料。） 2、项目经理职称为高级的计2分，中级计1分；以下计0分。 3、项目部组成人员配备合理，人员具有从业资格、职称，根据响应程度，计（0-2]分。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供应商针对本项目提供确保工程质量的技术组织措施。 1、质量保证措施内容详细、具体可行，计（4-7]分； 2、质量保证措施内容基本可行，能够保障工程质量要求，计（2-4]分； 3、质量管理体系滞后、制度执行力弱或质量保证措施简单粗略，计（0-2]分。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安全施工</w:t>
            </w:r>
          </w:p>
        </w:tc>
        <w:tc>
          <w:tcPr>
            <w:tcW w:type="dxa" w:w="2492"/>
          </w:tcPr>
          <w:p>
            <w:pPr>
              <w:pStyle w:val="null3"/>
            </w:pPr>
            <w:r>
              <w:rPr>
                <w:rFonts w:ascii="仿宋_GB2312" w:hAnsi="仿宋_GB2312" w:cs="仿宋_GB2312" w:eastAsia="仿宋_GB2312"/>
              </w:rPr>
              <w:t>供应商针对本项目提供确保安全施工的保证措施。 1、安全施工保证措施内容详细、完善、有效，能够落实各项安全施工标准规范要求，计（4-6]分； 2、安全施工保证措施基本全面合理，能够满足工程安全施工，计（2-4]分； 3、安全施工保证措施简单、粗略或无法确保工程安全施工，计（0-2]分。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文明、环保施工</w:t>
            </w:r>
          </w:p>
        </w:tc>
        <w:tc>
          <w:tcPr>
            <w:tcW w:type="dxa" w:w="2492"/>
          </w:tcPr>
          <w:p>
            <w:pPr>
              <w:pStyle w:val="null3"/>
            </w:pPr>
            <w:r>
              <w:rPr>
                <w:rFonts w:ascii="仿宋_GB2312" w:hAnsi="仿宋_GB2312" w:cs="仿宋_GB2312" w:eastAsia="仿宋_GB2312"/>
              </w:rPr>
              <w:t>供应商针对本项目提供确保文明施工的技术组织措施及环境保护措施。 1、具备详细、完善、有效的确保文明、环保施工措施，能够切实保障工程顺利进行，计（3-6]分； 2、确保文明、环保施工措施简单、粗略或不利于工程正常进行的，计（0-3]分。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机械配备和材料投入</w:t>
            </w:r>
          </w:p>
        </w:tc>
        <w:tc>
          <w:tcPr>
            <w:tcW w:type="dxa" w:w="2492"/>
          </w:tcPr>
          <w:p>
            <w:pPr>
              <w:pStyle w:val="null3"/>
            </w:pPr>
            <w:r>
              <w:rPr>
                <w:rFonts w:ascii="仿宋_GB2312" w:hAnsi="仿宋_GB2312" w:cs="仿宋_GB2312" w:eastAsia="仿宋_GB2312"/>
              </w:rPr>
              <w:t>供应商针对本项目提供施工机械配备和材料投入计划。 1、施工机械配备完善，材料投入计划内容全面、可行计（2-4]分； 2、施工机械配备基本完善，材料投入计划内容粗略计（0-2]分。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工期及进度保障</w:t>
            </w:r>
          </w:p>
        </w:tc>
        <w:tc>
          <w:tcPr>
            <w:tcW w:type="dxa" w:w="2492"/>
          </w:tcPr>
          <w:p>
            <w:pPr>
              <w:pStyle w:val="null3"/>
            </w:pPr>
            <w:r>
              <w:rPr>
                <w:rFonts w:ascii="仿宋_GB2312" w:hAnsi="仿宋_GB2312" w:cs="仿宋_GB2312" w:eastAsia="仿宋_GB2312"/>
              </w:rPr>
              <w:t>供应商针对本项目提供确保工期及进度的技术组织措施。 1、具备详细、完善、有效的确保工期的技术组织措施及施工进度表或施工网络图，能够确保本项目按期、按计划完成，计（5-8]分； 2、确保工期的技术组织措施、施工进度表或施工网络图基本齐全、合理，计（2-5]分； 3、确保工期的技术组织措施、施工进度表或施工网络图简单、粗略或无法确保工程进度，计（0-2]分。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提供主材产品的质量证明材料及功能证明材料（包括但不限于有效期内所投产品的检测报告、产品官网截图、产品的认证证书或数据文件等技术资料）。 1、主材品牌、规格、型号、数量、产地及生产厂家，明确详细且所报品牌具有市场认知度，相关材料齐全计(5-8]分； 2、缺少部分证明材料或相关材料明确程度一般计(2-5]分； 3、主材信息部分缺失或未提供证明材料或仅提供个别证明材料或相关材料无法佐证所投产品计(1-2]分； 主材无品牌、规格、型号计0分。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保修服务</w:t>
            </w:r>
          </w:p>
        </w:tc>
        <w:tc>
          <w:tcPr>
            <w:tcW w:type="dxa" w:w="2492"/>
          </w:tcPr>
          <w:p>
            <w:pPr>
              <w:pStyle w:val="null3"/>
            </w:pPr>
            <w:r>
              <w:rPr>
                <w:rFonts w:ascii="仿宋_GB2312" w:hAnsi="仿宋_GB2312" w:cs="仿宋_GB2312" w:eastAsia="仿宋_GB2312"/>
              </w:rPr>
              <w:t>1、针对本项目提交详尽的保修服务方案，自行制定售后服务承诺函格式；在接到维修要求的情况下，能够及时到达现场处理故障（有明确的响应时间）。 ①服务承诺详尽、可行的计（2-4]分； ②服务承诺简单、可行性一般计（0-2]分。 2、保修服务承诺每增加一年，计1分，最高不超过2分。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质量体系</w:t>
            </w:r>
          </w:p>
        </w:tc>
        <w:tc>
          <w:tcPr>
            <w:tcW w:type="dxa" w:w="2492"/>
          </w:tcPr>
          <w:p>
            <w:pPr>
              <w:pStyle w:val="null3"/>
            </w:pPr>
            <w:r>
              <w:rPr>
                <w:rFonts w:ascii="仿宋_GB2312" w:hAnsi="仿宋_GB2312" w:cs="仿宋_GB2312" w:eastAsia="仿宋_GB2312"/>
              </w:rPr>
              <w:t>供应商具备ISO9001质量管理认证体系、ISO14001环境管理体系认证体系、ISO45001职业健康安全管理体系认证体系。每具备1个计1分，满分3分。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类似相关项目业绩(2022年1月1日至磋商截止日)进行综合评定，每提供一个合同业绩计2分，最多计8分，未提供的不计分。（注：响应文件中提供合同扫描件及竣工验收资料，若合同中无法体现签订时间、合同金额、项目内容的，须另附证明等相关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详见附件：主要材料清单.docx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