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版本号：KY2025-3-17620250808002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风雨操场室内一层体育器材设施采购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KY2025-3-176</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风雨操场室内一层体育器材设施采购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风雨操场室内一层体育器材设施采购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风雨操场室内一层体育器材设施采购，简要技术要求、用途：具体参数要求详见招标文件第3章。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采购包1（风雨操场室内一层体育器材设施采购）：属于专门面向中小企业采购。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7、法定代表人授权书：法定代表人授权书及被授权人身份证复印件。（法定代表人直接投标只须提交法定代表人证明书）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采购包1：743,800.00元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参照国家计委颁布的《招标代理服务收费管理暂行办法》（计价格[2002]1980号）及发改办价格[2003]857号文件的规定标准按货物收取，不足陆仟按定额陆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踏勘时间：2025-08-05 10:00:00</w:t>
            </w:r>
          </w:p>
          <w:p>
            <w:pPr>
              <w:pStyle w:val="null3"/>
              <w:ind w:firstLine="975"/>
            </w:pPr>
            <w:r>
              <w:rPr>
                <w:rFonts w:ascii="仿宋_GB2312" w:hAnsi="仿宋_GB2312" w:cs="仿宋_GB2312" w:eastAsia="仿宋_GB2312"/>
              </w:rPr>
              <w:t>踏勘地点：陕西开放大学郭杜校区，踏勘携带资料:已获取招标文件的回执函，超过现场踏勘时间采购人概不接待。</w:t>
            </w:r>
          </w:p>
          <w:p>
            <w:pPr>
              <w:pStyle w:val="null3"/>
              <w:ind w:firstLine="975"/>
            </w:pPr>
            <w:r>
              <w:rPr>
                <w:rFonts w:ascii="仿宋_GB2312" w:hAnsi="仿宋_GB2312" w:cs="仿宋_GB2312" w:eastAsia="仿宋_GB2312"/>
              </w:rPr>
              <w:t>联系人：谢婷婷</w:t>
            </w:r>
          </w:p>
          <w:p>
            <w:pPr>
              <w:pStyle w:val="null3"/>
              <w:ind w:firstLine="975"/>
            </w:pPr>
            <w:r>
              <w:rPr>
                <w:rFonts w:ascii="仿宋_GB2312" w:hAnsi="仿宋_GB2312" w:cs="仿宋_GB2312" w:eastAsia="仿宋_GB2312"/>
              </w:rPr>
              <w:t>联系电话号码：029-81206622/81206633-832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联系人：谢婷婷、黄梦迪、戈迪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风雨操场室内一层体育器材设施采购，简要技术要求、用途：具体参数要求详见招标文件第3章。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743,800.00</w:t>
      </w:r>
    </w:p>
    <w:p>
      <w:pPr>
        <w:pStyle w:val="null3"/>
      </w:pPr>
      <w:r>
        <w:rPr>
          <w:rFonts w:ascii="仿宋_GB2312" w:hAnsi="仿宋_GB2312" w:cs="仿宋_GB2312" w:eastAsia="仿宋_GB2312"/>
        </w:rPr>
        <w:t>采购包最高限价（元）: 743,800.00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体育器材设施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743,800.00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标的名称：体育器材设施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项目介绍</w:t>
            </w:r>
            <w:r>
              <w:rPr>
                <w:rFonts w:ascii="仿宋_GB2312" w:hAnsi="仿宋_GB2312" w:cs="仿宋_GB2312" w:eastAsia="仿宋_GB2312"/>
                <w:b/>
              </w:rPr>
              <w:t>：</w:t>
            </w:r>
          </w:p>
          <w:p>
            <w:pPr>
              <w:pStyle w:val="null3"/>
              <w:jc w:val="both"/>
            </w:pPr>
            <w:r>
              <w:rPr>
                <w:rFonts w:ascii="仿宋_GB2312" w:hAnsi="仿宋_GB2312" w:cs="仿宋_GB2312" w:eastAsia="仿宋_GB2312"/>
                <w:sz w:val="21"/>
              </w:rPr>
              <w:t xml:space="preserve">     陕西开放大学风雨操场项目位于郭杜校区。随着办学规模的扩大和学生活动的多样化，对体育设施的需求日益增长，我校为满足体育教学及大型活动的需求，于</w:t>
            </w:r>
            <w:r>
              <w:rPr>
                <w:rFonts w:ascii="仿宋_GB2312" w:hAnsi="仿宋_GB2312" w:cs="仿宋_GB2312" w:eastAsia="仿宋_GB2312"/>
                <w:sz w:val="21"/>
              </w:rPr>
              <w:t>2025年8月初完工了风雨操场，成为改善办学条件的重要举措。风雨操场包括标准篮球场，羽毛球场，匹克球场地等，并兼顾多功能用途。投标人须根据本次项目所涉器材提供场地布局设计</w:t>
            </w:r>
            <w:r>
              <w:rPr>
                <w:rFonts w:ascii="仿宋_GB2312" w:hAnsi="仿宋_GB2312" w:cs="仿宋_GB2312" w:eastAsia="仿宋_GB2312"/>
                <w:sz w:val="21"/>
              </w:rPr>
              <w:t>（</w:t>
            </w:r>
            <w:r>
              <w:rPr>
                <w:rFonts w:ascii="仿宋_GB2312" w:hAnsi="仿宋_GB2312" w:cs="仿宋_GB2312" w:eastAsia="仿宋_GB2312"/>
                <w:sz w:val="21"/>
              </w:rPr>
              <w:t>现场平面图见附件</w:t>
            </w:r>
            <w:r>
              <w:rPr>
                <w:rFonts w:ascii="仿宋_GB2312" w:hAnsi="仿宋_GB2312" w:cs="仿宋_GB2312" w:eastAsia="仿宋_GB2312"/>
                <w:sz w:val="21"/>
              </w:rPr>
              <w:t>）</w:t>
            </w:r>
            <w:r>
              <w:rPr>
                <w:rFonts w:ascii="仿宋_GB2312" w:hAnsi="仿宋_GB2312" w:cs="仿宋_GB2312" w:eastAsia="仿宋_GB2312"/>
                <w:sz w:val="21"/>
              </w:rPr>
              <w:t>、安装调试方案及器材的常规保养服务。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一、智能电动篮架（核心产品，数量：</w:t>
            </w:r>
            <w:r>
              <w:rPr>
                <w:rFonts w:ascii="仿宋_GB2312" w:hAnsi="仿宋_GB2312" w:cs="仿宋_GB2312" w:eastAsia="仿宋_GB2312"/>
                <w:sz w:val="21"/>
                <w:b/>
              </w:rPr>
              <w:t>2副）</w:t>
            </w:r>
          </w:p>
          <w:p>
            <w:pPr>
              <w:pStyle w:val="null3"/>
              <w:jc w:val="both"/>
            </w:pPr>
            <w:r>
              <w:rPr>
                <w:rFonts w:ascii="仿宋_GB2312" w:hAnsi="仿宋_GB2312" w:cs="仿宋_GB2312" w:eastAsia="仿宋_GB2312"/>
                <w:sz w:val="21"/>
              </w:rPr>
              <w:t>1.四周佩戴软体海绵护套，横梁上端配备广告屏幕可供室内使用。</w:t>
            </w:r>
          </w:p>
          <w:p>
            <w:pPr>
              <w:pStyle w:val="null3"/>
              <w:jc w:val="both"/>
            </w:pPr>
            <w:r>
              <w:rPr>
                <w:rFonts w:ascii="仿宋_GB2312" w:hAnsi="仿宋_GB2312" w:cs="仿宋_GB2312" w:eastAsia="仿宋_GB2312"/>
                <w:sz w:val="21"/>
              </w:rPr>
              <w:t>2.篮球架伸臂为3.25m（含保护套），蓝圈上沿离地面3.05m，产品适合国际赛事。单支重量800-900Kg（含篮板、篮筐、电机等），所用配重块重量不低于600Kg。</w:t>
            </w:r>
          </w:p>
          <w:p>
            <w:pPr>
              <w:pStyle w:val="null3"/>
              <w:jc w:val="both"/>
            </w:pPr>
            <w:r>
              <w:rPr>
                <w:rFonts w:ascii="仿宋_GB2312" w:hAnsi="仿宋_GB2312" w:cs="仿宋_GB2312" w:eastAsia="仿宋_GB2312"/>
                <w:sz w:val="21"/>
              </w:rPr>
              <w:t>3.篮球架底座长2.4m×宽1.10m×前高0.965m×后高0.61m（-0.05m以内），篮球架底座采用100mm×100mm×4.0mm方管和120mm×100mm×3.0mm及50mm×100mm×3.0mm矩形管拼焊而成，底板采用≥3.0mm铁板在专用折边机上折边而成。</w:t>
            </w:r>
          </w:p>
          <w:p>
            <w:pPr>
              <w:pStyle w:val="null3"/>
              <w:jc w:val="both"/>
            </w:pPr>
            <w:r>
              <w:rPr>
                <w:rFonts w:ascii="仿宋_GB2312" w:hAnsi="仿宋_GB2312" w:cs="仿宋_GB2312" w:eastAsia="仿宋_GB2312"/>
                <w:sz w:val="21"/>
              </w:rPr>
              <w:t>4.篮球架前后立柱采用100mm×100mm×5.7mm±0.5mm，方管拼焊而成。</w:t>
            </w:r>
          </w:p>
          <w:p>
            <w:pPr>
              <w:pStyle w:val="null3"/>
              <w:jc w:val="both"/>
            </w:pPr>
            <w:r>
              <w:rPr>
                <w:rFonts w:ascii="仿宋_GB2312" w:hAnsi="仿宋_GB2312" w:cs="仿宋_GB2312" w:eastAsia="仿宋_GB2312"/>
                <w:sz w:val="21"/>
              </w:rPr>
              <w:t>5.篮球架横梁采用4.0mm±0.3mm钢板和150mm×3mm方管拼接成钻石型棱状。横梁后端配有10mm±0.2mm透明亚克力板和5mm±0.1mm红色亚克力边框，内置有红色灯带，通电后有3D发光篮球图像。</w:t>
            </w:r>
          </w:p>
          <w:p>
            <w:pPr>
              <w:pStyle w:val="null3"/>
              <w:jc w:val="both"/>
            </w:pPr>
            <w:r>
              <w:rPr>
                <w:rFonts w:ascii="仿宋_GB2312" w:hAnsi="仿宋_GB2312" w:cs="仿宋_GB2312" w:eastAsia="仿宋_GB2312"/>
                <w:sz w:val="21"/>
              </w:rPr>
              <w:t>6.锁紧杆采用Φ48×3.0mm±0.1mm无缝钢管组合而成，采用螺纹锁紧。</w:t>
            </w:r>
          </w:p>
          <w:p>
            <w:pPr>
              <w:pStyle w:val="null3"/>
              <w:jc w:val="both"/>
            </w:pPr>
            <w:r>
              <w:rPr>
                <w:rFonts w:ascii="仿宋_GB2312" w:hAnsi="仿宋_GB2312" w:cs="仿宋_GB2312" w:eastAsia="仿宋_GB2312"/>
                <w:sz w:val="21"/>
              </w:rPr>
              <w:t>7.篮球架上拉杆采用Φ48×3mm±0.1mm圆管在数控弯管机上一次折弯成型, 上拉杆前端可调节，无锈、防水、防腐。</w:t>
            </w:r>
          </w:p>
          <w:p>
            <w:pPr>
              <w:pStyle w:val="null3"/>
              <w:jc w:val="left"/>
            </w:pPr>
            <w:r>
              <w:rPr>
                <w:rFonts w:ascii="仿宋_GB2312" w:hAnsi="仿宋_GB2312" w:cs="仿宋_GB2312" w:eastAsia="仿宋_GB2312"/>
                <w:sz w:val="21"/>
              </w:rPr>
              <w:t>8.篮板配用国际通用的高强度安全钢化玻璃篮板规格：1800mm×1050mm±3mm，并在篮板下沿侧面覆盖有EVA保护胶条抗老化不退色，能有效保护运动员扣篮时不受伤害，篮板外围边框采用≥4mm厚铝型材经模具压制而成，★篮板边框连接件、篮板与蓝圈连接件、篮板与上拉杆连接件均采用铸铝工艺（需提供第三方检测机构出具的检测报告复印件加盖投标人公章），★篮板自带红黄色灯带，灯带为内嵌式、不外露、宽度≥10mm（需提供第三方检测机构出具的检测报告复印件加盖投标人公章），每节比赛时间结束时红色灯带亮起，覆盖篮板边缘≥90%;国标安装孔距。</w:t>
            </w:r>
          </w:p>
          <w:p>
            <w:pPr>
              <w:pStyle w:val="null3"/>
              <w:jc w:val="both"/>
            </w:pPr>
            <w:r>
              <w:rPr>
                <w:rFonts w:ascii="仿宋_GB2312" w:hAnsi="仿宋_GB2312" w:cs="仿宋_GB2312" w:eastAsia="仿宋_GB2312"/>
                <w:sz w:val="21"/>
              </w:rPr>
              <w:t>9.篮筐采用Φ18mm实心圆钢制作，圈下均匀焊有十二个成型挂钩，间隙不大于8mm，抗弯性能好。配尼龙篮球网。</w:t>
            </w:r>
          </w:p>
          <w:p>
            <w:pPr>
              <w:pStyle w:val="null3"/>
              <w:jc w:val="both"/>
            </w:pPr>
            <w:r>
              <w:rPr>
                <w:rFonts w:ascii="仿宋_GB2312" w:hAnsi="仿宋_GB2312" w:cs="仿宋_GB2312" w:eastAsia="仿宋_GB2312"/>
                <w:sz w:val="21"/>
              </w:rPr>
              <w:t>10.所有钢制件表面均经抛丸除锈处理，后在自动喷涂流水线上采用静电环氧基粉末喷涂完成表面处理，涂层厚度90-120um，具备耐酸碱性、耐湿热性、抗老化。</w:t>
            </w:r>
          </w:p>
          <w:p>
            <w:pPr>
              <w:pStyle w:val="null3"/>
              <w:jc w:val="both"/>
            </w:pPr>
            <w:r>
              <w:rPr>
                <w:rFonts w:ascii="仿宋_GB2312" w:hAnsi="仿宋_GB2312" w:cs="仿宋_GB2312" w:eastAsia="仿宋_GB2312"/>
                <w:sz w:val="21"/>
              </w:rPr>
              <w:t>11.产品结构原理：采用220V电源，电动篮球架采用自主研发微电脑控制系统，可实现篮球架伸臂升降，前后移动，左右转向，遥控操作等功能。电路系统、驱动电机、转向电机都设置在底座内部，构成一体化的机械结构。通过伺服电机带动减速机控制滚珠丝杆进行升降。使用橡胶轮，不易碰伤地板。配电盘加装滤波器抗干扰性能强。可通过液晶显示屏查看微电脑各项操作功能，连接无线网下载APP小程序实现手机同步各项操作功能。★依据 GB/T 10592-2008 标准要求对产品喷涂钢材料管实施耐高温检测：经＞4000h、100℃环境测试，样品无变形、裂纹、起泡、分层及基体剥离现象，实测喷涂层无起泡、剥落、裂纹，符合合格判定；对产品喷涂钢管开展耐低温检测：在＞4000h、-30℃条件下，无硬化脆化开裂，钢管弯曲无裂纹，喷涂层状态良好，检测无起泡、剥落、裂纹，判定合格，检测结果均符合要求。需提供国家认可的检测机构出具的检测报告加盖投标人公章，开标现场将通过国家认证认可监督管理委员会官网（www.cnca.gov.cn）查询。</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二、计时和二十四秒显示器（数量：</w:t>
            </w:r>
            <w:r>
              <w:rPr>
                <w:rFonts w:ascii="仿宋_GB2312" w:hAnsi="仿宋_GB2312" w:cs="仿宋_GB2312" w:eastAsia="仿宋_GB2312"/>
                <w:sz w:val="21"/>
                <w:b/>
              </w:rPr>
              <w:t>1套）</w:t>
            </w:r>
          </w:p>
          <w:p>
            <w:pPr>
              <w:pStyle w:val="null3"/>
            </w:pPr>
            <w:r>
              <w:rPr>
                <w:rFonts w:ascii="仿宋_GB2312" w:hAnsi="仿宋_GB2312" w:cs="仿宋_GB2312" w:eastAsia="仿宋_GB2312"/>
              </w:rPr>
              <w:t>1.尺寸： 695mm×580mm×70mm±5mm</w:t>
            </w:r>
          </w:p>
          <w:p>
            <w:pPr>
              <w:pStyle w:val="null3"/>
            </w:pPr>
            <w:r>
              <w:rPr>
                <w:rFonts w:ascii="仿宋_GB2312" w:hAnsi="仿宋_GB2312" w:cs="仿宋_GB2312" w:eastAsia="仿宋_GB2312"/>
              </w:rPr>
              <w:t>2.显示点阵：640mm×480mm</w:t>
            </w:r>
          </w:p>
          <w:p>
            <w:pPr>
              <w:pStyle w:val="null3"/>
            </w:pPr>
            <w:r>
              <w:rPr>
                <w:rFonts w:ascii="仿宋_GB2312" w:hAnsi="仿宋_GB2312" w:cs="仿宋_GB2312" w:eastAsia="仿宋_GB2312"/>
              </w:rPr>
              <w:t>3.供电方式：AC 190~250V</w:t>
            </w:r>
          </w:p>
          <w:p>
            <w:pPr>
              <w:pStyle w:val="null3"/>
            </w:pPr>
            <w:r>
              <w:rPr>
                <w:rFonts w:ascii="仿宋_GB2312" w:hAnsi="仿宋_GB2312" w:cs="仿宋_GB2312" w:eastAsia="仿宋_GB2312"/>
              </w:rPr>
              <w:t>4.通讯方式：无线通讯，多通道可变防止干扰</w:t>
            </w:r>
          </w:p>
          <w:p>
            <w:pPr>
              <w:pStyle w:val="null3"/>
            </w:pPr>
            <w:r>
              <w:rPr>
                <w:rFonts w:ascii="仿宋_GB2312" w:hAnsi="仿宋_GB2312" w:cs="仿宋_GB2312" w:eastAsia="仿宋_GB2312"/>
              </w:rPr>
              <w:t>5.支持外接灯带：产品只提供开关控制（显示牌下端可预留接口）</w:t>
            </w:r>
          </w:p>
          <w:p>
            <w:pPr>
              <w:pStyle w:val="null3"/>
            </w:pPr>
            <w:r>
              <w:rPr>
                <w:rFonts w:ascii="仿宋_GB2312" w:hAnsi="仿宋_GB2312" w:cs="仿宋_GB2312" w:eastAsia="仿宋_GB2312"/>
              </w:rPr>
              <w:t>6.整机功率：≤30W</w:t>
            </w:r>
          </w:p>
          <w:p>
            <w:pPr>
              <w:pStyle w:val="null3"/>
            </w:pPr>
            <w:r>
              <w:rPr>
                <w:rFonts w:ascii="仿宋_GB2312" w:hAnsi="仿宋_GB2312" w:cs="仿宋_GB2312" w:eastAsia="仿宋_GB2312"/>
              </w:rPr>
              <w:t>7.结构材质：全钣金机箱</w:t>
            </w:r>
          </w:p>
          <w:p>
            <w:pPr>
              <w:pStyle w:val="null3"/>
              <w:jc w:val="both"/>
            </w:pPr>
            <w:r>
              <w:rPr>
                <w:rFonts w:ascii="仿宋_GB2312" w:hAnsi="仿宋_GB2312" w:cs="仿宋_GB2312" w:eastAsia="仿宋_GB2312"/>
                <w:sz w:val="21"/>
              </w:rPr>
              <w:t>8.声音提示：≥110dB</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50"/>
            </w:pPr>
            <w:r>
              <w:rPr>
                <w:rFonts w:ascii="仿宋_GB2312" w:hAnsi="仿宋_GB2312" w:cs="仿宋_GB2312" w:eastAsia="仿宋_GB2312"/>
                <w:b/>
              </w:rPr>
              <w:t>三、篮球发球权显示器、篮球赛全队犯规显示器（数量：</w:t>
            </w:r>
            <w:r>
              <w:rPr>
                <w:rFonts w:ascii="仿宋_GB2312" w:hAnsi="仿宋_GB2312" w:cs="仿宋_GB2312" w:eastAsia="仿宋_GB2312"/>
                <w:b/>
              </w:rPr>
              <w:t>1套）</w:t>
            </w:r>
          </w:p>
          <w:p>
            <w:pPr>
              <w:pStyle w:val="null3"/>
              <w:spacing w:before="150"/>
            </w:pPr>
            <w:r>
              <w:rPr>
                <w:rFonts w:ascii="仿宋_GB2312" w:hAnsi="仿宋_GB2312" w:cs="仿宋_GB2312" w:eastAsia="仿宋_GB2312"/>
              </w:rPr>
              <w:t>1.尺寸： 338×200×200(mm)±5mm</w:t>
            </w:r>
          </w:p>
          <w:p>
            <w:pPr>
              <w:pStyle w:val="null3"/>
              <w:spacing w:before="150"/>
            </w:pPr>
            <w:r>
              <w:rPr>
                <w:rFonts w:ascii="仿宋_GB2312" w:hAnsi="仿宋_GB2312" w:cs="仿宋_GB2312" w:eastAsia="仿宋_GB2312"/>
              </w:rPr>
              <w:t>2.供电方式： AC 190~250V</w:t>
            </w:r>
          </w:p>
          <w:p>
            <w:pPr>
              <w:pStyle w:val="null3"/>
              <w:spacing w:before="150"/>
            </w:pPr>
            <w:r>
              <w:rPr>
                <w:rFonts w:ascii="仿宋_GB2312" w:hAnsi="仿宋_GB2312" w:cs="仿宋_GB2312" w:eastAsia="仿宋_GB2312"/>
              </w:rPr>
              <w:t xml:space="preserve">3.通讯方式：有线通讯                      </w:t>
            </w:r>
          </w:p>
          <w:p>
            <w:pPr>
              <w:pStyle w:val="null3"/>
              <w:spacing w:before="150"/>
            </w:pPr>
            <w:r>
              <w:rPr>
                <w:rFonts w:ascii="仿宋_GB2312" w:hAnsi="仿宋_GB2312" w:cs="仿宋_GB2312" w:eastAsia="仿宋_GB2312"/>
              </w:rPr>
              <w:t>4.控制方式：控制台控制</w:t>
            </w:r>
          </w:p>
          <w:p>
            <w:pPr>
              <w:pStyle w:val="null3"/>
              <w:spacing w:before="150"/>
            </w:pPr>
            <w:r>
              <w:rPr>
                <w:rFonts w:ascii="仿宋_GB2312" w:hAnsi="仿宋_GB2312" w:cs="仿宋_GB2312" w:eastAsia="仿宋_GB2312"/>
              </w:rPr>
              <w:t>5.整机功率：≤30W</w:t>
            </w:r>
          </w:p>
          <w:p>
            <w:pPr>
              <w:pStyle w:val="null3"/>
              <w:jc w:val="both"/>
            </w:pPr>
            <w:r>
              <w:rPr>
                <w:rFonts w:ascii="仿宋_GB2312" w:hAnsi="仿宋_GB2312" w:cs="仿宋_GB2312" w:eastAsia="仿宋_GB2312"/>
                <w:sz w:val="21"/>
              </w:rPr>
              <w:t>6.结构材质：全钣金机箱</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b/>
              </w:rPr>
              <w:t>四、篮球赛记录员讯响器（数量：</w:t>
            </w:r>
            <w:r>
              <w:rPr>
                <w:rFonts w:ascii="仿宋_GB2312" w:hAnsi="仿宋_GB2312" w:cs="仿宋_GB2312" w:eastAsia="仿宋_GB2312"/>
                <w:b/>
              </w:rPr>
              <w:t>1套）</w:t>
            </w:r>
          </w:p>
          <w:p>
            <w:pPr>
              <w:pStyle w:val="null3"/>
            </w:pPr>
            <w:r>
              <w:rPr>
                <w:rFonts w:ascii="仿宋_GB2312" w:hAnsi="仿宋_GB2312" w:cs="仿宋_GB2312" w:eastAsia="仿宋_GB2312"/>
              </w:rPr>
              <w:t>1.尺寸：175mm×150mm×120mm±5mm</w:t>
            </w:r>
          </w:p>
          <w:p>
            <w:pPr>
              <w:pStyle w:val="null3"/>
            </w:pPr>
            <w:r>
              <w:rPr>
                <w:rFonts w:ascii="仿宋_GB2312" w:hAnsi="仿宋_GB2312" w:cs="仿宋_GB2312" w:eastAsia="仿宋_GB2312"/>
              </w:rPr>
              <w:t>2.供电方式：AC 190~250V</w:t>
            </w:r>
          </w:p>
          <w:p>
            <w:pPr>
              <w:pStyle w:val="null3"/>
            </w:pPr>
            <w:r>
              <w:rPr>
                <w:rFonts w:ascii="仿宋_GB2312" w:hAnsi="仿宋_GB2312" w:cs="仿宋_GB2312" w:eastAsia="仿宋_GB2312"/>
              </w:rPr>
              <w:t>3.整机功耗：10W</w:t>
            </w:r>
          </w:p>
          <w:p>
            <w:pPr>
              <w:pStyle w:val="null3"/>
            </w:pPr>
            <w:r>
              <w:rPr>
                <w:rFonts w:ascii="仿宋_GB2312" w:hAnsi="仿宋_GB2312" w:cs="仿宋_GB2312" w:eastAsia="仿宋_GB2312"/>
              </w:rPr>
              <w:t>4.结构材质：数控钣金机箱</w:t>
            </w:r>
          </w:p>
          <w:p>
            <w:pPr>
              <w:pStyle w:val="null3"/>
            </w:pPr>
            <w:r>
              <w:rPr>
                <w:rFonts w:ascii="仿宋_GB2312" w:hAnsi="仿宋_GB2312" w:cs="仿宋_GB2312" w:eastAsia="仿宋_GB2312"/>
              </w:rPr>
              <w:t>5.颜色：黑色</w:t>
            </w:r>
          </w:p>
          <w:p>
            <w:pPr>
              <w:pStyle w:val="null3"/>
            </w:pPr>
            <w:r>
              <w:rPr>
                <w:rFonts w:ascii="仿宋_GB2312" w:hAnsi="仿宋_GB2312" w:cs="仿宋_GB2312" w:eastAsia="仿宋_GB2312"/>
              </w:rPr>
              <w:t>6.声音：双声≥130dB</w:t>
            </w:r>
          </w:p>
          <w:p>
            <w:pPr>
              <w:pStyle w:val="null3"/>
              <w:jc w:val="both"/>
            </w:pPr>
            <w:r>
              <w:rPr>
                <w:rFonts w:ascii="仿宋_GB2312" w:hAnsi="仿宋_GB2312" w:cs="仿宋_GB2312" w:eastAsia="仿宋_GB2312"/>
                <w:sz w:val="21"/>
              </w:rPr>
              <w:t>7.控制方式：外接按钮控制/打分台联动控制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50"/>
            </w:pPr>
            <w:r>
              <w:rPr>
                <w:rFonts w:ascii="仿宋_GB2312" w:hAnsi="仿宋_GB2312" w:cs="仿宋_GB2312" w:eastAsia="仿宋_GB2312"/>
                <w:b/>
              </w:rPr>
              <w:t>五、</w:t>
            </w:r>
            <w:r>
              <w:rPr>
                <w:rFonts w:ascii="仿宋_GB2312" w:hAnsi="仿宋_GB2312" w:cs="仿宋_GB2312" w:eastAsia="仿宋_GB2312"/>
                <w:b/>
              </w:rPr>
              <w:t>CBA 篮球赛专用软件（数量：1套）</w:t>
            </w:r>
          </w:p>
          <w:p>
            <w:pPr>
              <w:pStyle w:val="null3"/>
              <w:spacing w:before="150"/>
            </w:pPr>
            <w:r>
              <w:rPr>
                <w:rFonts w:ascii="仿宋_GB2312" w:hAnsi="仿宋_GB2312" w:cs="仿宋_GB2312" w:eastAsia="仿宋_GB2312"/>
              </w:rPr>
              <w:t>主要功能：</w:t>
            </w:r>
          </w:p>
          <w:p>
            <w:pPr>
              <w:pStyle w:val="null3"/>
              <w:spacing w:before="150"/>
            </w:pPr>
            <w:r>
              <w:rPr>
                <w:rFonts w:ascii="仿宋_GB2312" w:hAnsi="仿宋_GB2312" w:cs="仿宋_GB2312" w:eastAsia="仿宋_GB2312"/>
              </w:rPr>
              <w:t>1.比赛信息管理功能</w:t>
            </w:r>
          </w:p>
          <w:p>
            <w:pPr>
              <w:pStyle w:val="null3"/>
              <w:spacing w:before="150"/>
            </w:pPr>
            <w:r>
              <w:rPr>
                <w:rFonts w:ascii="仿宋_GB2312" w:hAnsi="仿宋_GB2312" w:cs="仿宋_GB2312" w:eastAsia="仿宋_GB2312"/>
              </w:rPr>
              <w:t>可以预先建立参赛队及队员的登记信息表，各场比赛开赛前，只需要从中选择相应的参赛队即可。</w:t>
            </w:r>
          </w:p>
          <w:p>
            <w:pPr>
              <w:pStyle w:val="null3"/>
              <w:spacing w:before="150"/>
            </w:pPr>
            <w:r>
              <w:rPr>
                <w:rFonts w:ascii="仿宋_GB2312" w:hAnsi="仿宋_GB2312" w:cs="仿宋_GB2312" w:eastAsia="仿宋_GB2312"/>
              </w:rPr>
              <w:t>2.专业记分牌功能</w:t>
            </w:r>
          </w:p>
          <w:p>
            <w:pPr>
              <w:pStyle w:val="null3"/>
              <w:spacing w:before="150"/>
            </w:pPr>
            <w:r>
              <w:rPr>
                <w:rFonts w:ascii="仿宋_GB2312" w:hAnsi="仿宋_GB2312" w:cs="仿宋_GB2312" w:eastAsia="仿宋_GB2312"/>
              </w:rPr>
              <w:t>支持篮球、羽毛球、乒乓球、网球、足球、排球等球类比赛计分需求，显示内容和布局应符合国际比赛规则要求，具备视频插播和网络扩展功能</w:t>
            </w:r>
            <w:r>
              <w:rPr>
                <w:rFonts w:ascii="仿宋_GB2312" w:hAnsi="仿宋_GB2312" w:cs="仿宋_GB2312" w:eastAsia="仿宋_GB2312"/>
              </w:rPr>
              <w:t>.</w:t>
            </w:r>
          </w:p>
          <w:p>
            <w:pPr>
              <w:pStyle w:val="null3"/>
              <w:spacing w:before="150"/>
            </w:pPr>
            <w:r>
              <w:rPr>
                <w:rFonts w:ascii="仿宋_GB2312" w:hAnsi="仿宋_GB2312" w:cs="仿宋_GB2312" w:eastAsia="仿宋_GB2312"/>
              </w:rPr>
              <w:t>3.高度定制化功能</w:t>
            </w:r>
          </w:p>
          <w:p>
            <w:pPr>
              <w:pStyle w:val="null3"/>
              <w:spacing w:before="150"/>
            </w:pPr>
            <w:r>
              <w:rPr>
                <w:rFonts w:ascii="仿宋_GB2312" w:hAnsi="仿宋_GB2312" w:cs="仿宋_GB2312" w:eastAsia="仿宋_GB2312"/>
              </w:rPr>
              <w:t>记分牌中的所有内容可以以图形化方式重新布局，并具备修改字体和颜色功能。</w:t>
            </w:r>
          </w:p>
          <w:p>
            <w:pPr>
              <w:pStyle w:val="null3"/>
              <w:spacing w:before="150"/>
            </w:pPr>
            <w:r>
              <w:rPr>
                <w:rFonts w:ascii="仿宋_GB2312" w:hAnsi="仿宋_GB2312" w:cs="仿宋_GB2312" w:eastAsia="仿宋_GB2312"/>
              </w:rPr>
              <w:t>4.强大的媒体播放功能</w:t>
            </w:r>
          </w:p>
          <w:p>
            <w:pPr>
              <w:pStyle w:val="null3"/>
              <w:spacing w:before="150"/>
            </w:pPr>
            <w:r>
              <w:rPr>
                <w:rFonts w:ascii="仿宋_GB2312" w:hAnsi="仿宋_GB2312" w:cs="仿宋_GB2312" w:eastAsia="仿宋_GB2312"/>
              </w:rPr>
              <w:t>可以在预先建立的媒体播放列表中，添加各类文字，图片，动画，以及比赛现场的实时视频。比赛过程中，可以迅速的切换比分画面和媒体画面。</w:t>
            </w:r>
          </w:p>
          <w:p>
            <w:pPr>
              <w:pStyle w:val="null3"/>
              <w:spacing w:before="150"/>
            </w:pPr>
            <w:r>
              <w:rPr>
                <w:rFonts w:ascii="仿宋_GB2312" w:hAnsi="仿宋_GB2312" w:cs="仿宋_GB2312" w:eastAsia="仿宋_GB2312"/>
              </w:rPr>
              <w:t>5.便捷的裁判操作界面</w:t>
            </w:r>
          </w:p>
          <w:p>
            <w:pPr>
              <w:pStyle w:val="null3"/>
              <w:spacing w:before="150"/>
            </w:pPr>
            <w:r>
              <w:rPr>
                <w:rFonts w:ascii="仿宋_GB2312" w:hAnsi="仿宋_GB2312" w:cs="仿宋_GB2312" w:eastAsia="仿宋_GB2312"/>
              </w:rPr>
              <w:t>各类比赛的裁判操作界面都根据实际需要进行了优化，大多数常用功能只需要操作键盘快捷键即可完成。</w:t>
            </w:r>
          </w:p>
          <w:p>
            <w:pPr>
              <w:pStyle w:val="null3"/>
              <w:spacing w:before="150"/>
            </w:pPr>
            <w:r>
              <w:rPr>
                <w:rFonts w:ascii="仿宋_GB2312" w:hAnsi="仿宋_GB2312" w:cs="仿宋_GB2312" w:eastAsia="仿宋_GB2312"/>
              </w:rPr>
              <w:t>6.详尽的比赛过程记录</w:t>
            </w:r>
          </w:p>
          <w:p>
            <w:pPr>
              <w:pStyle w:val="null3"/>
              <w:spacing w:before="150"/>
            </w:pPr>
            <w:r>
              <w:rPr>
                <w:rFonts w:ascii="仿宋_GB2312" w:hAnsi="仿宋_GB2312" w:cs="仿宋_GB2312" w:eastAsia="仿宋_GB2312"/>
              </w:rPr>
              <w:t>比赛过程中所有的打分操作都将会被一一记录下来，便于日后查询和技术统计。</w:t>
            </w:r>
          </w:p>
          <w:p>
            <w:pPr>
              <w:pStyle w:val="null3"/>
              <w:spacing w:before="150"/>
            </w:pPr>
            <w:r>
              <w:rPr>
                <w:rFonts w:ascii="仿宋_GB2312" w:hAnsi="仿宋_GB2312" w:cs="仿宋_GB2312" w:eastAsia="仿宋_GB2312"/>
              </w:rPr>
              <w:t>7.强大的网络协同功能</w:t>
            </w:r>
          </w:p>
          <w:p>
            <w:pPr>
              <w:pStyle w:val="null3"/>
              <w:spacing w:before="150"/>
            </w:pPr>
            <w:r>
              <w:rPr>
                <w:rFonts w:ascii="仿宋_GB2312" w:hAnsi="仿宋_GB2312" w:cs="仿宋_GB2312" w:eastAsia="仿宋_GB2312"/>
              </w:rPr>
              <w:t>可以自由选择使用系统中的多个模块，以局域网互连的方式进行协同工作。</w:t>
            </w:r>
          </w:p>
          <w:p>
            <w:pPr>
              <w:pStyle w:val="null3"/>
              <w:spacing w:before="150"/>
            </w:pPr>
            <w:r>
              <w:rPr>
                <w:rFonts w:ascii="仿宋_GB2312" w:hAnsi="仿宋_GB2312" w:cs="仿宋_GB2312" w:eastAsia="仿宋_GB2312"/>
              </w:rPr>
              <w:t>8.安全可靠性</w:t>
            </w:r>
          </w:p>
          <w:p>
            <w:pPr>
              <w:pStyle w:val="null3"/>
              <w:spacing w:before="150"/>
            </w:pPr>
            <w:r>
              <w:rPr>
                <w:rFonts w:ascii="仿宋_GB2312" w:hAnsi="仿宋_GB2312" w:cs="仿宋_GB2312" w:eastAsia="仿宋_GB2312"/>
              </w:rPr>
              <w:t>比赛过程中自动备份功能，电脑断电等故障后，只需轻点鼠标即可恢复先前画面。</w:t>
            </w:r>
          </w:p>
          <w:p>
            <w:pPr>
              <w:pStyle w:val="null3"/>
              <w:spacing w:before="150"/>
            </w:pPr>
            <w:r>
              <w:rPr>
                <w:rFonts w:ascii="仿宋_GB2312" w:hAnsi="仿宋_GB2312" w:cs="仿宋_GB2312" w:eastAsia="仿宋_GB2312"/>
              </w:rPr>
              <w:t>9.可扩展性</w:t>
            </w:r>
          </w:p>
          <w:p>
            <w:pPr>
              <w:pStyle w:val="null3"/>
              <w:jc w:val="both"/>
            </w:pPr>
            <w:r>
              <w:rPr>
                <w:rFonts w:ascii="仿宋_GB2312" w:hAnsi="仿宋_GB2312" w:cs="仿宋_GB2312" w:eastAsia="仿宋_GB2312"/>
                <w:sz w:val="21"/>
              </w:rPr>
              <w:t>支持连接符合行业标准的电子计时器、操作面板等外部设备。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150"/>
            </w:pPr>
            <w:r>
              <w:rPr>
                <w:rFonts w:ascii="仿宋_GB2312" w:hAnsi="仿宋_GB2312" w:cs="仿宋_GB2312" w:eastAsia="仿宋_GB2312"/>
                <w:b/>
              </w:rPr>
              <w:t>六、篮球</w:t>
            </w:r>
            <w:r>
              <w:rPr>
                <w:rFonts w:ascii="仿宋_GB2312" w:hAnsi="仿宋_GB2312" w:cs="仿宋_GB2312" w:eastAsia="仿宋_GB2312"/>
                <w:b/>
              </w:rPr>
              <w:t>(7号球10个和6号球10个)</w:t>
            </w:r>
          </w:p>
          <w:p>
            <w:pPr>
              <w:pStyle w:val="null3"/>
              <w:spacing w:before="150"/>
            </w:pPr>
            <w:r>
              <w:rPr>
                <w:rFonts w:ascii="仿宋_GB2312" w:hAnsi="仿宋_GB2312" w:cs="仿宋_GB2312" w:eastAsia="仿宋_GB2312"/>
              </w:rPr>
              <w:t>执行</w:t>
            </w:r>
            <w:r>
              <w:rPr>
                <w:rFonts w:ascii="仿宋_GB2312" w:hAnsi="仿宋_GB2312" w:cs="仿宋_GB2312" w:eastAsia="仿宋_GB2312"/>
              </w:rPr>
              <w:t>GB/T22868-2008篮球合格品的要求</w:t>
            </w:r>
          </w:p>
          <w:p>
            <w:pPr>
              <w:pStyle w:val="null3"/>
              <w:spacing w:before="150"/>
            </w:pPr>
            <w:r>
              <w:rPr>
                <w:rFonts w:ascii="仿宋_GB2312" w:hAnsi="仿宋_GB2312" w:cs="仿宋_GB2312" w:eastAsia="仿宋_GB2312"/>
              </w:rPr>
              <w:t>1.圆周长749-780mm、圆周差≤5.0mm、质量567g～650g、回弹高度≥1150-1400mm；</w:t>
            </w:r>
          </w:p>
          <w:p>
            <w:pPr>
              <w:pStyle w:val="null3"/>
              <w:spacing w:before="150"/>
            </w:pPr>
            <w:r>
              <w:rPr>
                <w:rFonts w:ascii="仿宋_GB2312" w:hAnsi="仿宋_GB2312" w:cs="仿宋_GB2312" w:eastAsia="仿宋_GB2312"/>
              </w:rPr>
              <w:t>2.PU(PU:丁基内胆，耐冲击次数8000次不变形、无开胶)；</w:t>
            </w:r>
          </w:p>
          <w:p>
            <w:pPr>
              <w:pStyle w:val="null3"/>
              <w:jc w:val="both"/>
            </w:pPr>
            <w:r>
              <w:rPr>
                <w:rFonts w:ascii="仿宋_GB2312" w:hAnsi="仿宋_GB2312" w:cs="仿宋_GB2312" w:eastAsia="仿宋_GB2312"/>
                <w:sz w:val="21"/>
              </w:rPr>
              <w:t>3.外表面以目测为主，商标、图案、色泽等字迹清晰、图案端正、色彩鲜艳，球片粘接无缝隙，符合产品的要求，表面无破损、脱落等现象，在1m目测距球表面污渍、颜色不均匀不明显。</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b/>
              </w:rPr>
              <w:t>七、篮球收纳筐（数量：</w:t>
            </w:r>
            <w:r>
              <w:rPr>
                <w:rFonts w:ascii="仿宋_GB2312" w:hAnsi="仿宋_GB2312" w:cs="仿宋_GB2312" w:eastAsia="仿宋_GB2312"/>
                <w:b/>
              </w:rPr>
              <w:t>4个）</w:t>
            </w:r>
          </w:p>
          <w:p>
            <w:pPr>
              <w:pStyle w:val="null3"/>
            </w:pPr>
            <w:r>
              <w:rPr>
                <w:rFonts w:ascii="仿宋_GB2312" w:hAnsi="仿宋_GB2312" w:cs="仿宋_GB2312" w:eastAsia="仿宋_GB2312"/>
              </w:rPr>
              <w:t>1.移动拆装式,适用于中小学生教学训练用。</w:t>
            </w:r>
          </w:p>
          <w:p>
            <w:pPr>
              <w:pStyle w:val="null3"/>
            </w:pPr>
            <w:r>
              <w:rPr>
                <w:rFonts w:ascii="仿宋_GB2312" w:hAnsi="仿宋_GB2312" w:cs="仿宋_GB2312" w:eastAsia="仿宋_GB2312"/>
              </w:rPr>
              <w:t>2.立柱采用直径30mm的钢管焊接而成</w:t>
            </w:r>
          </w:p>
          <w:p>
            <w:pPr>
              <w:pStyle w:val="null3"/>
            </w:pPr>
            <w:r>
              <w:rPr>
                <w:rFonts w:ascii="仿宋_GB2312" w:hAnsi="仿宋_GB2312" w:cs="仿宋_GB2312" w:eastAsia="仿宋_GB2312"/>
              </w:rPr>
              <w:t>3.采用优质工程塑料板做成的推动式字幕框，推动式字幕框与支架能牢固连接；</w:t>
            </w:r>
          </w:p>
          <w:p>
            <w:pPr>
              <w:pStyle w:val="null3"/>
            </w:pPr>
            <w:r>
              <w:rPr>
                <w:rFonts w:ascii="仿宋_GB2312" w:hAnsi="仿宋_GB2312" w:cs="仿宋_GB2312" w:eastAsia="仿宋_GB2312"/>
              </w:rPr>
              <w:t>4.金属架抛丸喷砂或酸洗磷化，静电喷涂</w:t>
            </w:r>
          </w:p>
          <w:p>
            <w:pPr>
              <w:pStyle w:val="null3"/>
            </w:pPr>
            <w:r>
              <w:rPr>
                <w:rFonts w:ascii="仿宋_GB2312" w:hAnsi="仿宋_GB2312" w:cs="仿宋_GB2312" w:eastAsia="仿宋_GB2312"/>
              </w:rPr>
              <w:t>5.可至少容纳25个7号球或30个6号球</w:t>
            </w:r>
          </w:p>
          <w:p>
            <w:pPr>
              <w:pStyle w:val="null3"/>
              <w:jc w:val="both"/>
            </w:pPr>
            <w:r>
              <w:rPr>
                <w:rFonts w:ascii="仿宋_GB2312" w:hAnsi="仿宋_GB2312" w:cs="仿宋_GB2312" w:eastAsia="仿宋_GB2312"/>
                <w:sz w:val="21"/>
              </w:rPr>
              <w:t>6.底部配重或固定装置，移动部件应配有锁定装置</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b/>
              </w:rPr>
              <w:t>八、羽毛球地胶（数量：</w:t>
            </w:r>
            <w:r>
              <w:rPr>
                <w:rFonts w:ascii="仿宋_GB2312" w:hAnsi="仿宋_GB2312" w:cs="仿宋_GB2312" w:eastAsia="仿宋_GB2312"/>
                <w:b/>
              </w:rPr>
              <w:t>4块）</w:t>
            </w:r>
          </w:p>
          <w:p>
            <w:pPr>
              <w:pStyle w:val="null3"/>
              <w:ind w:firstLine="200"/>
            </w:pPr>
            <w:r>
              <w:rPr>
                <w:rFonts w:ascii="仿宋_GB2312" w:hAnsi="仿宋_GB2312" w:cs="仿宋_GB2312" w:eastAsia="仿宋_GB2312"/>
              </w:rPr>
              <w:t>PVC运动地板，100%原生料生产加工而成，无毒、无味、绿色环保，耐磨抗污，刚性支撑夹带层，双色双倍率无钙致密发泡弹性层，背板为密闭式防移动背板。</w:t>
            </w:r>
          </w:p>
          <w:p>
            <w:pPr>
              <w:pStyle w:val="null3"/>
            </w:pPr>
            <w:r>
              <w:rPr>
                <w:rFonts w:ascii="仿宋_GB2312" w:hAnsi="仿宋_GB2312" w:cs="仿宋_GB2312" w:eastAsia="仿宋_GB2312"/>
                <w:b/>
              </w:rPr>
              <w:t>产品参数：</w:t>
            </w:r>
          </w:p>
          <w:p>
            <w:pPr>
              <w:pStyle w:val="null3"/>
            </w:pPr>
            <w:r>
              <w:rPr>
                <w:rFonts w:ascii="仿宋_GB2312" w:hAnsi="仿宋_GB2312" w:cs="仿宋_GB2312" w:eastAsia="仿宋_GB2312"/>
                <w:b/>
              </w:rPr>
              <w:t>物理性能：</w:t>
            </w:r>
          </w:p>
          <w:p>
            <w:pPr>
              <w:pStyle w:val="null3"/>
            </w:pPr>
            <w:r>
              <w:rPr>
                <w:rFonts w:ascii="仿宋_GB2312" w:hAnsi="仿宋_GB2312" w:cs="仿宋_GB2312" w:eastAsia="仿宋_GB2312"/>
              </w:rPr>
              <w:t>（</w:t>
            </w:r>
            <w:r>
              <w:rPr>
                <w:rFonts w:ascii="仿宋_GB2312" w:hAnsi="仿宋_GB2312" w:cs="仿宋_GB2312" w:eastAsia="仿宋_GB2312"/>
              </w:rPr>
              <w:t>1）运动地板规格要求：总厚度：5.1±0.1mm</w:t>
            </w:r>
          </w:p>
          <w:p>
            <w:pPr>
              <w:pStyle w:val="null3"/>
            </w:pPr>
            <w:r>
              <w:rPr>
                <w:rFonts w:ascii="仿宋_GB2312" w:hAnsi="仿宋_GB2312" w:cs="仿宋_GB2312" w:eastAsia="仿宋_GB2312"/>
              </w:rPr>
              <w:t>（</w:t>
            </w:r>
            <w:r>
              <w:rPr>
                <w:rFonts w:ascii="仿宋_GB2312" w:hAnsi="仿宋_GB2312" w:cs="仿宋_GB2312" w:eastAsia="仿宋_GB2312"/>
              </w:rPr>
              <w:t>2）冲击吸收（23±2℃）:20%-50%</w:t>
            </w:r>
          </w:p>
          <w:p>
            <w:pPr>
              <w:pStyle w:val="null3"/>
            </w:pPr>
            <w:r>
              <w:rPr>
                <w:rFonts w:ascii="仿宋_GB2312" w:hAnsi="仿宋_GB2312" w:cs="仿宋_GB2312" w:eastAsia="仿宋_GB2312"/>
              </w:rPr>
              <w:t>（</w:t>
            </w:r>
            <w:r>
              <w:rPr>
                <w:rFonts w:ascii="仿宋_GB2312" w:hAnsi="仿宋_GB2312" w:cs="仿宋_GB2312" w:eastAsia="仿宋_GB2312"/>
              </w:rPr>
              <w:t>3）垂直变形：0.6-3.0mm</w:t>
            </w:r>
          </w:p>
          <w:p>
            <w:pPr>
              <w:pStyle w:val="null3"/>
            </w:pPr>
            <w:r>
              <w:rPr>
                <w:rFonts w:ascii="仿宋_GB2312" w:hAnsi="仿宋_GB2312" w:cs="仿宋_GB2312" w:eastAsia="仿宋_GB2312"/>
              </w:rPr>
              <w:t>（</w:t>
            </w:r>
            <w:r>
              <w:rPr>
                <w:rFonts w:ascii="仿宋_GB2312" w:hAnsi="仿宋_GB2312" w:cs="仿宋_GB2312" w:eastAsia="仿宋_GB2312"/>
              </w:rPr>
              <w:t>4）抗滑值（BPN,20℃）：80-110（干测）</w:t>
            </w:r>
          </w:p>
          <w:p>
            <w:pPr>
              <w:pStyle w:val="null3"/>
            </w:pPr>
            <w:r>
              <w:rPr>
                <w:rFonts w:ascii="仿宋_GB2312" w:hAnsi="仿宋_GB2312" w:cs="仿宋_GB2312" w:eastAsia="仿宋_GB2312"/>
                <w:b/>
              </w:rPr>
              <w:t>化学性能：</w:t>
            </w:r>
          </w:p>
          <w:p>
            <w:pPr>
              <w:pStyle w:val="null3"/>
            </w:pPr>
            <w:r>
              <w:rPr>
                <w:rFonts w:ascii="仿宋_GB2312" w:hAnsi="仿宋_GB2312" w:cs="仿宋_GB2312" w:eastAsia="仿宋_GB2312"/>
              </w:rPr>
              <w:t>（</w:t>
            </w:r>
            <w:r>
              <w:rPr>
                <w:rFonts w:ascii="仿宋_GB2312" w:hAnsi="仿宋_GB2312" w:cs="仿宋_GB2312" w:eastAsia="仿宋_GB2312"/>
              </w:rPr>
              <w:t>5）氯乙烯单体≤5mg/kg</w:t>
            </w:r>
          </w:p>
          <w:p>
            <w:pPr>
              <w:pStyle w:val="null3"/>
            </w:pPr>
            <w:r>
              <w:rPr>
                <w:rFonts w:ascii="仿宋_GB2312" w:hAnsi="仿宋_GB2312" w:cs="仿宋_GB2312" w:eastAsia="仿宋_GB2312"/>
              </w:rPr>
              <w:t>（</w:t>
            </w:r>
            <w:r>
              <w:rPr>
                <w:rFonts w:ascii="仿宋_GB2312" w:hAnsi="仿宋_GB2312" w:cs="仿宋_GB2312" w:eastAsia="仿宋_GB2312"/>
              </w:rPr>
              <w:t>6）可溶性铅≤20mg/㎡</w:t>
            </w:r>
          </w:p>
          <w:p>
            <w:pPr>
              <w:pStyle w:val="null3"/>
            </w:pPr>
            <w:r>
              <w:rPr>
                <w:rFonts w:ascii="仿宋_GB2312" w:hAnsi="仿宋_GB2312" w:cs="仿宋_GB2312" w:eastAsia="仿宋_GB2312"/>
              </w:rPr>
              <w:t>（</w:t>
            </w:r>
            <w:r>
              <w:rPr>
                <w:rFonts w:ascii="仿宋_GB2312" w:hAnsi="仿宋_GB2312" w:cs="仿宋_GB2312" w:eastAsia="仿宋_GB2312"/>
              </w:rPr>
              <w:t>7）可溶性镉≤20mg/㎡</w:t>
            </w:r>
          </w:p>
          <w:p>
            <w:pPr>
              <w:pStyle w:val="null3"/>
            </w:pPr>
            <w:r>
              <w:rPr>
                <w:rFonts w:ascii="仿宋_GB2312" w:hAnsi="仿宋_GB2312" w:cs="仿宋_GB2312" w:eastAsia="仿宋_GB2312"/>
              </w:rPr>
              <w:t>（</w:t>
            </w:r>
            <w:r>
              <w:rPr>
                <w:rFonts w:ascii="仿宋_GB2312" w:hAnsi="仿宋_GB2312" w:cs="仿宋_GB2312" w:eastAsia="仿宋_GB2312"/>
              </w:rPr>
              <w:t>8）挥发物≤75g/㎡</w:t>
            </w:r>
          </w:p>
          <w:p>
            <w:pPr>
              <w:pStyle w:val="null3"/>
            </w:pPr>
            <w:r>
              <w:rPr>
                <w:rFonts w:ascii="仿宋_GB2312" w:hAnsi="仿宋_GB2312" w:cs="仿宋_GB2312" w:eastAsia="仿宋_GB2312"/>
              </w:rPr>
              <w:t>（</w:t>
            </w:r>
            <w:r>
              <w:rPr>
                <w:rFonts w:ascii="仿宋_GB2312" w:hAnsi="仿宋_GB2312" w:cs="仿宋_GB2312" w:eastAsia="仿宋_GB2312"/>
              </w:rPr>
              <w:t>9）有害物质锑、砷、钡等不低于8种可迁移元素未检出，需提供国家认可的检测机构报告（开标现场将通过全国认证认可信息公共服务平台查询</w:t>
            </w:r>
          </w:p>
          <w:p>
            <w:pPr>
              <w:pStyle w:val="null3"/>
            </w:pPr>
            <w:r>
              <w:rPr>
                <w:rFonts w:ascii="仿宋_GB2312" w:hAnsi="仿宋_GB2312" w:cs="仿宋_GB2312" w:eastAsia="仿宋_GB2312"/>
                <w:b/>
              </w:rPr>
              <w:t>老化性能：</w:t>
            </w:r>
          </w:p>
          <w:p>
            <w:pPr>
              <w:pStyle w:val="null3"/>
            </w:pPr>
            <w:r>
              <w:rPr>
                <w:rFonts w:ascii="仿宋_GB2312" w:hAnsi="仿宋_GB2312" w:cs="仿宋_GB2312" w:eastAsia="仿宋_GB2312"/>
              </w:rPr>
              <w:t>（</w:t>
            </w:r>
            <w:r>
              <w:rPr>
                <w:rFonts w:ascii="仿宋_GB2312" w:hAnsi="仿宋_GB2312" w:cs="仿宋_GB2312" w:eastAsia="仿宋_GB2312"/>
              </w:rPr>
              <w:t>10）★为保证运动地板耐臭氧老化，≥10000h臭氧老化检测报告，邵氏硬度依据GB/T531.1-2008检测标准70-90Shore A，需提供国家认可的检测机构报告（开标现场将通过全国认证认可信息公共服务平台查询。</w:t>
            </w:r>
          </w:p>
          <w:p>
            <w:pPr>
              <w:pStyle w:val="null3"/>
            </w:pPr>
            <w:r>
              <w:rPr>
                <w:rFonts w:ascii="仿宋_GB2312" w:hAnsi="仿宋_GB2312" w:cs="仿宋_GB2312" w:eastAsia="仿宋_GB2312"/>
              </w:rPr>
              <w:t>（</w:t>
            </w:r>
            <w:r>
              <w:rPr>
                <w:rFonts w:ascii="仿宋_GB2312" w:hAnsi="仿宋_GB2312" w:cs="仿宋_GB2312" w:eastAsia="仿宋_GB2312"/>
              </w:rPr>
              <w:t>11）★为保证产品质保年限及运动性能不衰减，≥36个月老化检测报告，冲击吸收符合GB36246-2018标准（0℃，23℃，50℃）:20-50%，垂直变形符合GB36246-2018标准0.6-3.0mm；球反弹符合GB/T14833-2020标准≥90%，需提供国家认可的检测机构报告（开标现场将通过全国认证认可信息公共服务平台查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12）★为保证产品的耐盐腐蚀性，如汗水等，≥6500h中性盐雾老化试验检测报告，拉伸强度≥0.4MPa；断裂伸长率≥40%，需提供国家认可的检测机构报告（开标现场将通过全国认证认可信息公共服务平台查询。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为了有效降低病毒的传播效率，提供安全可靠的运动环境，≥2000h耐消毒水-中性洗涤剂循环试验检测报告，外观：无起泡、无出油、无裂纹、无塌陷、无折皱、无污染、无粉化，无明显色差，灰卡等级4-5级，需提供国家认可的检测机构报告，开标现场将通过全国认证认可信息公共服务平台查询。</w:t>
            </w:r>
          </w:p>
          <w:p>
            <w:pPr>
              <w:pStyle w:val="null3"/>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b/>
              </w:rPr>
              <w:t>九、羽毛球柱（含球网）（数量：</w:t>
            </w:r>
            <w:r>
              <w:rPr>
                <w:rFonts w:ascii="仿宋_GB2312" w:hAnsi="仿宋_GB2312" w:cs="仿宋_GB2312" w:eastAsia="仿宋_GB2312"/>
                <w:b/>
              </w:rPr>
              <w:t>4套）</w:t>
            </w:r>
          </w:p>
          <w:p>
            <w:pPr>
              <w:pStyle w:val="null3"/>
            </w:pPr>
            <w:r>
              <w:rPr>
                <w:rFonts w:ascii="仿宋_GB2312" w:hAnsi="仿宋_GB2312" w:cs="仿宋_GB2312" w:eastAsia="仿宋_GB2312"/>
              </w:rPr>
              <w:t>结构稳定、调节精准，移动方便，各项技术要求达到国家标准，通过世界羽联认证。添加横向底杠设计，加强网柱横向稳定性。</w:t>
            </w:r>
          </w:p>
          <w:p>
            <w:pPr>
              <w:pStyle w:val="null3"/>
            </w:pPr>
            <w:r>
              <w:rPr>
                <w:rFonts w:ascii="仿宋_GB2312" w:hAnsi="仿宋_GB2312" w:cs="仿宋_GB2312" w:eastAsia="仿宋_GB2312"/>
              </w:rPr>
              <w:t>羽毛球网柱产品参数：</w:t>
            </w:r>
          </w:p>
          <w:p>
            <w:pPr>
              <w:pStyle w:val="null3"/>
            </w:pPr>
            <w:r>
              <w:rPr>
                <w:rFonts w:ascii="仿宋_GB2312" w:hAnsi="仿宋_GB2312" w:cs="仿宋_GB2312" w:eastAsia="仿宋_GB2312"/>
              </w:rPr>
              <w:t>产品材质：网柱部分为无缝钢管，底座部分为固化钢板</w:t>
            </w:r>
          </w:p>
          <w:p>
            <w:pPr>
              <w:pStyle w:val="null3"/>
            </w:pPr>
            <w:r>
              <w:rPr>
                <w:rFonts w:ascii="仿宋_GB2312" w:hAnsi="仿宋_GB2312" w:cs="仿宋_GB2312" w:eastAsia="仿宋_GB2312"/>
              </w:rPr>
              <w:t>产品规格：</w:t>
            </w:r>
            <w:r>
              <w:rPr>
                <w:rFonts w:ascii="仿宋_GB2312" w:hAnsi="仿宋_GB2312" w:cs="仿宋_GB2312" w:eastAsia="仿宋_GB2312"/>
              </w:rPr>
              <w:t>130kg±5kg</w:t>
            </w:r>
          </w:p>
          <w:p>
            <w:pPr>
              <w:pStyle w:val="null3"/>
            </w:pPr>
            <w:r>
              <w:rPr>
                <w:rFonts w:ascii="仿宋_GB2312" w:hAnsi="仿宋_GB2312" w:cs="仿宋_GB2312" w:eastAsia="仿宋_GB2312"/>
              </w:rPr>
              <w:t>网柱尺寸：高度为</w:t>
            </w:r>
            <w:r>
              <w:rPr>
                <w:rFonts w:ascii="仿宋_GB2312" w:hAnsi="仿宋_GB2312" w:cs="仿宋_GB2312" w:eastAsia="仿宋_GB2312"/>
              </w:rPr>
              <w:t>155cm±5cm</w:t>
            </w:r>
          </w:p>
          <w:p>
            <w:pPr>
              <w:pStyle w:val="null3"/>
              <w:jc w:val="both"/>
            </w:pPr>
            <w:r>
              <w:rPr>
                <w:rFonts w:ascii="仿宋_GB2312" w:hAnsi="仿宋_GB2312" w:cs="仿宋_GB2312" w:eastAsia="仿宋_GB2312"/>
                <w:sz w:val="21"/>
              </w:rPr>
              <w:t>网柱底座尺寸：</w:t>
            </w:r>
            <w:r>
              <w:rPr>
                <w:rFonts w:ascii="仿宋_GB2312" w:hAnsi="仿宋_GB2312" w:cs="仿宋_GB2312" w:eastAsia="仿宋_GB2312"/>
                <w:sz w:val="21"/>
              </w:rPr>
              <w:t>64cm（长）*43cm（宽）*21cm（高）±2cm</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b/>
              </w:rPr>
              <w:t>十、匹克球地胶（数量：</w:t>
            </w:r>
            <w:r>
              <w:rPr>
                <w:rFonts w:ascii="仿宋_GB2312" w:hAnsi="仿宋_GB2312" w:cs="仿宋_GB2312" w:eastAsia="仿宋_GB2312"/>
                <w:b/>
              </w:rPr>
              <w:t>2块）</w:t>
            </w:r>
          </w:p>
          <w:p>
            <w:pPr>
              <w:pStyle w:val="null3"/>
            </w:pPr>
            <w:r>
              <w:rPr>
                <w:rFonts w:ascii="仿宋_GB2312" w:hAnsi="仿宋_GB2312" w:cs="仿宋_GB2312" w:eastAsia="仿宋_GB2312"/>
              </w:rPr>
              <w:t>产品要求：</w:t>
            </w:r>
          </w:p>
          <w:p>
            <w:pPr>
              <w:pStyle w:val="null3"/>
            </w:pPr>
            <w:r>
              <w:rPr>
                <w:rFonts w:ascii="仿宋_GB2312" w:hAnsi="仿宋_GB2312" w:cs="仿宋_GB2312" w:eastAsia="仿宋_GB2312"/>
              </w:rPr>
              <w:t>匹克球运动专用地胶，采用密实的纯</w:t>
            </w:r>
            <w:r>
              <w:rPr>
                <w:rFonts w:ascii="仿宋_GB2312" w:hAnsi="仿宋_GB2312" w:cs="仿宋_GB2312" w:eastAsia="仿宋_GB2312"/>
              </w:rPr>
              <w:t>PVC材料，环保原材料，无毒无味，绿色安全。耐高低温，安装便捷，色彩美观。RSPU面层处理技术（高分子弹性体纳米涂覆技术）可抗褪色、抗紫外线、抗老化出油，专业纹路，加入防滑颗粒处理，适合专业匹克球场地使用。</w:t>
            </w:r>
          </w:p>
          <w:p>
            <w:pPr>
              <w:pStyle w:val="null3"/>
            </w:pPr>
            <w:r>
              <w:rPr>
                <w:rFonts w:ascii="仿宋_GB2312" w:hAnsi="仿宋_GB2312" w:cs="仿宋_GB2312" w:eastAsia="仿宋_GB2312"/>
              </w:rPr>
              <w:t>产品参数：</w:t>
            </w:r>
          </w:p>
          <w:p>
            <w:pPr>
              <w:pStyle w:val="null3"/>
            </w:pPr>
            <w:r>
              <w:rPr>
                <w:rFonts w:ascii="仿宋_GB2312" w:hAnsi="仿宋_GB2312" w:cs="仿宋_GB2312" w:eastAsia="仿宋_GB2312"/>
              </w:rPr>
              <w:t>物理性能：</w:t>
            </w:r>
          </w:p>
          <w:p>
            <w:pPr>
              <w:pStyle w:val="null3"/>
            </w:pPr>
            <w:r>
              <w:rPr>
                <w:rFonts w:ascii="仿宋_GB2312" w:hAnsi="仿宋_GB2312" w:cs="仿宋_GB2312" w:eastAsia="仿宋_GB2312"/>
              </w:rPr>
              <w:t>（</w:t>
            </w:r>
            <w:r>
              <w:rPr>
                <w:rFonts w:ascii="仿宋_GB2312" w:hAnsi="仿宋_GB2312" w:cs="仿宋_GB2312" w:eastAsia="仿宋_GB2312"/>
              </w:rPr>
              <w:t>1）运动地板规格要求：总厚度：3.0mm±0.1mm</w:t>
            </w:r>
          </w:p>
          <w:p>
            <w:pPr>
              <w:pStyle w:val="null3"/>
            </w:pPr>
            <w:r>
              <w:rPr>
                <w:rFonts w:ascii="仿宋_GB2312" w:hAnsi="仿宋_GB2312" w:cs="仿宋_GB2312" w:eastAsia="仿宋_GB2312"/>
              </w:rPr>
              <w:t>（</w:t>
            </w:r>
            <w:r>
              <w:rPr>
                <w:rFonts w:ascii="仿宋_GB2312" w:hAnsi="仿宋_GB2312" w:cs="仿宋_GB2312" w:eastAsia="仿宋_GB2312"/>
              </w:rPr>
              <w:t>2）冲击吸收（23±2℃）:20%-50%</w:t>
            </w:r>
          </w:p>
          <w:p>
            <w:pPr>
              <w:pStyle w:val="null3"/>
            </w:pPr>
            <w:r>
              <w:rPr>
                <w:rFonts w:ascii="仿宋_GB2312" w:hAnsi="仿宋_GB2312" w:cs="仿宋_GB2312" w:eastAsia="仿宋_GB2312"/>
              </w:rPr>
              <w:t>（</w:t>
            </w:r>
            <w:r>
              <w:rPr>
                <w:rFonts w:ascii="仿宋_GB2312" w:hAnsi="仿宋_GB2312" w:cs="仿宋_GB2312" w:eastAsia="仿宋_GB2312"/>
              </w:rPr>
              <w:t>3）垂直变形：0.6mm-3.0mm</w:t>
            </w:r>
          </w:p>
          <w:p>
            <w:pPr>
              <w:pStyle w:val="null3"/>
            </w:pPr>
            <w:r>
              <w:rPr>
                <w:rFonts w:ascii="仿宋_GB2312" w:hAnsi="仿宋_GB2312" w:cs="仿宋_GB2312" w:eastAsia="仿宋_GB2312"/>
              </w:rPr>
              <w:t>（</w:t>
            </w:r>
            <w:r>
              <w:rPr>
                <w:rFonts w:ascii="仿宋_GB2312" w:hAnsi="仿宋_GB2312" w:cs="仿宋_GB2312" w:eastAsia="仿宋_GB2312"/>
              </w:rPr>
              <w:t>4）抗滑值（BPN,20℃）：80-110（干测）</w:t>
            </w:r>
          </w:p>
          <w:p>
            <w:pPr>
              <w:pStyle w:val="null3"/>
            </w:pPr>
            <w:r>
              <w:rPr>
                <w:rFonts w:ascii="仿宋_GB2312" w:hAnsi="仿宋_GB2312" w:cs="仿宋_GB2312" w:eastAsia="仿宋_GB2312"/>
              </w:rPr>
              <w:t>化学性能：</w:t>
            </w:r>
          </w:p>
          <w:p>
            <w:pPr>
              <w:pStyle w:val="null3"/>
            </w:pPr>
            <w:r>
              <w:rPr>
                <w:rFonts w:ascii="仿宋_GB2312" w:hAnsi="仿宋_GB2312" w:cs="仿宋_GB2312" w:eastAsia="仿宋_GB2312"/>
              </w:rPr>
              <w:t>（</w:t>
            </w:r>
            <w:r>
              <w:rPr>
                <w:rFonts w:ascii="仿宋_GB2312" w:hAnsi="仿宋_GB2312" w:cs="仿宋_GB2312" w:eastAsia="仿宋_GB2312"/>
              </w:rPr>
              <w:t>5）氯乙烯单体≤5mg/kg</w:t>
            </w:r>
          </w:p>
          <w:p>
            <w:pPr>
              <w:pStyle w:val="null3"/>
            </w:pPr>
            <w:r>
              <w:rPr>
                <w:rFonts w:ascii="仿宋_GB2312" w:hAnsi="仿宋_GB2312" w:cs="仿宋_GB2312" w:eastAsia="仿宋_GB2312"/>
              </w:rPr>
              <w:t>（</w:t>
            </w:r>
            <w:r>
              <w:rPr>
                <w:rFonts w:ascii="仿宋_GB2312" w:hAnsi="仿宋_GB2312" w:cs="仿宋_GB2312" w:eastAsia="仿宋_GB2312"/>
              </w:rPr>
              <w:t>6）可溶性铅≤20mg/㎡</w:t>
            </w:r>
          </w:p>
          <w:p>
            <w:pPr>
              <w:pStyle w:val="null3"/>
            </w:pPr>
            <w:r>
              <w:rPr>
                <w:rFonts w:ascii="仿宋_GB2312" w:hAnsi="仿宋_GB2312" w:cs="仿宋_GB2312" w:eastAsia="仿宋_GB2312"/>
              </w:rPr>
              <w:t>（</w:t>
            </w:r>
            <w:r>
              <w:rPr>
                <w:rFonts w:ascii="仿宋_GB2312" w:hAnsi="仿宋_GB2312" w:cs="仿宋_GB2312" w:eastAsia="仿宋_GB2312"/>
              </w:rPr>
              <w:t>7）可溶性镉≤20mg/㎡</w:t>
            </w:r>
          </w:p>
          <w:p>
            <w:pPr>
              <w:pStyle w:val="null3"/>
            </w:pPr>
            <w:r>
              <w:rPr>
                <w:rFonts w:ascii="仿宋_GB2312" w:hAnsi="仿宋_GB2312" w:cs="仿宋_GB2312" w:eastAsia="仿宋_GB2312"/>
              </w:rPr>
              <w:t>（</w:t>
            </w:r>
            <w:r>
              <w:rPr>
                <w:rFonts w:ascii="仿宋_GB2312" w:hAnsi="仿宋_GB2312" w:cs="仿宋_GB2312" w:eastAsia="仿宋_GB2312"/>
              </w:rPr>
              <w:t>8）挥发物≤75g/㎡</w:t>
            </w:r>
          </w:p>
          <w:p>
            <w:pPr>
              <w:pStyle w:val="null3"/>
            </w:pPr>
            <w:r>
              <w:rPr>
                <w:rFonts w:ascii="仿宋_GB2312" w:hAnsi="仿宋_GB2312" w:cs="仿宋_GB2312" w:eastAsia="仿宋_GB2312"/>
              </w:rPr>
              <w:t>（</w:t>
            </w:r>
            <w:r>
              <w:rPr>
                <w:rFonts w:ascii="仿宋_GB2312" w:hAnsi="仿宋_GB2312" w:cs="仿宋_GB2312" w:eastAsia="仿宋_GB2312"/>
              </w:rPr>
              <w:t>9）有害物质锑、砷、钡等不低于8种可迁移元素未检出，需提供国家认可的检测机构报告，开标现场将通过全国认证认可信息公共服务平台查询</w:t>
            </w:r>
          </w:p>
          <w:p>
            <w:pPr>
              <w:pStyle w:val="null3"/>
            </w:pPr>
            <w:r>
              <w:rPr>
                <w:rFonts w:ascii="仿宋_GB2312" w:hAnsi="仿宋_GB2312" w:cs="仿宋_GB2312" w:eastAsia="仿宋_GB2312"/>
              </w:rPr>
              <w:t>老化性能：</w:t>
            </w:r>
          </w:p>
          <w:p>
            <w:pPr>
              <w:pStyle w:val="null3"/>
            </w:pPr>
            <w:r>
              <w:rPr>
                <w:rFonts w:ascii="仿宋_GB2312" w:hAnsi="仿宋_GB2312" w:cs="仿宋_GB2312" w:eastAsia="仿宋_GB2312"/>
              </w:rPr>
              <w:t>（</w:t>
            </w:r>
            <w:r>
              <w:rPr>
                <w:rFonts w:ascii="仿宋_GB2312" w:hAnsi="仿宋_GB2312" w:cs="仿宋_GB2312" w:eastAsia="仿宋_GB2312"/>
              </w:rPr>
              <w:t>10）★为保证运动地板耐臭氧老化，≥10000h臭氧老化检测报告，邵氏硬度依据GB/T531.1-2008检测标准70-90Shore A，需提供国家认可的检测机构报告（开标现场将通过全国认证认可信息公共服务平台查询。</w:t>
            </w:r>
          </w:p>
          <w:p>
            <w:pPr>
              <w:pStyle w:val="null3"/>
            </w:pPr>
            <w:r>
              <w:rPr>
                <w:rFonts w:ascii="仿宋_GB2312" w:hAnsi="仿宋_GB2312" w:cs="仿宋_GB2312" w:eastAsia="仿宋_GB2312"/>
              </w:rPr>
              <w:t>（</w:t>
            </w:r>
            <w:r>
              <w:rPr>
                <w:rFonts w:ascii="仿宋_GB2312" w:hAnsi="仿宋_GB2312" w:cs="仿宋_GB2312" w:eastAsia="仿宋_GB2312"/>
              </w:rPr>
              <w:t>11）★为保证产品质保年限及运动性能不衰减，≥36个月老化检测报告，冲击吸收符合GB36246-2018标准（0℃，23℃，50℃）:20-50%，垂直变形符合GB36246-2018标准0.6-3.0mm；球反弹符合GB/T14833-2020标准≥90%，需提供国家认可的检测机构报告，开标现场将通过全国认证认可信息公共服务平台查询。</w:t>
            </w:r>
          </w:p>
          <w:p>
            <w:pPr>
              <w:pStyle w:val="null3"/>
            </w:pPr>
            <w:r>
              <w:rPr>
                <w:rFonts w:ascii="仿宋_GB2312" w:hAnsi="仿宋_GB2312" w:cs="仿宋_GB2312" w:eastAsia="仿宋_GB2312"/>
              </w:rPr>
              <w:t>（</w:t>
            </w:r>
            <w:r>
              <w:rPr>
                <w:rFonts w:ascii="仿宋_GB2312" w:hAnsi="仿宋_GB2312" w:cs="仿宋_GB2312" w:eastAsia="仿宋_GB2312"/>
              </w:rPr>
              <w:t>12）★为保证产品的耐盐腐蚀性，如汗水等，≥6500h中性盐雾老化试验检测报告，拉伸强度≥0.4MPa；断裂伸长率≥40%，需提供国家认可的检测机构报告（开标现场将通过全国认证认可信息公共服务平台查询。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为了有效降低病毒的传播效率，提供安全可靠的运动环境，≥2000h耐消毒水-中性洗涤剂循环试验检测报告，外观：无起泡、无出油、无裂纹、无塌陷、无折皱、无污染、无粉化，无明显色差，灰卡等级4-5级，需提供国家认可的检测机构报告，开标现场将通过全国认证认可信息公共服务平台查询。</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b/>
              </w:rPr>
              <w:t>十一、匹克球柱（含球网）（数量：</w:t>
            </w:r>
            <w:r>
              <w:rPr>
                <w:rFonts w:ascii="仿宋_GB2312" w:hAnsi="仿宋_GB2312" w:cs="仿宋_GB2312" w:eastAsia="仿宋_GB2312"/>
                <w:b/>
              </w:rPr>
              <w:t>2套）</w:t>
            </w:r>
          </w:p>
          <w:p>
            <w:pPr>
              <w:pStyle w:val="null3"/>
            </w:pPr>
            <w:r>
              <w:rPr>
                <w:rFonts w:ascii="仿宋_GB2312" w:hAnsi="仿宋_GB2312" w:cs="仿宋_GB2312" w:eastAsia="仿宋_GB2312"/>
              </w:rPr>
              <w:t>材质</w:t>
            </w:r>
            <w:r>
              <w:rPr>
                <w:rFonts w:ascii="仿宋_GB2312" w:hAnsi="仿宋_GB2312" w:cs="仿宋_GB2312" w:eastAsia="仿宋_GB2312"/>
              </w:rPr>
              <w:t>:球桂支架均采用捣镀锌管材:耐腐蚀性能强，使用寿命长。</w:t>
            </w:r>
          </w:p>
          <w:p>
            <w:pPr>
              <w:pStyle w:val="null3"/>
            </w:pPr>
            <w:r>
              <w:rPr>
                <w:rFonts w:ascii="仿宋_GB2312" w:hAnsi="仿宋_GB2312" w:cs="仿宋_GB2312" w:eastAsia="仿宋_GB2312"/>
              </w:rPr>
              <w:t>移动方式</w:t>
            </w:r>
            <w:r>
              <w:rPr>
                <w:rFonts w:ascii="仿宋_GB2312" w:hAnsi="仿宋_GB2312" w:cs="仿宋_GB2312" w:eastAsia="仿宋_GB2312"/>
              </w:rPr>
              <w:t>:球柱底部配置专业万向塑胶轮，可随时移动和固定，并配有304不锈钢支撑园，可调节标准高度</w:t>
            </w:r>
          </w:p>
          <w:p>
            <w:pPr>
              <w:pStyle w:val="null3"/>
            </w:pPr>
            <w:r>
              <w:rPr>
                <w:rFonts w:ascii="仿宋_GB2312" w:hAnsi="仿宋_GB2312" w:cs="仿宋_GB2312" w:eastAsia="仿宋_GB2312"/>
              </w:rPr>
              <w:t>工艺</w:t>
            </w:r>
            <w:r>
              <w:rPr>
                <w:rFonts w:ascii="仿宋_GB2312" w:hAnsi="仿宋_GB2312" w:cs="仿宋_GB2312" w:eastAsia="仿宋_GB2312"/>
              </w:rPr>
              <w:t>:管材表面碘化后经超耐候聚酯粉未静电喷涂，适合全天候环境设计:外置繁绳益收紧，球柱内侧焊接U型边杆，有效收紧球r适用范围:适用于多功能球场、室内或楼顶匹克球场地。</w:t>
            </w:r>
          </w:p>
          <w:p>
            <w:pPr>
              <w:pStyle w:val="null3"/>
            </w:pPr>
            <w:r>
              <w:rPr>
                <w:rFonts w:ascii="仿宋_GB2312" w:hAnsi="仿宋_GB2312" w:cs="仿宋_GB2312" w:eastAsia="仿宋_GB2312"/>
              </w:rPr>
              <w:t>外型尺寸</w:t>
            </w:r>
            <w:r>
              <w:rPr>
                <w:rFonts w:ascii="仿宋_GB2312" w:hAnsi="仿宋_GB2312" w:cs="仿宋_GB2312" w:eastAsia="仿宋_GB2312"/>
              </w:rPr>
              <w:t>:长7030mm×宽1000mms×高9l4mmm±10mm</w:t>
            </w:r>
          </w:p>
          <w:p>
            <w:pPr>
              <w:pStyle w:val="null3"/>
            </w:pPr>
            <w:r>
              <w:rPr>
                <w:rFonts w:ascii="仿宋_GB2312" w:hAnsi="仿宋_GB2312" w:cs="仿宋_GB2312" w:eastAsia="仿宋_GB2312"/>
              </w:rPr>
              <w:t>型材</w:t>
            </w:r>
            <w:r>
              <w:rPr>
                <w:rFonts w:ascii="仿宋_GB2312" w:hAnsi="仿宋_GB2312" w:cs="仿宋_GB2312" w:eastAsia="仿宋_GB2312"/>
              </w:rPr>
              <w:t>:80mm×80mm</w:t>
            </w:r>
          </w:p>
          <w:p>
            <w:pPr>
              <w:pStyle w:val="null3"/>
            </w:pPr>
            <w:r>
              <w:rPr>
                <w:rFonts w:ascii="仿宋_GB2312" w:hAnsi="仿宋_GB2312" w:cs="仿宋_GB2312" w:eastAsia="仿宋_GB2312"/>
              </w:rPr>
              <w:t>壁厚</w:t>
            </w:r>
            <w:r>
              <w:rPr>
                <w:rFonts w:ascii="仿宋_GB2312" w:hAnsi="仿宋_GB2312" w:cs="仿宋_GB2312" w:eastAsia="仿宋_GB2312"/>
              </w:rPr>
              <w:t>:2mm</w:t>
            </w:r>
          </w:p>
          <w:p>
            <w:pPr>
              <w:pStyle w:val="null3"/>
            </w:pPr>
            <w:r>
              <w:rPr>
                <w:rFonts w:ascii="仿宋_GB2312" w:hAnsi="仿宋_GB2312" w:cs="仿宋_GB2312" w:eastAsia="仿宋_GB2312"/>
              </w:rPr>
              <w:t>地面高度</w:t>
            </w:r>
            <w:r>
              <w:rPr>
                <w:rFonts w:ascii="仿宋_GB2312" w:hAnsi="仿宋_GB2312" w:cs="仿宋_GB2312" w:eastAsia="仿宋_GB2312"/>
              </w:rPr>
              <w:t>:914mm</w:t>
            </w:r>
          </w:p>
          <w:p>
            <w:pPr>
              <w:pStyle w:val="null3"/>
              <w:jc w:val="both"/>
            </w:pPr>
            <w:r>
              <w:rPr>
                <w:rFonts w:ascii="仿宋_GB2312" w:hAnsi="仿宋_GB2312" w:cs="仿宋_GB2312" w:eastAsia="仿宋_GB2312"/>
                <w:sz w:val="21"/>
              </w:rPr>
              <w:t>匹克球中网</w:t>
            </w:r>
            <w:r>
              <w:rPr>
                <w:rFonts w:ascii="仿宋_GB2312" w:hAnsi="仿宋_GB2312" w:cs="仿宋_GB2312" w:eastAsia="仿宋_GB2312"/>
                <w:sz w:val="21"/>
              </w:rPr>
              <w:t>:配备专用匹克球网</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b/>
              </w:rPr>
              <w:t>十二、地胶收卷器（数量：</w:t>
            </w:r>
            <w:r>
              <w:rPr>
                <w:rFonts w:ascii="仿宋_GB2312" w:hAnsi="仿宋_GB2312" w:cs="仿宋_GB2312" w:eastAsia="仿宋_GB2312"/>
                <w:b/>
              </w:rPr>
              <w:t>3个）</w:t>
            </w:r>
          </w:p>
          <w:p>
            <w:pPr>
              <w:pStyle w:val="null3"/>
            </w:pPr>
            <w:r>
              <w:rPr>
                <w:rFonts w:ascii="仿宋_GB2312" w:hAnsi="仿宋_GB2312" w:cs="仿宋_GB2312" w:eastAsia="仿宋_GB2312"/>
              </w:rPr>
              <w:t>材质：</w:t>
            </w:r>
            <w:r>
              <w:rPr>
                <w:rFonts w:ascii="仿宋_GB2312" w:hAnsi="仿宋_GB2312" w:cs="仿宋_GB2312" w:eastAsia="仿宋_GB2312"/>
              </w:rPr>
              <w:t>PPR优等管材，具有超强韧性与抗冲击性能</w:t>
            </w:r>
          </w:p>
          <w:p>
            <w:pPr>
              <w:pStyle w:val="null3"/>
            </w:pPr>
            <w:r>
              <w:rPr>
                <w:rFonts w:ascii="仿宋_GB2312" w:hAnsi="仿宋_GB2312" w:cs="仿宋_GB2312" w:eastAsia="仿宋_GB2312"/>
              </w:rPr>
              <w:t>规格：长度：</w:t>
            </w:r>
            <w:r>
              <w:rPr>
                <w:rFonts w:ascii="仿宋_GB2312" w:hAnsi="仿宋_GB2312" w:cs="仿宋_GB2312" w:eastAsia="仿宋_GB2312"/>
              </w:rPr>
              <w:t>720cm±5cm、直径：20cm±1cm、壁厚：9mm±1mm</w:t>
            </w:r>
          </w:p>
          <w:p>
            <w:pPr>
              <w:pStyle w:val="null3"/>
            </w:pPr>
            <w:r>
              <w:rPr>
                <w:rFonts w:ascii="仿宋_GB2312" w:hAnsi="仿宋_GB2312" w:cs="仿宋_GB2312" w:eastAsia="仿宋_GB2312"/>
              </w:rPr>
              <w:t>颜色：橘黄色</w:t>
            </w:r>
          </w:p>
          <w:p>
            <w:pPr>
              <w:pStyle w:val="null3"/>
              <w:jc w:val="both"/>
            </w:pPr>
            <w:r>
              <w:rPr>
                <w:rFonts w:ascii="仿宋_GB2312" w:hAnsi="仿宋_GB2312" w:cs="仿宋_GB2312" w:eastAsia="仿宋_GB2312"/>
                <w:sz w:val="21"/>
              </w:rPr>
              <w:t>适用场地：适用于羽毛球场地</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rPr>
              <w:t>十三、其他要求：</w:t>
            </w:r>
          </w:p>
          <w:p>
            <w:pPr>
              <w:pStyle w:val="null3"/>
              <w:jc w:val="both"/>
            </w:pPr>
            <w:r>
              <w:rPr>
                <w:rFonts w:ascii="仿宋_GB2312" w:hAnsi="仿宋_GB2312" w:cs="仿宋_GB2312" w:eastAsia="仿宋_GB2312"/>
                <w:sz w:val="21"/>
              </w:rPr>
              <w:t>1.投标人所提供的产品必须是全新、未使用过的，并符合国家有关制造标准和环保要求的原厂正品，不得使用任何劣货、假货等产品。贴牌或以次充好产品按无效投标处理。</w:t>
            </w:r>
          </w:p>
          <w:p>
            <w:pPr>
              <w:pStyle w:val="null3"/>
              <w:jc w:val="both"/>
            </w:pPr>
            <w:r>
              <w:rPr>
                <w:rFonts w:ascii="仿宋_GB2312" w:hAnsi="仿宋_GB2312" w:cs="仿宋_GB2312" w:eastAsia="仿宋_GB2312"/>
                <w:sz w:val="21"/>
              </w:rPr>
              <w:t>2.投标人提供的产品技术性能指标应能全面适应（或超出）采购要求，不得降低采购技术标准和档次,且需列出详细对应的技术参数偏离表，所投产品技术指标、功能参数与采购要求相比不得存在缺项、漏项。</w:t>
            </w:r>
          </w:p>
          <w:p>
            <w:pPr>
              <w:pStyle w:val="null3"/>
              <w:jc w:val="both"/>
            </w:pPr>
            <w:r>
              <w:rPr>
                <w:rFonts w:ascii="仿宋_GB2312" w:hAnsi="仿宋_GB2312" w:cs="仿宋_GB2312" w:eastAsia="仿宋_GB2312"/>
                <w:sz w:val="21"/>
              </w:rPr>
              <w:t>3.投标人不得虚报各项技术指标，若所提供的系统性能及器械指标不能达到招标文件要求及投标文件的承诺和相关技术规范、行业规定等技术要求，中标人必须接受全额退还货款，并承担由此给招标人造成的经济损失。</w:t>
            </w:r>
          </w:p>
          <w:p>
            <w:pPr>
              <w:pStyle w:val="null3"/>
              <w:jc w:val="both"/>
            </w:pPr>
            <w:r>
              <w:rPr>
                <w:rFonts w:ascii="仿宋_GB2312" w:hAnsi="仿宋_GB2312" w:cs="仿宋_GB2312" w:eastAsia="仿宋_GB2312"/>
                <w:sz w:val="21"/>
              </w:rPr>
              <w:t>4.投标人应制定质量保证方案及安全保证措施，对保证产品质量投入必要的人力、物力，保证服务过程中的关键节点的质量达标。</w:t>
            </w:r>
          </w:p>
          <w:p>
            <w:pPr>
              <w:pStyle w:val="null3"/>
              <w:jc w:val="both"/>
            </w:pPr>
            <w:r>
              <w:rPr>
                <w:rFonts w:ascii="仿宋_GB2312" w:hAnsi="仿宋_GB2312" w:cs="仿宋_GB2312" w:eastAsia="仿宋_GB2312"/>
                <w:sz w:val="21"/>
              </w:rPr>
              <w:t>5.交付使用前出现任何不合格情况，一律退换新品。在质量保证期内发生的性能不合格（非使用不当原因造成），除招标人同意修复者外，应退换新品。</w:t>
            </w:r>
          </w:p>
          <w:p>
            <w:pPr>
              <w:pStyle w:val="null3"/>
              <w:jc w:val="both"/>
            </w:pPr>
            <w:r>
              <w:rPr>
                <w:rFonts w:ascii="仿宋_GB2312" w:hAnsi="仿宋_GB2312" w:cs="仿宋_GB2312" w:eastAsia="仿宋_GB2312"/>
                <w:sz w:val="21"/>
              </w:rPr>
              <w:t>6.中标人应保证其货物在正常使用和保养条件下，在其使用寿命期内应具有良好的性能。货物最终验收后，中标人应对由于设计、工艺或材料的缺陷而发生的任何不足或故障负责(经法定检验机构检验)，并承担由此引起的一切后果。</w:t>
            </w:r>
          </w:p>
          <w:p>
            <w:pPr>
              <w:pStyle w:val="null3"/>
              <w:jc w:val="both"/>
            </w:pPr>
            <w:r>
              <w:rPr>
                <w:rFonts w:ascii="仿宋_GB2312" w:hAnsi="仿宋_GB2312" w:cs="仿宋_GB2312" w:eastAsia="仿宋_GB2312"/>
                <w:sz w:val="21"/>
              </w:rPr>
              <w:t>7.中标人提供的采购标的应符合国家知识产权法律、法规的规定且非假冒伪劣品；中标人还应保证招标人不受到第三方关于侵犯知识产权及专利权、商标权或工业设计权等知识产权方面的指控，任何第三方如果提出此方面指控均与招标人无关，中标人应与第三方交涉，并承担可能发生的一切法律责任、费用和后果；若招标人因此而遭致损失，则中标人应赔偿该损失。</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rPr>
              <w:t>十四、包装、运输和供货要求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1.中标人负责按国家相关标准进行货物包装且包装必须为制造商原厂包装，产品的包装均应有良好的防湿、防雨及防碰撞的措施。凡由于包装不良造成的损失和由此产生的费用均由中标人承担。</w:t>
            </w:r>
          </w:p>
          <w:p>
            <w:pPr>
              <w:pStyle w:val="null3"/>
              <w:jc w:val="both"/>
            </w:pPr>
            <w:r>
              <w:rPr>
                <w:rFonts w:ascii="仿宋_GB2312" w:hAnsi="仿宋_GB2312" w:cs="仿宋_GB2312" w:eastAsia="仿宋_GB2312"/>
                <w:sz w:val="21"/>
              </w:rPr>
              <w:t>2.中标人应提供产品运输。在产品供货时，如出现不正常情况（如产品损坏、故障、达不到良好的效果、达不到技术规范或产品本身说明书的指标等），中标人应在不延误供货时间的情况下从速免费替换。</w:t>
            </w:r>
          </w:p>
          <w:p>
            <w:pPr>
              <w:pStyle w:val="null3"/>
              <w:jc w:val="both"/>
            </w:pPr>
            <w:r>
              <w:rPr>
                <w:rFonts w:ascii="仿宋_GB2312" w:hAnsi="仿宋_GB2312" w:cs="仿宋_GB2312" w:eastAsia="仿宋_GB2312"/>
                <w:sz w:val="21"/>
              </w:rPr>
              <w:t>3.中标人应组织供货，对各阶段进度及关键任务及时间节点进行部署实施，安排供货所需人员及设备，制定风险控制措施，确保在要求的供货期内完成。</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rPr>
              <w:t>十五、验收方案</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验收由招标人及相关人员依据国家有关标准、合同及有关附件要求进行，所有器材各指标和参数应符合验收标准，验收不合格时，中标人必须在招标人指定的时间内无条件更换，由此造成的损失由中标人负全部责任。更换后，招标人对所更换的器材进行检验，检验不合格将取消中标人的中标资格。</w:t>
            </w:r>
          </w:p>
          <w:p>
            <w:pPr>
              <w:pStyle w:val="null3"/>
              <w:jc w:val="both"/>
            </w:pPr>
            <w:r>
              <w:rPr>
                <w:rFonts w:ascii="仿宋_GB2312" w:hAnsi="仿宋_GB2312" w:cs="仿宋_GB2312" w:eastAsia="仿宋_GB2312"/>
                <w:sz w:val="21"/>
              </w:rPr>
              <w:t>2.对于承诺符合要求的产品，招标人在验收时如发现产品的技术参数或性能不符合使用要求，有权终止合同并按虚假、无效投标处理。</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rPr>
              <w:t>十六、售后服务要求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投标人应按照本采购项目特点提供长期良好的售后服务，并在投标文件中提供详细具体的售后服务承诺条款及保证(涉及售后服务保障体系、紧急故障处理、售后服务人员安排、维护维修措施及方案、质保期内服务措施及方案、响应时间、备品备件情况、调换货方案)，在质保期内售后服务所需费用列入投标总价中。</w:t>
            </w:r>
          </w:p>
          <w:p>
            <w:pPr>
              <w:pStyle w:val="null3"/>
              <w:jc w:val="both"/>
            </w:pPr>
            <w:r>
              <w:rPr>
                <w:rFonts w:ascii="仿宋_GB2312" w:hAnsi="仿宋_GB2312" w:cs="仿宋_GB2312" w:eastAsia="仿宋_GB2312"/>
                <w:sz w:val="21"/>
              </w:rPr>
              <w:t>2.质保期内产品产生质量问题时，中标人接到服务请求后1个小时内响应，在接到招标人通知后须给予明确的答复，并在3小时内应委派专业技术人员到现场提供咨询、维修和更换等服务，并及时填写维修报告（包括故障原因、处理情况及买方意见等）报招标人备案，若48小时内无法排除故障，则应先提供同档次备用产品供招标人使用，其中发生一切费用由中标人承担。质保期内如同一故障发生三次，或在2月内无法修复，中标人应无条件换货，立即更换新产品。</w:t>
            </w:r>
          </w:p>
          <w:p>
            <w:pPr>
              <w:pStyle w:val="null3"/>
              <w:jc w:val="both"/>
            </w:pPr>
            <w:r>
              <w:rPr>
                <w:rFonts w:ascii="仿宋_GB2312" w:hAnsi="仿宋_GB2312" w:cs="仿宋_GB2312" w:eastAsia="仿宋_GB2312"/>
                <w:sz w:val="21"/>
              </w:rPr>
              <w:t>3.质保期满前1个月内，中标人应就所有产品进行一次全面检查，并写出正式报告，如发现潜在问题，应负责排除。如出现质量问题，在质保期内对器材进行维修和零配件的更换。</w:t>
            </w:r>
          </w:p>
          <w:p>
            <w:pPr>
              <w:pStyle w:val="null3"/>
              <w:jc w:val="both"/>
            </w:pPr>
            <w:r>
              <w:rPr>
                <w:rFonts w:ascii="仿宋_GB2312" w:hAnsi="仿宋_GB2312" w:cs="仿宋_GB2312" w:eastAsia="仿宋_GB2312"/>
                <w:sz w:val="21"/>
              </w:rPr>
              <w:t>4.若中标人未按上述要求履行售后服务，招标人有权让第三方维修，维修、更换费用由中标人承担。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陕西开放大学指定地点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完成项目全部内容并验收合格后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自验收合格之日起质保8年，终身维护。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（二）未按合同要求的提供产品或设备质量不能满足技术要求，采购人有权终止合同，甚至对供方违约行为进行追究。 （三）如有纠纷，双方友好协商解决，协商不成时可诉讼到甲方所在地人民法院解决。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1、本项目落实的政府采购政策： 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若享受以上政策优惠的企业，提供相应声明函或品目范围内产品有效认证证书。如有最新颁布的政府采购政策，按最新的文件执行。 2、为顺利推进政府采购电子化交易平台应用工作，投标人需要在线提交所有通过电子化交易平台实施的政府采购项目的投标文件，同时，线下提交纸质投标文件正本壹份、副本贰份。 3、纸质投标文件正、副本分别胶装，标明投标人名称密封递交，递交截止时间同在线递交投标电子文件截止时间一致，递交地址：西安市雁展路1111号莱安中心T6-15层。（纸质投标文件可邮寄（仅接受顺丰速运），邮件签收时间应在递交电子投标文件截止时间之前，邮寄地址：西安市雁展路1111号莱安中心T6-15层，联系人：谢婷婷，联系电话：029-81206622/81206633-832）。 4、若电子投标文件与纸质投标文件不一致的，以电子投标文件为准。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“★”的参数需求为实质性要求，是否满足招标文件要求</w:t>
            </w:r>
          </w:p>
        </w:tc>
        <w:tc>
          <w:tcPr>
            <w:tcW w:type="dxa" w:w="1661"/>
          </w:tcPr>
          <w:p>
            <w:pPr>
              <w:pStyle w:val="null3"/>
            </w:pPr>
            <w:r>
              <w:rPr>
                <w:rFonts w:ascii="仿宋_GB2312" w:hAnsi="仿宋_GB2312" w:cs="仿宋_GB2312" w:eastAsia="仿宋_GB2312"/>
              </w:rPr>
              <w:t>详细评审---技术参数.docx 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开标一览表 投标人资格条件证明文件.docx 分项报价表.docx 投标函 商务应答表 标的清单 投标文件封面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根据采购清单中各项产品技术及实现功能等采购要求，对供应商报价清单及技术偏离表进行评审，规格、参数、功能明确，符合采购清单要求得33分；参数每负偏离一项扣0.4分，扣完为止。 注：提供投标产品的主要技术指标、参数的相应的证明材料，经评审专家审定得分。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整体项目方案</w:t>
            </w:r>
          </w:p>
        </w:tc>
        <w:tc>
          <w:tcPr>
            <w:tcW w:type="dxa" w:w="2492"/>
          </w:tcPr>
          <w:p>
            <w:pPr>
              <w:pStyle w:val="null3"/>
            </w:pPr>
            <w:r>
              <w:rPr>
                <w:rFonts w:ascii="仿宋_GB2312" w:hAnsi="仿宋_GB2312" w:cs="仿宋_GB2312" w:eastAsia="仿宋_GB2312"/>
              </w:rPr>
              <w:t>投标人在采购人对于供货、布局、安装、验收要求的基础上，提供优化后的实施方案，保障采购人能更快更顺利的投入使用，包括但不限于：①供货方案及布局设计；②实施计划及进度计划；③安装及调试方案；④项目团队人员配置；⑤验收配合方案；方案各部分内容全面详细、阐述条理清晰详尽、符合本项目采购需求得10分；以上分项每缺少一项内容扣2分；有某一项不完整或不符合交付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详细评审---整体项目方案.docx</w:t>
            </w:r>
          </w:p>
        </w:tc>
      </w:tr>
      <w:tr>
        <w:tc>
          <w:tcPr>
            <w:tcW w:type="dxa" w:w="831"/>
            <w:vMerge/>
          </w:tcPr>
          <w:p/>
        </w:tc>
        <w:tc>
          <w:tcPr>
            <w:tcW w:type="dxa" w:w="1661"/>
          </w:tcPr>
          <w:p>
            <w:pPr>
              <w:pStyle w:val="null3"/>
            </w:pPr>
            <w:r>
              <w:rPr>
                <w:rFonts w:ascii="仿宋_GB2312" w:hAnsi="仿宋_GB2312" w:cs="仿宋_GB2312" w:eastAsia="仿宋_GB2312"/>
              </w:rPr>
              <w:t>产品质量方案</w:t>
            </w:r>
          </w:p>
        </w:tc>
        <w:tc>
          <w:tcPr>
            <w:tcW w:type="dxa" w:w="2492"/>
          </w:tcPr>
          <w:p>
            <w:pPr>
              <w:pStyle w:val="null3"/>
            </w:pPr>
            <w:r>
              <w:rPr>
                <w:rFonts w:ascii="仿宋_GB2312" w:hAnsi="仿宋_GB2312" w:cs="仿宋_GB2312" w:eastAsia="仿宋_GB2312"/>
              </w:rPr>
              <w:t>投标人针对本项目提供详细的产品质量保障方案，包括但不限于：①所投产品制造厂家有可靠、完善的管理制度；有足够的设计、工艺、加工、检验能力；②提供所投产品货源渠道正规的证明材料（不限于制造商授权函或销售协议等）。方案各部分内容全面详细、阐述条理清晰详尽、符合本项目采购需求得4分；以上分项每缺少一项内容扣2分；有某一项不完整或不符合实际要求或不满足交付要求或套用其他项目内容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详细评审---产品质量方案.docx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1分，每有一项为环境标志产品经国家认证的得1分，每有一项获得中国环境标志（II型）产品认证证书的得3分；满分4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投标人或制造商提供近三年（合同签订时间为2022年7月1日至今）类似投标产品业绩，每提供一份得1分，最多得4分。 注：必须同时提供与业绩合同原件及对应的公示网页，未提供或提供不全不计分。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详细评审---企业业绩.docx</w:t>
            </w:r>
          </w:p>
        </w:tc>
      </w:tr>
      <w:tr>
        <w:tc>
          <w:tcPr>
            <w:tcW w:type="dxa" w:w="831"/>
            <w:vMerge/>
          </w:tcPr>
          <w:p/>
        </w:tc>
        <w:tc>
          <w:tcPr>
            <w:tcW w:type="dxa" w:w="1661"/>
          </w:tcPr>
          <w:p>
            <w:pPr>
              <w:pStyle w:val="null3"/>
            </w:pPr>
            <w:r>
              <w:rPr>
                <w:rFonts w:ascii="仿宋_GB2312" w:hAnsi="仿宋_GB2312" w:cs="仿宋_GB2312" w:eastAsia="仿宋_GB2312"/>
              </w:rPr>
              <w:t>器材保险</w:t>
            </w:r>
          </w:p>
        </w:tc>
        <w:tc>
          <w:tcPr>
            <w:tcW w:type="dxa" w:w="2492"/>
          </w:tcPr>
          <w:p>
            <w:pPr>
              <w:pStyle w:val="null3"/>
            </w:pPr>
            <w:r>
              <w:rPr>
                <w:rFonts w:ascii="仿宋_GB2312" w:hAnsi="仿宋_GB2312" w:cs="仿宋_GB2312" w:eastAsia="仿宋_GB2312"/>
              </w:rPr>
              <w:t>投标人或制造商具有有效期内的产品质量险、产品责任险、公众责任险、意外伤害险，每提供一份得0.5分，最高得2分。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详细评审---器材保险.docx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投标人或制造商通过 ISO9001 质量管理体系认证、ISO14001 环境管理体系认证、ISO45001职业健康安全管理体系认证证书，每提供一项得1分，最高得3分。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详细评审---体系认证.docx</w:t>
            </w:r>
          </w:p>
        </w:tc>
      </w:tr>
      <w:tr>
        <w:tc>
          <w:tcPr>
            <w:tcW w:type="dxa" w:w="831"/>
            <w:vMerge/>
          </w:tcPr>
          <w:p/>
        </w:tc>
        <w:tc>
          <w:tcPr>
            <w:tcW w:type="dxa" w:w="1661"/>
          </w:tcPr>
          <w:p>
            <w:pPr>
              <w:pStyle w:val="null3"/>
            </w:pPr>
            <w:r>
              <w:rPr>
                <w:rFonts w:ascii="仿宋_GB2312" w:hAnsi="仿宋_GB2312" w:cs="仿宋_GB2312" w:eastAsia="仿宋_GB2312"/>
              </w:rPr>
              <w:t>产品售后方案</w:t>
            </w:r>
          </w:p>
        </w:tc>
        <w:tc>
          <w:tcPr>
            <w:tcW w:type="dxa" w:w="2492"/>
          </w:tcPr>
          <w:p>
            <w:pPr>
              <w:pStyle w:val="null3"/>
            </w:pPr>
            <w:r>
              <w:rPr>
                <w:rFonts w:ascii="仿宋_GB2312" w:hAnsi="仿宋_GB2312" w:cs="仿宋_GB2312" w:eastAsia="仿宋_GB2312"/>
              </w:rPr>
              <w:t>投标人在采购人对于售后要求的基础上，提供优化后的产品售后方案，保障采购人使用，包括但不限于：①备品备件库及应急补换货预案；②售后服务方案（须包含解决问题能力、紧急故障处理预案、故障维修响应时间等）；③保养方案（须包含在使用寿命期能具有良好的性能以及有效的延长使用寿命期的方法）。方案各部分内容全面详细、阐述条理清晰详尽、符合本项目采购需求得6分；以上分项每缺少一项内容扣2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详细评审---产品售后方案.docx</w:t>
            </w:r>
          </w:p>
        </w:tc>
      </w:tr>
      <w:tr>
        <w:tc>
          <w:tcPr>
            <w:tcW w:type="dxa" w:w="831"/>
            <w:vMerge/>
          </w:tcPr>
          <w:p/>
        </w:tc>
        <w:tc>
          <w:tcPr>
            <w:tcW w:type="dxa" w:w="1661"/>
          </w:tcPr>
          <w:p>
            <w:pPr>
              <w:pStyle w:val="null3"/>
            </w:pPr>
            <w:r>
              <w:rPr>
                <w:rFonts w:ascii="仿宋_GB2312" w:hAnsi="仿宋_GB2312" w:cs="仿宋_GB2312" w:eastAsia="仿宋_GB2312"/>
              </w:rPr>
              <w:t>产品培训方案</w:t>
            </w:r>
          </w:p>
        </w:tc>
        <w:tc>
          <w:tcPr>
            <w:tcW w:type="dxa" w:w="2492"/>
          </w:tcPr>
          <w:p>
            <w:pPr>
              <w:pStyle w:val="null3"/>
            </w:pPr>
            <w:r>
              <w:rPr>
                <w:rFonts w:ascii="仿宋_GB2312" w:hAnsi="仿宋_GB2312" w:cs="仿宋_GB2312" w:eastAsia="仿宋_GB2312"/>
              </w:rPr>
              <w:t>投标人在采购人对于技术培训要求的基础上，提供优化后的产品培训方案，保障采购人能更快更顺利的投入使用，包括但不限于：①培训计划，含培训计划表、地点、时间及培训对象人数等；②培训内容，含所提供产品的原理和技术性能、操作维护方法、安装调试、排除故障等。方案各部分内容全面详细、阐述条理清晰详尽、符合本项目采购需求得4分；以上分项每缺少一项内容扣2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详细评审---产品培训方案.docx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详见附件：详细评审---企业业绩.docx</w:t>
      </w:r>
    </w:p>
    <w:p>
      <w:pPr>
        <w:pStyle w:val="null3"/>
        <w:ind w:firstLine="960"/>
      </w:pPr>
      <w:r>
        <w:rPr>
          <w:rFonts w:ascii="仿宋_GB2312" w:hAnsi="仿宋_GB2312" w:cs="仿宋_GB2312" w:eastAsia="仿宋_GB2312"/>
        </w:rPr>
        <w:t>详见附件：详细评审---器材保险.docx</w:t>
      </w:r>
    </w:p>
    <w:p>
      <w:pPr>
        <w:pStyle w:val="null3"/>
        <w:ind w:firstLine="960"/>
      </w:pPr>
      <w:r>
        <w:rPr>
          <w:rFonts w:ascii="仿宋_GB2312" w:hAnsi="仿宋_GB2312" w:cs="仿宋_GB2312" w:eastAsia="仿宋_GB2312"/>
        </w:rPr>
        <w:t>详见附件：详细评审---体系认证.docx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详见附件：详细评审---产品质量方案.docx</w:t>
      </w:r>
    </w:p>
    <w:p>
      <w:pPr>
        <w:pStyle w:val="null3"/>
        <w:ind w:firstLine="960"/>
      </w:pPr>
      <w:r>
        <w:rPr>
          <w:rFonts w:ascii="仿宋_GB2312" w:hAnsi="仿宋_GB2312" w:cs="仿宋_GB2312" w:eastAsia="仿宋_GB2312"/>
        </w:rPr>
        <w:t>详见附件：详细评审---产品培训方案.docx</w:t>
      </w:r>
    </w:p>
    <w:p>
      <w:pPr>
        <w:pStyle w:val="null3"/>
        <w:ind w:firstLine="960"/>
      </w:pPr>
      <w:r>
        <w:rPr>
          <w:rFonts w:ascii="仿宋_GB2312" w:hAnsi="仿宋_GB2312" w:cs="仿宋_GB2312" w:eastAsia="仿宋_GB2312"/>
        </w:rPr>
        <w:t>详见附件：详细评审---产品售后方案.docx</w:t>
      </w:r>
    </w:p>
    <w:p>
      <w:pPr>
        <w:pStyle w:val="null3"/>
        <w:ind w:firstLine="960"/>
      </w:pPr>
      <w:r>
        <w:rPr>
          <w:rFonts w:ascii="仿宋_GB2312" w:hAnsi="仿宋_GB2312" w:cs="仿宋_GB2312" w:eastAsia="仿宋_GB2312"/>
        </w:rPr>
        <w:t>详见附件：详细评审---整体项目方案.docx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