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D3EE92">
      <w:pPr>
        <w:pStyle w:val="4"/>
        <w:jc w:val="center"/>
        <w:outlineLvl w:val="1"/>
      </w:pPr>
      <w:r>
        <w:rPr>
          <w:rFonts w:ascii="仿宋_GB2312" w:hAnsi="仿宋_GB2312" w:eastAsia="仿宋_GB2312" w:cs="仿宋_GB2312"/>
          <w:b/>
          <w:sz w:val="36"/>
        </w:rPr>
        <w:t>拟签订采购合同文本</w:t>
      </w:r>
    </w:p>
    <w:p w14:paraId="68B43A2A">
      <w:pPr>
        <w:shd w:val="clear"/>
        <w:jc w:val="both"/>
        <w:rPr>
          <w:rFonts w:hint="eastAsia" w:ascii="仿宋" w:hAnsi="仿宋" w:eastAsia="仿宋" w:cs="仿宋"/>
          <w:color w:val="auto"/>
          <w:sz w:val="52"/>
          <w:szCs w:val="52"/>
          <w:highlight w:val="none"/>
        </w:rPr>
      </w:pPr>
    </w:p>
    <w:p w14:paraId="5611AD2E">
      <w:pPr>
        <w:ind w:firstLine="1590" w:firstLineChars="300"/>
        <w:rPr>
          <w:rFonts w:hint="eastAsia" w:ascii="仿宋" w:hAnsi="仿宋" w:eastAsia="仿宋" w:cs="仿宋"/>
          <w:b/>
          <w:spacing w:val="4"/>
          <w:sz w:val="52"/>
          <w:szCs w:val="48"/>
          <w:lang w:eastAsia="zh-CN"/>
        </w:rPr>
      </w:pPr>
      <w:r>
        <w:rPr>
          <w:rFonts w:hint="eastAsia" w:ascii="仿宋" w:hAnsi="仿宋" w:eastAsia="仿宋" w:cs="仿宋"/>
          <w:b/>
          <w:spacing w:val="4"/>
          <w:sz w:val="52"/>
          <w:szCs w:val="48"/>
          <w:lang w:eastAsia="zh-CN"/>
        </w:rPr>
        <w:t>陕西中医药大学南校区</w:t>
      </w:r>
    </w:p>
    <w:p w14:paraId="4585F608">
      <w:pPr>
        <w:rPr>
          <w:rFonts w:hint="eastAsia" w:ascii="仿宋" w:hAnsi="仿宋" w:eastAsia="仿宋" w:cs="仿宋"/>
          <w:b/>
          <w:spacing w:val="4"/>
          <w:sz w:val="52"/>
          <w:szCs w:val="48"/>
        </w:rPr>
      </w:pPr>
      <w:r>
        <w:rPr>
          <w:rFonts w:hint="eastAsia" w:ascii="仿宋" w:hAnsi="仿宋" w:eastAsia="仿宋" w:cs="仿宋"/>
          <w:b/>
          <w:spacing w:val="4"/>
          <w:sz w:val="52"/>
          <w:szCs w:val="48"/>
          <w:lang w:eastAsia="zh-CN"/>
        </w:rPr>
        <w:t>2-4#教学楼走廊安装吊顶修缮项目</w:t>
      </w:r>
    </w:p>
    <w:p w14:paraId="2EA5654D">
      <w:pPr>
        <w:jc w:val="both"/>
        <w:rPr>
          <w:rFonts w:hint="eastAsia" w:ascii="仿宋" w:hAnsi="仿宋" w:eastAsia="仿宋" w:cs="仿宋"/>
          <w:b/>
          <w:sz w:val="72"/>
          <w:szCs w:val="72"/>
        </w:rPr>
      </w:pPr>
      <w:r>
        <w:rPr>
          <w:rFonts w:hint="eastAsia" w:ascii="仿宋" w:hAnsi="仿宋" w:eastAsia="仿宋" w:cs="仿宋"/>
          <w:b/>
          <w:sz w:val="72"/>
          <w:szCs w:val="72"/>
        </w:rPr>
        <w:t xml:space="preserve"> </w:t>
      </w:r>
    </w:p>
    <w:p w14:paraId="49BE9EEE">
      <w:pPr>
        <w:jc w:val="center"/>
        <w:rPr>
          <w:rFonts w:hint="eastAsia" w:ascii="仿宋" w:hAnsi="仿宋" w:eastAsia="仿宋" w:cs="仿宋"/>
          <w:b/>
          <w:sz w:val="52"/>
          <w:szCs w:val="52"/>
        </w:rPr>
      </w:pPr>
      <w:r>
        <w:rPr>
          <w:rFonts w:hint="eastAsia" w:ascii="仿宋" w:hAnsi="仿宋" w:eastAsia="仿宋" w:cs="仿宋"/>
          <w:b/>
          <w:sz w:val="52"/>
          <w:szCs w:val="52"/>
        </w:rPr>
        <w:t>合 同</w:t>
      </w:r>
    </w:p>
    <w:p w14:paraId="5612AA4C">
      <w:pPr>
        <w:jc w:val="center"/>
        <w:rPr>
          <w:rFonts w:hint="eastAsia" w:ascii="仿宋" w:hAnsi="仿宋" w:eastAsia="仿宋" w:cs="仿宋"/>
          <w:b/>
          <w:sz w:val="72"/>
          <w:szCs w:val="72"/>
        </w:rPr>
      </w:pPr>
    </w:p>
    <w:p w14:paraId="6B87872F">
      <w:pPr>
        <w:ind w:firstLine="3080" w:firstLineChars="1100"/>
        <w:rPr>
          <w:rFonts w:hint="eastAsia" w:ascii="仿宋" w:hAnsi="仿宋" w:eastAsia="仿宋" w:cs="仿宋"/>
          <w:sz w:val="28"/>
          <w:szCs w:val="30"/>
        </w:rPr>
      </w:pPr>
    </w:p>
    <w:p w14:paraId="380265E3">
      <w:pPr>
        <w:jc w:val="center"/>
        <w:rPr>
          <w:rFonts w:hint="eastAsia" w:ascii="仿宋" w:hAnsi="仿宋" w:eastAsia="仿宋" w:cs="仿宋"/>
          <w:sz w:val="28"/>
          <w:szCs w:val="30"/>
        </w:rPr>
      </w:pPr>
    </w:p>
    <w:p w14:paraId="5FB8D9D7">
      <w:pPr>
        <w:pStyle w:val="5"/>
        <w:rPr>
          <w:rFonts w:hint="eastAsia" w:ascii="仿宋" w:hAnsi="仿宋" w:eastAsia="仿宋" w:cs="仿宋"/>
        </w:rPr>
      </w:pPr>
    </w:p>
    <w:p w14:paraId="1D9F2DC2">
      <w:pPr>
        <w:jc w:val="center"/>
        <w:rPr>
          <w:rFonts w:hint="eastAsia" w:ascii="仿宋" w:hAnsi="仿宋" w:eastAsia="仿宋" w:cs="仿宋"/>
          <w:sz w:val="28"/>
          <w:szCs w:val="30"/>
        </w:rPr>
      </w:pPr>
    </w:p>
    <w:p w14:paraId="6E7936CA">
      <w:pPr>
        <w:jc w:val="center"/>
        <w:rPr>
          <w:rFonts w:hint="eastAsia" w:ascii="仿宋" w:hAnsi="仿宋" w:eastAsia="仿宋" w:cs="仿宋"/>
          <w:sz w:val="28"/>
          <w:szCs w:val="30"/>
        </w:rPr>
      </w:pPr>
    </w:p>
    <w:p w14:paraId="6C2221C4">
      <w:pPr>
        <w:jc w:val="center"/>
        <w:rPr>
          <w:rFonts w:hint="eastAsia" w:ascii="仿宋" w:hAnsi="仿宋" w:eastAsia="仿宋" w:cs="仿宋"/>
          <w:sz w:val="28"/>
          <w:szCs w:val="30"/>
        </w:rPr>
      </w:pPr>
    </w:p>
    <w:p w14:paraId="6BFDC7EA">
      <w:pPr>
        <w:jc w:val="center"/>
        <w:rPr>
          <w:rFonts w:hint="eastAsia" w:ascii="仿宋" w:hAnsi="仿宋" w:eastAsia="仿宋" w:cs="仿宋"/>
          <w:sz w:val="28"/>
          <w:szCs w:val="30"/>
        </w:rPr>
      </w:pPr>
    </w:p>
    <w:p w14:paraId="0B17D08A">
      <w:pPr>
        <w:ind w:firstLine="2700" w:firstLineChars="900"/>
        <w:jc w:val="left"/>
        <w:rPr>
          <w:rFonts w:hint="eastAsia" w:ascii="仿宋" w:hAnsi="仿宋" w:eastAsia="仿宋" w:cs="仿宋"/>
          <w:sz w:val="30"/>
          <w:szCs w:val="30"/>
        </w:rPr>
      </w:pPr>
      <w:r>
        <w:rPr>
          <w:rFonts w:hint="eastAsia" w:ascii="仿宋" w:hAnsi="仿宋" w:eastAsia="仿宋" w:cs="仿宋"/>
          <w:sz w:val="30"/>
          <w:szCs w:val="30"/>
        </w:rPr>
        <w:t>甲  方：</w:t>
      </w:r>
      <w:r>
        <w:rPr>
          <w:rFonts w:hint="eastAsia" w:ascii="仿宋" w:hAnsi="仿宋" w:eastAsia="仿宋" w:cs="仿宋"/>
          <w:sz w:val="30"/>
          <w:szCs w:val="30"/>
          <w:lang w:eastAsia="zh-CN"/>
        </w:rPr>
        <w:t>陕西中医药大学</w:t>
      </w:r>
    </w:p>
    <w:p w14:paraId="3BFCF4EE">
      <w:pPr>
        <w:tabs>
          <w:tab w:val="left" w:pos="480"/>
        </w:tabs>
        <w:ind w:firstLine="2700" w:firstLineChars="900"/>
        <w:jc w:val="left"/>
        <w:rPr>
          <w:rFonts w:hint="eastAsia" w:ascii="仿宋" w:hAnsi="仿宋" w:eastAsia="仿宋" w:cs="仿宋"/>
          <w:sz w:val="30"/>
          <w:szCs w:val="30"/>
          <w:lang w:val="en-US" w:eastAsia="zh-CN"/>
        </w:rPr>
      </w:pPr>
      <w:r>
        <w:rPr>
          <w:rFonts w:hint="eastAsia" w:ascii="仿宋" w:hAnsi="仿宋" w:eastAsia="仿宋" w:cs="仿宋"/>
          <w:sz w:val="30"/>
          <w:szCs w:val="30"/>
        </w:rPr>
        <w:t>乙  方：</w:t>
      </w:r>
    </w:p>
    <w:p w14:paraId="3904D40A">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14:paraId="113269C3">
      <w:pPr>
        <w:rPr>
          <w:rFonts w:hint="eastAsia" w:ascii="仿宋" w:hAnsi="仿宋" w:eastAsia="仿宋" w:cs="仿宋"/>
        </w:rPr>
      </w:pPr>
      <w:r>
        <w:rPr>
          <w:rFonts w:hint="eastAsia" w:ascii="仿宋" w:hAnsi="仿宋" w:eastAsia="仿宋" w:cs="仿宋"/>
          <w:sz w:val="32"/>
          <w:szCs w:val="32"/>
        </w:rPr>
        <w:t xml:space="preserve">            </w:t>
      </w:r>
    </w:p>
    <w:p w14:paraId="7826D6F8">
      <w:pPr>
        <w:ind w:firstLine="3520" w:firstLineChars="1100"/>
        <w:rPr>
          <w:rFonts w:hint="eastAsia" w:ascii="仿宋" w:hAnsi="仿宋" w:eastAsia="仿宋" w:cs="仿宋"/>
          <w:sz w:val="32"/>
          <w:szCs w:val="32"/>
        </w:rPr>
      </w:pPr>
      <w:r>
        <w:rPr>
          <w:rFonts w:hint="eastAsia" w:ascii="仿宋" w:hAnsi="仿宋" w:eastAsia="仿宋" w:cs="仿宋"/>
          <w:sz w:val="32"/>
          <w:szCs w:val="32"/>
        </w:rPr>
        <w:t>二O二</w:t>
      </w:r>
      <w:r>
        <w:rPr>
          <w:rFonts w:hint="eastAsia" w:ascii="仿宋" w:hAnsi="仿宋" w:eastAsia="仿宋" w:cs="仿宋"/>
          <w:sz w:val="32"/>
          <w:szCs w:val="32"/>
          <w:lang w:val="en-US" w:eastAsia="zh-CN"/>
        </w:rPr>
        <w:t>五</w:t>
      </w:r>
      <w:r>
        <w:rPr>
          <w:rFonts w:hint="eastAsia" w:ascii="仿宋" w:hAnsi="仿宋" w:eastAsia="仿宋" w:cs="仿宋"/>
          <w:sz w:val="32"/>
          <w:szCs w:val="32"/>
        </w:rPr>
        <w:t>年</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月</w:t>
      </w:r>
    </w:p>
    <w:p w14:paraId="61E89A68">
      <w:pPr>
        <w:adjustRightInd w:val="0"/>
        <w:snapToGrid w:val="0"/>
        <w:spacing w:line="360" w:lineRule="auto"/>
        <w:rPr>
          <w:rFonts w:hint="eastAsia" w:ascii="仿宋" w:hAnsi="仿宋" w:eastAsia="仿宋" w:cs="仿宋"/>
          <w:color w:val="000000"/>
          <w:kern w:val="0"/>
          <w:sz w:val="24"/>
        </w:rPr>
      </w:pPr>
    </w:p>
    <w:p w14:paraId="12AD3F96">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240" w:firstLineChars="100"/>
        <w:textAlignment w:val="auto"/>
        <w:rPr>
          <w:rFonts w:hint="eastAsia" w:ascii="仿宋" w:hAnsi="仿宋" w:eastAsia="仿宋" w:cs="仿宋"/>
          <w:sz w:val="24"/>
          <w:szCs w:val="24"/>
        </w:rPr>
      </w:pPr>
      <w:r>
        <w:rPr>
          <w:rFonts w:hint="eastAsia" w:ascii="仿宋" w:hAnsi="仿宋" w:eastAsia="仿宋" w:cs="仿宋"/>
          <w:sz w:val="24"/>
          <w:szCs w:val="24"/>
        </w:rPr>
        <w:t>甲方：</w:t>
      </w:r>
      <w:r>
        <w:rPr>
          <w:rFonts w:hint="eastAsia" w:ascii="仿宋" w:hAnsi="仿宋" w:eastAsia="仿宋" w:cs="仿宋"/>
          <w:sz w:val="24"/>
          <w:szCs w:val="24"/>
          <w:lang w:eastAsia="zh-CN"/>
        </w:rPr>
        <w:t>陕西中医药大学</w:t>
      </w:r>
      <w:r>
        <w:rPr>
          <w:rFonts w:hint="eastAsia" w:ascii="仿宋" w:hAnsi="仿宋" w:eastAsia="仿宋" w:cs="仿宋"/>
          <w:sz w:val="24"/>
          <w:szCs w:val="24"/>
        </w:rPr>
        <w:t xml:space="preserve">             </w:t>
      </w:r>
    </w:p>
    <w:p w14:paraId="473027DA">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240" w:firstLineChars="100"/>
        <w:textAlignment w:val="auto"/>
        <w:rPr>
          <w:rFonts w:hint="eastAsia" w:ascii="仿宋" w:hAnsi="仿宋" w:eastAsia="仿宋" w:cs="仿宋"/>
          <w:sz w:val="24"/>
          <w:szCs w:val="24"/>
        </w:rPr>
      </w:pPr>
      <w:r>
        <w:rPr>
          <w:rFonts w:hint="eastAsia" w:ascii="仿宋" w:hAnsi="仿宋" w:eastAsia="仿宋" w:cs="仿宋"/>
          <w:sz w:val="24"/>
          <w:szCs w:val="24"/>
        </w:rPr>
        <w:t>乙方：</w:t>
      </w:r>
    </w:p>
    <w:p w14:paraId="693C7FD1">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按照《中华人民共和国民法典》《中华人民共和国建筑法》《建设工程质量管理条例》《建设工程安全生产管理条例》及其他有关法律、行政法规，遵循平等、自愿、公平和诚实信用的原则，双方就施工事项协商一致，签订本合同。</w:t>
      </w:r>
    </w:p>
    <w:p w14:paraId="7EBEA62E">
      <w:pPr>
        <w:keepNext w:val="0"/>
        <w:keepLines w:val="0"/>
        <w:pageBreakBefore w:val="0"/>
        <w:widowControl w:val="0"/>
        <w:numPr>
          <w:ilvl w:val="0"/>
          <w:numId w:val="1"/>
        </w:numPr>
        <w:kinsoku/>
        <w:wordWrap/>
        <w:overflowPunct/>
        <w:topLinePunct w:val="0"/>
        <w:bidi w:val="0"/>
        <w:adjustRightInd w:val="0"/>
        <w:snapToGrid w:val="0"/>
        <w:spacing w:line="360" w:lineRule="auto"/>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rPr>
        <w:t>工程概况</w:t>
      </w:r>
      <w:r>
        <w:rPr>
          <w:rFonts w:hint="eastAsia" w:ascii="仿宋" w:hAnsi="仿宋" w:eastAsia="仿宋" w:cs="仿宋"/>
          <w:b/>
          <w:bCs/>
          <w:sz w:val="24"/>
          <w:szCs w:val="24"/>
          <w:lang w:eastAsia="zh-CN"/>
        </w:rPr>
        <w:t>：</w:t>
      </w:r>
    </w:p>
    <w:p w14:paraId="136BE0CF">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工程名称：</w:t>
      </w:r>
      <w:r>
        <w:rPr>
          <w:rFonts w:hint="eastAsia" w:ascii="仿宋" w:hAnsi="仿宋" w:eastAsia="仿宋" w:cs="仿宋"/>
          <w:sz w:val="24"/>
          <w:szCs w:val="24"/>
          <w:highlight w:val="none"/>
          <w:lang w:eastAsia="zh-CN"/>
        </w:rPr>
        <w:t>陕西中医药大学南校区2-4#教学楼走廊安装吊顶修缮项目。</w:t>
      </w:r>
    </w:p>
    <w:p w14:paraId="6C98F006">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工程地点：</w:t>
      </w:r>
      <w:r>
        <w:rPr>
          <w:rFonts w:hint="eastAsia" w:ascii="仿宋" w:hAnsi="仿宋" w:eastAsia="仿宋" w:cs="仿宋"/>
          <w:sz w:val="24"/>
          <w:szCs w:val="24"/>
          <w:highlight w:val="none"/>
          <w:lang w:eastAsia="zh-CN"/>
        </w:rPr>
        <w:t>陕西中医药大学南校区2-4#教学楼走廊</w:t>
      </w:r>
      <w:r>
        <w:rPr>
          <w:rFonts w:hint="eastAsia" w:ascii="仿宋" w:hAnsi="仿宋" w:eastAsia="仿宋" w:cs="仿宋"/>
          <w:sz w:val="24"/>
          <w:szCs w:val="24"/>
          <w:highlight w:val="none"/>
          <w:lang w:val="en-US" w:eastAsia="zh-CN"/>
        </w:rPr>
        <w:t>。</w:t>
      </w:r>
    </w:p>
    <w:p w14:paraId="41DCFB50">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工程</w:t>
      </w:r>
      <w:r>
        <w:rPr>
          <w:rFonts w:hint="eastAsia" w:ascii="仿宋" w:hAnsi="仿宋" w:eastAsia="仿宋" w:cs="仿宋"/>
          <w:sz w:val="24"/>
          <w:szCs w:val="24"/>
          <w:highlight w:val="none"/>
          <w:lang w:eastAsia="zh-CN"/>
        </w:rPr>
        <w:t>概况</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 xml:space="preserve"> </w:t>
      </w:r>
    </w:p>
    <w:p w14:paraId="5B7EC5C8">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承包形式：</w:t>
      </w:r>
      <w:r>
        <w:rPr>
          <w:rFonts w:hint="eastAsia" w:ascii="仿宋" w:hAnsi="仿宋" w:eastAsia="仿宋" w:cs="仿宋"/>
          <w:sz w:val="24"/>
          <w:szCs w:val="24"/>
          <w:highlight w:val="none"/>
          <w:lang w:val="en-US" w:eastAsia="zh-CN"/>
        </w:rPr>
        <w:t>本工程为交钥匙工程，施工产生的垃圾由乙方负责处理。</w:t>
      </w:r>
    </w:p>
    <w:p w14:paraId="3D88DF59">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二、</w:t>
      </w:r>
      <w:r>
        <w:rPr>
          <w:rFonts w:hint="eastAsia" w:ascii="仿宋" w:hAnsi="仿宋" w:eastAsia="仿宋" w:cs="仿宋"/>
          <w:b/>
          <w:bCs/>
          <w:sz w:val="24"/>
          <w:szCs w:val="24"/>
          <w:highlight w:val="none"/>
          <w:lang w:val="en-US" w:eastAsia="zh-CN"/>
        </w:rPr>
        <w:t>合同工期：</w:t>
      </w:r>
      <w:r>
        <w:rPr>
          <w:rFonts w:hint="eastAsia" w:ascii="仿宋" w:hAnsi="仿宋" w:eastAsia="仿宋" w:cs="仿宋"/>
          <w:color w:val="000000"/>
          <w:kern w:val="2"/>
          <w:sz w:val="24"/>
          <w:szCs w:val="24"/>
          <w:highlight w:val="none"/>
          <w:lang w:val="en-US" w:eastAsia="zh-CN" w:bidi="ar-SA"/>
        </w:rPr>
        <w:t>总日历天数为</w:t>
      </w:r>
      <w:r>
        <w:rPr>
          <w:rFonts w:hint="eastAsia" w:ascii="仿宋" w:hAnsi="仿宋" w:eastAsia="仿宋" w:cs="仿宋"/>
          <w:color w:val="000000"/>
          <w:kern w:val="2"/>
          <w:sz w:val="24"/>
          <w:szCs w:val="24"/>
          <w:highlight w:val="none"/>
          <w:u w:val="single"/>
          <w:lang w:val="en-US" w:eastAsia="zh-CN" w:bidi="ar-SA"/>
        </w:rPr>
        <w:t xml:space="preserve"> 20</w:t>
      </w:r>
      <w:r>
        <w:rPr>
          <w:rFonts w:hint="eastAsia" w:ascii="仿宋" w:hAnsi="仿宋" w:eastAsia="仿宋" w:cs="仿宋"/>
          <w:color w:val="000000"/>
          <w:kern w:val="2"/>
          <w:sz w:val="24"/>
          <w:szCs w:val="24"/>
          <w:highlight w:val="none"/>
          <w:lang w:val="en-US" w:eastAsia="zh-CN" w:bidi="ar-SA"/>
        </w:rPr>
        <w:t>天（合同生效之日起计）</w:t>
      </w:r>
    </w:p>
    <w:p w14:paraId="6749AAA8">
      <w:pPr>
        <w:keepLines w:val="0"/>
        <w:pageBreakBefore w:val="0"/>
        <w:widowControl w:val="0"/>
        <w:tabs>
          <w:tab w:val="left" w:pos="0"/>
        </w:tabs>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val="en-US" w:eastAsia="zh-CN"/>
        </w:rPr>
        <w:t>三、</w:t>
      </w:r>
      <w:r>
        <w:rPr>
          <w:rFonts w:hint="eastAsia" w:ascii="仿宋" w:hAnsi="仿宋" w:eastAsia="仿宋" w:cs="仿宋"/>
          <w:b/>
          <w:bCs/>
          <w:sz w:val="24"/>
          <w:szCs w:val="24"/>
        </w:rPr>
        <w:t>主要内容及</w:t>
      </w:r>
      <w:r>
        <w:rPr>
          <w:rFonts w:hint="eastAsia" w:ascii="仿宋" w:hAnsi="仿宋" w:eastAsia="仿宋" w:cs="仿宋"/>
          <w:b/>
          <w:bCs/>
          <w:sz w:val="24"/>
          <w:szCs w:val="24"/>
          <w:lang w:eastAsia="zh-CN"/>
        </w:rPr>
        <w:t>要求</w:t>
      </w:r>
    </w:p>
    <w:p w14:paraId="3369D359">
      <w:pPr>
        <w:keepLines w:val="0"/>
        <w:pageBreakBefore w:val="0"/>
        <w:widowControl w:val="0"/>
        <w:numPr>
          <w:ilvl w:val="0"/>
          <w:numId w:val="0"/>
        </w:numPr>
        <w:tabs>
          <w:tab w:val="left" w:pos="0"/>
        </w:tabs>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sz w:val="24"/>
          <w:szCs w:val="24"/>
          <w:highlight w:val="cyan"/>
          <w:lang w:eastAsia="zh-CN"/>
        </w:rPr>
      </w:pPr>
      <w:r>
        <w:rPr>
          <w:rFonts w:hint="eastAsia" w:ascii="仿宋" w:hAnsi="仿宋" w:eastAsia="仿宋" w:cs="仿宋"/>
          <w:color w:val="auto"/>
          <w:kern w:val="2"/>
          <w:sz w:val="24"/>
          <w:szCs w:val="24"/>
          <w:lang w:val="en-US" w:eastAsia="zh-CN" w:bidi="ar-SA"/>
        </w:rPr>
        <w:t>1、</w:t>
      </w:r>
      <w:r>
        <w:rPr>
          <w:rFonts w:hint="eastAsia" w:ascii="仿宋" w:hAnsi="仿宋" w:eastAsia="仿宋" w:cs="仿宋"/>
          <w:color w:val="auto"/>
          <w:sz w:val="24"/>
          <w:szCs w:val="24"/>
          <w:lang w:val="en-US" w:eastAsia="zh-CN"/>
        </w:rPr>
        <w:t>工程内容</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成交供应商已标价工程量清单</w:t>
      </w:r>
      <w:r>
        <w:rPr>
          <w:rFonts w:hint="eastAsia" w:ascii="仿宋" w:hAnsi="仿宋" w:eastAsia="仿宋" w:cs="仿宋"/>
          <w:sz w:val="24"/>
          <w:szCs w:val="24"/>
          <w:highlight w:val="none"/>
          <w:lang w:eastAsia="zh-CN"/>
        </w:rPr>
        <w:t>）</w:t>
      </w:r>
    </w:p>
    <w:p w14:paraId="22124DE0">
      <w:pPr>
        <w:keepLines w:val="0"/>
        <w:pageBreakBefore w:val="0"/>
        <w:widowControl w:val="0"/>
        <w:numPr>
          <w:ilvl w:val="0"/>
          <w:numId w:val="0"/>
        </w:numPr>
        <w:tabs>
          <w:tab w:val="left" w:pos="0"/>
        </w:tabs>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rPr>
        <w:t>施工不得影响</w:t>
      </w:r>
      <w:r>
        <w:rPr>
          <w:rFonts w:hint="eastAsia" w:ascii="仿宋" w:hAnsi="仿宋" w:eastAsia="仿宋" w:cs="仿宋"/>
          <w:sz w:val="24"/>
          <w:szCs w:val="24"/>
          <w:lang w:val="en-US" w:eastAsia="zh-CN"/>
        </w:rPr>
        <w:t>学校</w:t>
      </w:r>
      <w:r>
        <w:rPr>
          <w:rFonts w:hint="eastAsia" w:ascii="仿宋" w:hAnsi="仿宋" w:eastAsia="仿宋" w:cs="仿宋"/>
          <w:sz w:val="24"/>
          <w:szCs w:val="24"/>
        </w:rPr>
        <w:t>的正常医疗秩序。</w:t>
      </w:r>
      <w:r>
        <w:rPr>
          <w:rFonts w:hint="eastAsia" w:ascii="仿宋" w:hAnsi="仿宋" w:eastAsia="仿宋" w:cs="仿宋"/>
          <w:color w:val="auto"/>
          <w:sz w:val="24"/>
          <w:szCs w:val="24"/>
        </w:rPr>
        <w:t>在施工期间，中标供应商必须注意</w:t>
      </w:r>
      <w:r>
        <w:rPr>
          <w:rFonts w:hint="eastAsia" w:ascii="仿宋" w:hAnsi="仿宋" w:eastAsia="仿宋" w:cs="仿宋"/>
          <w:color w:val="auto"/>
          <w:sz w:val="24"/>
          <w:szCs w:val="24"/>
          <w:lang w:val="en-US" w:eastAsia="zh-CN"/>
        </w:rPr>
        <w:t>校</w:t>
      </w:r>
      <w:r>
        <w:rPr>
          <w:rFonts w:hint="eastAsia" w:ascii="仿宋" w:hAnsi="仿宋" w:eastAsia="仿宋" w:cs="仿宋"/>
          <w:color w:val="auto"/>
          <w:sz w:val="24"/>
          <w:szCs w:val="24"/>
        </w:rPr>
        <w:t>内</w:t>
      </w:r>
      <w:r>
        <w:rPr>
          <w:rFonts w:hint="eastAsia" w:ascii="仿宋" w:hAnsi="仿宋" w:eastAsia="仿宋" w:cs="仿宋"/>
          <w:color w:val="auto"/>
          <w:sz w:val="24"/>
          <w:szCs w:val="24"/>
          <w:highlight w:val="none"/>
        </w:rPr>
        <w:t>人员安全，加强安全措施，并对施工人员进行安全教育。施工人员必须持证上岗。因施工人工作的特殊性，要求</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供应商在施工中做到封闭性施工。不得影响医护人员和患者正常就医。</w:t>
      </w:r>
    </w:p>
    <w:p w14:paraId="06C1F5AA">
      <w:pPr>
        <w:tabs>
          <w:tab w:val="left" w:pos="0"/>
        </w:tabs>
        <w:autoSpaceDE w:val="0"/>
        <w:autoSpaceDN w:val="0"/>
        <w:adjustRightInd w:val="0"/>
        <w:snapToGrid w:val="0"/>
        <w:spacing w:line="360" w:lineRule="auto"/>
        <w:ind w:firstLine="0" w:firstLineChars="0"/>
        <w:rPr>
          <w:rFonts w:hint="eastAsia" w:ascii="仿宋" w:hAnsi="仿宋" w:eastAsia="仿宋" w:cs="仿宋"/>
          <w:sz w:val="24"/>
          <w:szCs w:val="24"/>
          <w:highlight w:val="none"/>
        </w:rPr>
      </w:pPr>
      <w:r>
        <w:rPr>
          <w:rFonts w:hint="eastAsia" w:ascii="仿宋" w:hAnsi="仿宋" w:eastAsia="仿宋" w:cs="仿宋"/>
          <w:b/>
          <w:bCs/>
          <w:sz w:val="24"/>
          <w:szCs w:val="24"/>
          <w:highlight w:val="none"/>
          <w:lang w:val="en-US" w:eastAsia="zh-CN"/>
        </w:rPr>
        <w:t>四、</w:t>
      </w:r>
      <w:r>
        <w:rPr>
          <w:rFonts w:hint="eastAsia" w:ascii="仿宋" w:hAnsi="仿宋" w:eastAsia="仿宋" w:cs="仿宋"/>
          <w:b/>
          <w:bCs/>
          <w:sz w:val="24"/>
          <w:szCs w:val="24"/>
          <w:highlight w:val="none"/>
        </w:rPr>
        <w:t>合同价款、支付条件和支付进度</w:t>
      </w:r>
    </w:p>
    <w:p w14:paraId="3A27E816">
      <w:pPr>
        <w:adjustRightInd w:val="0"/>
        <w:snapToGrid w:val="0"/>
        <w:spacing w:line="372" w:lineRule="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1、合同价款为人民币</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元</w:t>
      </w:r>
      <w:r>
        <w:rPr>
          <w:rFonts w:hint="eastAsia" w:ascii="仿宋" w:hAnsi="仿宋" w:eastAsia="仿宋" w:cs="仿宋"/>
          <w:sz w:val="24"/>
          <w:szCs w:val="24"/>
          <w:highlight w:val="none"/>
        </w:rPr>
        <w:t>（含税）（大写）：</w:t>
      </w:r>
      <w:r>
        <w:rPr>
          <w:rFonts w:hint="eastAsia" w:ascii="仿宋" w:hAnsi="仿宋" w:eastAsia="仿宋" w:cs="仿宋"/>
          <w:sz w:val="24"/>
          <w:szCs w:val="24"/>
          <w:highlight w:val="none"/>
          <w:u w:val="single"/>
          <w:lang w:val="en-US" w:eastAsia="zh-CN"/>
        </w:rPr>
        <w:t xml:space="preserve"> </w:t>
      </w:r>
    </w:p>
    <w:p w14:paraId="428F6669">
      <w:pPr>
        <w:tabs>
          <w:tab w:val="left" w:pos="480"/>
        </w:tabs>
        <w:adjustRightInd w:val="0"/>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2、合同价款支付的安排：</w:t>
      </w:r>
      <w:r>
        <w:rPr>
          <w:rFonts w:hint="eastAsia" w:ascii="仿宋" w:hAnsi="仿宋" w:eastAsia="仿宋" w:cs="仿宋"/>
          <w:color w:val="000000"/>
          <w:sz w:val="24"/>
          <w:szCs w:val="24"/>
          <w:highlight w:val="none"/>
        </w:rPr>
        <w:t>本项目不付预付款，工程竣工、验收合格后，支付</w:t>
      </w:r>
      <w:r>
        <w:rPr>
          <w:rFonts w:hint="eastAsia" w:ascii="仿宋" w:hAnsi="仿宋" w:eastAsia="仿宋" w:cs="仿宋"/>
          <w:color w:val="000000"/>
          <w:sz w:val="24"/>
          <w:szCs w:val="24"/>
          <w:highlight w:val="none"/>
          <w:lang w:val="en-US" w:eastAsia="zh-CN"/>
        </w:rPr>
        <w:t>合同</w:t>
      </w:r>
      <w:r>
        <w:rPr>
          <w:rFonts w:hint="eastAsia" w:ascii="仿宋" w:hAnsi="仿宋" w:eastAsia="仿宋" w:cs="仿宋"/>
          <w:color w:val="000000"/>
          <w:sz w:val="24"/>
          <w:szCs w:val="24"/>
          <w:highlight w:val="none"/>
        </w:rPr>
        <w:t>总额的</w:t>
      </w:r>
      <w:r>
        <w:rPr>
          <w:rFonts w:hint="eastAsia" w:ascii="仿宋" w:hAnsi="仿宋" w:eastAsia="仿宋" w:cs="仿宋"/>
          <w:color w:val="000000"/>
          <w:sz w:val="24"/>
          <w:szCs w:val="24"/>
          <w:highlight w:val="none"/>
          <w:lang w:val="en-US" w:eastAsia="zh-CN"/>
        </w:rPr>
        <w:t>50</w:t>
      </w:r>
      <w:r>
        <w:rPr>
          <w:rFonts w:hint="eastAsia" w:ascii="仿宋" w:hAnsi="仿宋" w:eastAsia="仿宋" w:cs="仿宋"/>
          <w:color w:val="000000"/>
          <w:sz w:val="24"/>
          <w:szCs w:val="24"/>
          <w:highlight w:val="none"/>
        </w:rPr>
        <w:t>%，审计结束后付至审定价的</w:t>
      </w:r>
      <w:r>
        <w:rPr>
          <w:rFonts w:hint="eastAsia" w:ascii="仿宋" w:hAnsi="仿宋" w:eastAsia="仿宋" w:cs="仿宋"/>
          <w:color w:val="000000"/>
          <w:sz w:val="24"/>
          <w:szCs w:val="24"/>
          <w:highlight w:val="none"/>
          <w:lang w:val="en-US" w:eastAsia="zh-CN"/>
        </w:rPr>
        <w:t>97</w:t>
      </w:r>
      <w:r>
        <w:rPr>
          <w:rFonts w:hint="eastAsia" w:ascii="仿宋" w:hAnsi="仿宋" w:eastAsia="仿宋" w:cs="仿宋"/>
          <w:color w:val="000000"/>
          <w:sz w:val="24"/>
          <w:szCs w:val="24"/>
          <w:highlight w:val="none"/>
        </w:rPr>
        <w:t>%，质保期满无质量问题后，一次性按审计结果付清余款</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lang w:val="en-US" w:eastAsia="zh-CN"/>
        </w:rPr>
        <w:t>乙方应在甲方每次付款前提供等额合规发票，否则甲方有权拒付合同款项，且不承担任何责任</w:t>
      </w:r>
      <w:r>
        <w:rPr>
          <w:rFonts w:hint="eastAsia" w:ascii="仿宋" w:hAnsi="仿宋" w:eastAsia="仿宋" w:cs="仿宋"/>
          <w:color w:val="000000"/>
          <w:sz w:val="24"/>
          <w:szCs w:val="24"/>
          <w:highlight w:val="none"/>
        </w:rPr>
        <w:t>。</w:t>
      </w:r>
    </w:p>
    <w:p w14:paraId="356B7BF6">
      <w:pPr>
        <w:tabs>
          <w:tab w:val="left" w:pos="480"/>
        </w:tabs>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highlight w:val="none"/>
        </w:rPr>
        <w:t>3、支付方式：银行转帐。乙方保证其提</w:t>
      </w:r>
      <w:r>
        <w:rPr>
          <w:rFonts w:hint="eastAsia" w:ascii="仿宋" w:hAnsi="仿宋" w:eastAsia="仿宋" w:cs="仿宋"/>
          <w:sz w:val="24"/>
          <w:szCs w:val="24"/>
        </w:rPr>
        <w:t>供的账号准确无误，若在合同履行期间发生变更，乙方需及时书面通知甲方，否则由此产生的后果由乙方承担。</w:t>
      </w:r>
    </w:p>
    <w:p w14:paraId="7EC5BAE1">
      <w:pPr>
        <w:adjustRightInd w:val="0"/>
        <w:snapToGrid w:val="0"/>
        <w:spacing w:line="372"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4、合同价款已含施工材料、人工、运输、验收、税费等项目相关的所有费用。</w:t>
      </w:r>
    </w:p>
    <w:p w14:paraId="0EA999DD">
      <w:pPr>
        <w:adjustRightInd w:val="0"/>
        <w:snapToGrid w:val="0"/>
        <w:spacing w:line="372" w:lineRule="auto"/>
        <w:rPr>
          <w:rFonts w:hint="eastAsia" w:ascii="仿宋" w:hAnsi="仿宋" w:eastAsia="仿宋" w:cs="仿宋"/>
          <w:b/>
          <w:bCs/>
          <w:sz w:val="24"/>
          <w:szCs w:val="24"/>
        </w:rPr>
      </w:pPr>
      <w:r>
        <w:rPr>
          <w:rFonts w:hint="eastAsia" w:ascii="仿宋" w:hAnsi="仿宋" w:eastAsia="仿宋" w:cs="仿宋"/>
          <w:b/>
          <w:bCs/>
          <w:sz w:val="24"/>
          <w:szCs w:val="24"/>
          <w:lang w:val="en-US" w:eastAsia="zh-CN"/>
        </w:rPr>
        <w:t>五、</w:t>
      </w:r>
      <w:r>
        <w:rPr>
          <w:rFonts w:hint="eastAsia" w:ascii="仿宋" w:hAnsi="仿宋" w:eastAsia="仿宋" w:cs="仿宋"/>
          <w:b/>
          <w:bCs/>
          <w:sz w:val="24"/>
          <w:szCs w:val="24"/>
        </w:rPr>
        <w:t>现场指令和授权代表</w:t>
      </w:r>
    </w:p>
    <w:p w14:paraId="58C06D77">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甲方的指令通知由其授权</w:t>
      </w:r>
      <w:r>
        <w:rPr>
          <w:rFonts w:hint="eastAsia" w:ascii="仿宋" w:hAnsi="仿宋" w:eastAsia="仿宋" w:cs="仿宋"/>
          <w:color w:val="auto"/>
          <w:sz w:val="24"/>
          <w:szCs w:val="24"/>
          <w:lang w:val="en-US" w:eastAsia="zh-CN"/>
        </w:rPr>
        <w:t>代表</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签字</w:t>
      </w:r>
      <w:r>
        <w:rPr>
          <w:rFonts w:hint="eastAsia" w:ascii="仿宋" w:hAnsi="仿宋" w:eastAsia="仿宋" w:cs="仿宋"/>
          <w:sz w:val="24"/>
          <w:szCs w:val="24"/>
          <w:lang w:val="en-US" w:eastAsia="zh-CN"/>
        </w:rPr>
        <w:t>后，以书面形式交给乙方代表，乙方代表</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在回执上签署姓名和收到时间后生效。</w:t>
      </w:r>
    </w:p>
    <w:p w14:paraId="56731C6E">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乙方认为甲方指令不合理，应在收到指令后24小时内向甲方提出修改指令的书面报告。甲方应在收到乙方报告后24小时内做出修改或决定。乙方未在上述期限内向甲方提出修改指令的书面报告的，视为认可甲方指令。</w:t>
      </w:r>
    </w:p>
    <w:p w14:paraId="120FDBB8">
      <w:pPr>
        <w:keepLines w:val="0"/>
        <w:pageBreakBefore w:val="0"/>
        <w:widowControl w:val="0"/>
        <w:tabs>
          <w:tab w:val="left" w:pos="0"/>
        </w:tabs>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六、</w:t>
      </w:r>
      <w:r>
        <w:rPr>
          <w:rFonts w:hint="eastAsia" w:ascii="仿宋" w:hAnsi="仿宋" w:eastAsia="仿宋" w:cs="仿宋"/>
          <w:b/>
          <w:bCs/>
          <w:sz w:val="24"/>
          <w:szCs w:val="24"/>
        </w:rPr>
        <w:t>甲方的工作</w:t>
      </w:r>
    </w:p>
    <w:p w14:paraId="1BA5D6AB">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甲方按约定的时间和内容完成以下工作：</w:t>
      </w:r>
    </w:p>
    <w:p w14:paraId="1B445860">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1、使维修场地具备施工条件，负责协调周边关系；</w:t>
      </w:r>
    </w:p>
    <w:p w14:paraId="7CB5B192">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2、对乙方的维修提供必要的协助和方便。</w:t>
      </w:r>
    </w:p>
    <w:p w14:paraId="3A82825A">
      <w:pPr>
        <w:keepLines w:val="0"/>
        <w:pageBreakBefore w:val="0"/>
        <w:widowControl w:val="0"/>
        <w:tabs>
          <w:tab w:val="left" w:pos="0"/>
        </w:tabs>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七、乙方的义务</w:t>
      </w:r>
    </w:p>
    <w:p w14:paraId="58627654">
      <w:pPr>
        <w:adjustRightInd w:val="0"/>
        <w:snapToGrid w:val="0"/>
        <w:spacing w:line="372"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1、根据项目需要，做好施工场地的保护工作。</w:t>
      </w:r>
    </w:p>
    <w:p w14:paraId="088C75D8">
      <w:pPr>
        <w:adjustRightInd w:val="0"/>
        <w:snapToGrid w:val="0"/>
        <w:spacing w:line="372"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2、保护工人安全有效的施工，若在施工过程中造成甲乙双方工作人员或其他任意第三方人身损害或财产损失的，乙方应承担全部赔偿责任。</w:t>
      </w:r>
    </w:p>
    <w:p w14:paraId="5218DF9F">
      <w:pPr>
        <w:adjustRightInd w:val="0"/>
        <w:snapToGrid w:val="0"/>
        <w:spacing w:line="372"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3、遵守政府有关主管部门对施工场地交通、施工噪音以及场地保护和安全生产、消防安全等的管理。</w:t>
      </w:r>
    </w:p>
    <w:p w14:paraId="1F2139EF">
      <w:pPr>
        <w:adjustRightInd w:val="0"/>
        <w:snapToGrid w:val="0"/>
        <w:spacing w:line="372" w:lineRule="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八、工期延误</w:t>
      </w:r>
    </w:p>
    <w:p w14:paraId="752107CD">
      <w:pPr>
        <w:adjustRightInd w:val="0"/>
        <w:snapToGrid w:val="0"/>
        <w:spacing w:line="372"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1、因甲方原因造成的因素或不可抗力因素影响，由甲方授权的代表签字认可，工期顺延。</w:t>
      </w:r>
    </w:p>
    <w:p w14:paraId="565497FB">
      <w:pPr>
        <w:adjustRightInd w:val="0"/>
        <w:snapToGrid w:val="0"/>
        <w:spacing w:line="372"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2、因乙方原因造成的工程延误，工期不予顺延。</w:t>
      </w:r>
    </w:p>
    <w:p w14:paraId="168C40A2">
      <w:pPr>
        <w:keepNext w:val="0"/>
        <w:keepLines w:val="0"/>
        <w:pageBreakBefore w:val="0"/>
        <w:widowControl w:val="0"/>
        <w:kinsoku/>
        <w:wordWrap/>
        <w:overflowPunct/>
        <w:topLinePunct w:val="0"/>
        <w:bidi w:val="0"/>
        <w:adjustRightInd w:val="0"/>
        <w:snapToGrid w:val="0"/>
        <w:spacing w:line="360" w:lineRule="auto"/>
        <w:textAlignment w:val="auto"/>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九、售后与质保：</w:t>
      </w:r>
    </w:p>
    <w:p w14:paraId="25E3CFA1">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1、质保期：整体工程质保2年，电气及消防设施质保5年。</w:t>
      </w:r>
    </w:p>
    <w:p w14:paraId="1C664ABF">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售后：质保期内乙方在接到甲方维修通知后2小时内派员到达现场，24小时内排除故障或修复工程，否则甲方可委托其他单位或人员维修，所发生的费用甲方有权直接从履约保证金中扣除，不足部分由乙方另行支付。</w:t>
      </w:r>
    </w:p>
    <w:p w14:paraId="68B250B9">
      <w:pPr>
        <w:keepNext w:val="0"/>
        <w:keepLines w:val="0"/>
        <w:pageBreakBefore w:val="0"/>
        <w:widowControl w:val="0"/>
        <w:kinsoku/>
        <w:wordWrap/>
        <w:overflowPunct/>
        <w:topLinePunct w:val="0"/>
        <w:bidi w:val="0"/>
        <w:adjustRightInd w:val="0"/>
        <w:snapToGrid w:val="0"/>
        <w:spacing w:line="240" w:lineRule="auto"/>
        <w:textAlignment w:val="auto"/>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十、安全施工</w:t>
      </w:r>
    </w:p>
    <w:p w14:paraId="72FD4639">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1、乙方应严格按安全标准施工，并随时接受甲方和行业安全检查人员依法实施的监督检查。</w:t>
      </w:r>
    </w:p>
    <w:p w14:paraId="6F6BD1B2">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2、文明施工，不得损坏附近建筑物及附属设备。否则，由此产生的损失和责任全部由乙方负责。</w:t>
      </w:r>
    </w:p>
    <w:p w14:paraId="0DE9E8E1">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3、乙方按有关规定采取严格的安全防护措施，承担由于乙方安全措施不力造成人员伤亡事故的责任和因此发生的费用。</w:t>
      </w:r>
    </w:p>
    <w:p w14:paraId="764D6C1D">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4、因履行本合同造成甲方、乙方、甲乙双方工作人员或任意第三方人身损害或财产损失的，由乙方承担全部责任。</w:t>
      </w:r>
    </w:p>
    <w:p w14:paraId="496F9A1F">
      <w:pPr>
        <w:keepNext w:val="0"/>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0" w:firstLineChars="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十一、违约责任</w:t>
      </w:r>
    </w:p>
    <w:p w14:paraId="239CA87B">
      <w:pPr>
        <w:keepLines w:val="0"/>
        <w:pageBreakBefore w:val="0"/>
        <w:widowControl w:val="0"/>
        <w:tabs>
          <w:tab w:val="left" w:pos="0"/>
        </w:tabs>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ab/>
      </w:r>
      <w:r>
        <w:rPr>
          <w:rFonts w:hint="eastAsia" w:ascii="仿宋" w:hAnsi="仿宋" w:eastAsia="仿宋" w:cs="仿宋"/>
          <w:b w:val="0"/>
          <w:bCs w:val="0"/>
          <w:sz w:val="24"/>
          <w:szCs w:val="24"/>
          <w:lang w:val="en-US" w:eastAsia="zh-CN"/>
        </w:rPr>
        <w:t>若乙方未按合同约定的时限完工并经甲方验收合格的，每逾期一天，按合同总价的【0.05】%向甲方支付违约金，累计不超过合同金额的 5%，重大质量问题需承担修复费用及赔偿。逾期达到【 】天的，视为乙方根本违约，甲方有权单方解除本合同，合同解除后乙方应按合同总价的【 】%向甲方支付违约金，违约金不足以赔偿甲方损失的，由乙方另行承担。</w:t>
      </w:r>
    </w:p>
    <w:p w14:paraId="667986B1">
      <w:pPr>
        <w:keepLines w:val="0"/>
        <w:pageBreakBefore w:val="0"/>
        <w:widowControl w:val="0"/>
        <w:tabs>
          <w:tab w:val="left" w:pos="0"/>
        </w:tabs>
        <w:kinsoku/>
        <w:wordWrap/>
        <w:overflowPunct/>
        <w:topLinePunct w:val="0"/>
        <w:autoSpaceDE w:val="0"/>
        <w:autoSpaceDN w:val="0"/>
        <w:bidi w:val="0"/>
        <w:adjustRightInd w:val="0"/>
        <w:snapToGrid w:val="0"/>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十二、不可抗力</w:t>
      </w:r>
    </w:p>
    <w:p w14:paraId="1F762C4F">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1、不可抗力事件发生后，乙方应在力所能及的条件下迅速采取措施，尽力减少损失。</w:t>
      </w:r>
    </w:p>
    <w:p w14:paraId="4428A7FE">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2、因不可抗力事件导致的费用及延误工期由双方按以下方法分别承担：</w:t>
      </w:r>
    </w:p>
    <w:p w14:paraId="6140C060">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（1）人员伤亡由各自单位负责，并各自承担相应费用。</w:t>
      </w:r>
    </w:p>
    <w:p w14:paraId="5837C086">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（2）乙方机械设备损坏及停工损失，由乙方负责。</w:t>
      </w:r>
    </w:p>
    <w:p w14:paraId="63A91C3C">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（3）工程所需清理、修复费用，由甲方负责。</w:t>
      </w:r>
    </w:p>
    <w:p w14:paraId="1DBE4786">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延误工期相应顺延。</w:t>
      </w:r>
    </w:p>
    <w:p w14:paraId="75C6AC46">
      <w:pPr>
        <w:keepLines w:val="0"/>
        <w:pageBreakBefore w:val="0"/>
        <w:widowControl w:val="0"/>
        <w:kinsoku/>
        <w:wordWrap/>
        <w:overflowPunct/>
        <w:topLinePunct w:val="0"/>
        <w:bidi w:val="0"/>
        <w:adjustRightInd w:val="0"/>
        <w:snapToGrid w:val="0"/>
        <w:spacing w:line="360" w:lineRule="auto"/>
        <w:textAlignment w:val="auto"/>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十三、合同争议解决的方式</w:t>
      </w:r>
    </w:p>
    <w:p w14:paraId="6A55186A">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本合同在履行过程中发生的争议，由甲、乙双方当事人协商解决，协商不成的按以下第2种方式解决：</w:t>
      </w:r>
    </w:p>
    <w:p w14:paraId="6E77F025">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1、提交西安仲裁委员会仲裁；</w:t>
      </w:r>
    </w:p>
    <w:p w14:paraId="6032F825">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2、依法向甲方所在地人民法院起诉。</w:t>
      </w:r>
    </w:p>
    <w:p w14:paraId="53BD4E26">
      <w:pPr>
        <w:keepLines w:val="0"/>
        <w:pageBreakBefore w:val="0"/>
        <w:widowControl w:val="0"/>
        <w:kinsoku/>
        <w:wordWrap/>
        <w:overflowPunct/>
        <w:topLinePunct w:val="0"/>
        <w:bidi w:val="0"/>
        <w:adjustRightInd w:val="0"/>
        <w:snapToGrid w:val="0"/>
        <w:spacing w:line="360" w:lineRule="auto"/>
        <w:textAlignment w:val="auto"/>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十四、双方特别做出以下确认</w:t>
      </w:r>
    </w:p>
    <w:p w14:paraId="3604C1F1">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1、双方已经仔细审阅本合同的内容，并完全了解本合同条款的法律含义。</w:t>
      </w:r>
    </w:p>
    <w:p w14:paraId="5023708B">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2、双方确认，本合同是双方在自愿、平等、互利、公平、公正，协商一致的基础上达成的共识，双方对本合同中的所有条款均无任何异议。</w:t>
      </w:r>
    </w:p>
    <w:p w14:paraId="0B59A7CB">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3、本合同自双方盖章签字之日生效。</w:t>
      </w:r>
    </w:p>
    <w:p w14:paraId="38362812">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4、本合同一式</w:t>
      </w:r>
      <w:r>
        <w:rPr>
          <w:rFonts w:hint="eastAsia" w:ascii="仿宋" w:hAnsi="仿宋" w:eastAsia="仿宋" w:cs="仿宋"/>
          <w:sz w:val="24"/>
          <w:szCs w:val="24"/>
          <w:u w:val="single"/>
          <w:lang w:val="en-US" w:eastAsia="zh-CN"/>
        </w:rPr>
        <w:t>陆</w:t>
      </w:r>
      <w:r>
        <w:rPr>
          <w:rFonts w:hint="eastAsia" w:ascii="仿宋" w:hAnsi="仿宋" w:eastAsia="仿宋" w:cs="仿宋"/>
          <w:sz w:val="24"/>
          <w:szCs w:val="24"/>
          <w:lang w:val="en-US" w:eastAsia="zh-CN"/>
        </w:rPr>
        <w:t>份，甲乙双方各执</w:t>
      </w:r>
      <w:r>
        <w:rPr>
          <w:rFonts w:hint="eastAsia" w:ascii="仿宋" w:hAnsi="仿宋" w:eastAsia="仿宋" w:cs="仿宋"/>
          <w:sz w:val="24"/>
          <w:szCs w:val="24"/>
          <w:u w:val="single"/>
          <w:lang w:val="en-US" w:eastAsia="zh-CN"/>
        </w:rPr>
        <w:t>叁</w:t>
      </w:r>
      <w:r>
        <w:rPr>
          <w:rFonts w:hint="eastAsia" w:ascii="仿宋" w:hAnsi="仿宋" w:eastAsia="仿宋" w:cs="仿宋"/>
          <w:sz w:val="24"/>
          <w:szCs w:val="24"/>
          <w:lang w:val="en-US" w:eastAsia="zh-CN"/>
        </w:rPr>
        <w:t>份，各份具有同等法律效力。</w:t>
      </w:r>
    </w:p>
    <w:p w14:paraId="426BC0FD">
      <w:pPr>
        <w:keepLines w:val="0"/>
        <w:pageBreakBefore w:val="0"/>
        <w:widowControl w:val="0"/>
        <w:kinsoku/>
        <w:wordWrap/>
        <w:overflowPunct/>
        <w:topLinePunct w:val="0"/>
        <w:bidi w:val="0"/>
        <w:adjustRightInd w:val="0"/>
        <w:snapToGrid w:val="0"/>
        <w:spacing w:line="360" w:lineRule="auto"/>
        <w:textAlignment w:val="auto"/>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十五、其他事项</w:t>
      </w:r>
    </w:p>
    <w:p w14:paraId="33D10A90">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1、报价单、合同附件均成为合同不可分割的部分。</w:t>
      </w:r>
    </w:p>
    <w:p w14:paraId="664F3FCE">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2、合同未尽事宜，由甲、乙双方协商、确认后，作为合同补充，与原合同具有同等法律效力。</w:t>
      </w:r>
    </w:p>
    <w:p w14:paraId="08C59C88">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3、合同一经签订，不得擅自变更、中止或终止合同。对确需变更、调整或中止、终止合同的，应按规定履行相应的手续。</w:t>
      </w:r>
    </w:p>
    <w:p w14:paraId="62926581">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4、本合同按照中华人民共和国的现行法律进行解释。</w:t>
      </w:r>
    </w:p>
    <w:p w14:paraId="3E49D86A">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5、供应商规模：</w:t>
      </w:r>
      <w:r>
        <w:rPr>
          <w:rFonts w:hint="eastAsia" w:ascii="仿宋" w:hAnsi="仿宋" w:eastAsia="仿宋" w:cs="仿宋"/>
          <w:sz w:val="24"/>
          <w:szCs w:val="24"/>
          <w:u w:val="single"/>
          <w:lang w:val="en-US" w:eastAsia="zh-CN"/>
        </w:rPr>
        <w:t xml:space="preserve">        </w:t>
      </w:r>
    </w:p>
    <w:p w14:paraId="032A1591">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w:t>
      </w:r>
      <w:r>
        <w:rPr>
          <w:rFonts w:hint="eastAsia" w:ascii="仿宋" w:hAnsi="仿宋" w:eastAsia="仿宋" w:cs="仿宋"/>
          <w:color w:val="auto"/>
          <w:sz w:val="24"/>
          <w:szCs w:val="24"/>
          <w:lang w:val="en-US" w:eastAsia="zh-CN"/>
        </w:rPr>
        <w:t>甲方联系人：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；联系电话：</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 xml:space="preserve">   </w:t>
      </w:r>
      <w:r>
        <w:rPr>
          <w:rFonts w:hint="eastAsia" w:ascii="仿宋" w:hAnsi="仿宋" w:eastAsia="仿宋" w:cs="仿宋"/>
          <w:sz w:val="24"/>
          <w:szCs w:val="24"/>
          <w:lang w:val="en-US" w:eastAsia="zh-CN"/>
        </w:rPr>
        <w:t xml:space="preserve">   </w:t>
      </w:r>
    </w:p>
    <w:p w14:paraId="0190B164">
      <w:pPr>
        <w:keepLines w:val="0"/>
        <w:pageBreakBefore w:val="0"/>
        <w:widowControl w:val="0"/>
        <w:tabs>
          <w:tab w:val="left" w:pos="0"/>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乙方联系人：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；联系电话：</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w:t>
      </w:r>
    </w:p>
    <w:p w14:paraId="3470F3B8">
      <w:pPr>
        <w:keepNext w:val="0"/>
        <w:keepLines w:val="0"/>
        <w:pageBreakBefore w:val="0"/>
        <w:widowControl w:val="0"/>
        <w:tabs>
          <w:tab w:val="left" w:pos="0"/>
        </w:tabs>
        <w:kinsoku/>
        <w:wordWrap/>
        <w:overflowPunct/>
        <w:topLinePunct w:val="0"/>
        <w:autoSpaceDE w:val="0"/>
        <w:autoSpaceDN w:val="0"/>
        <w:bidi w:val="0"/>
        <w:adjustRightInd w:val="0"/>
        <w:snapToGrid w:val="0"/>
        <w:spacing w:line="48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甲  方（法人公章）                          乙  方（法人公章）</w:t>
      </w:r>
    </w:p>
    <w:p w14:paraId="54D8794F">
      <w:pPr>
        <w:keepNext w:val="0"/>
        <w:keepLines w:val="0"/>
        <w:pageBreakBefore w:val="0"/>
        <w:widowControl w:val="0"/>
        <w:tabs>
          <w:tab w:val="left" w:pos="0"/>
        </w:tabs>
        <w:kinsoku/>
        <w:wordWrap/>
        <w:overflowPunct/>
        <w:topLinePunct w:val="0"/>
        <w:autoSpaceDE w:val="0"/>
        <w:autoSpaceDN w:val="0"/>
        <w:bidi w:val="0"/>
        <w:adjustRightInd w:val="0"/>
        <w:snapToGrid w:val="0"/>
        <w:spacing w:line="480" w:lineRule="auto"/>
        <w:ind w:firstLine="480" w:firstLineChars="200"/>
        <w:textAlignment w:val="auto"/>
        <w:rPr>
          <w:rFonts w:hint="eastAsia" w:ascii="仿宋" w:hAnsi="仿宋" w:eastAsia="仿宋" w:cs="仿宋"/>
          <w:sz w:val="24"/>
          <w:szCs w:val="24"/>
          <w:lang w:val="en-US" w:eastAsia="zh-CN"/>
        </w:rPr>
      </w:pPr>
    </w:p>
    <w:p w14:paraId="1DEA6B13">
      <w:pPr>
        <w:keepNext w:val="0"/>
        <w:keepLines w:val="0"/>
        <w:pageBreakBefore w:val="0"/>
        <w:widowControl w:val="0"/>
        <w:tabs>
          <w:tab w:val="left" w:pos="0"/>
        </w:tabs>
        <w:kinsoku/>
        <w:wordWrap/>
        <w:overflowPunct/>
        <w:topLinePunct w:val="0"/>
        <w:autoSpaceDE w:val="0"/>
        <w:autoSpaceDN w:val="0"/>
        <w:bidi w:val="0"/>
        <w:adjustRightInd w:val="0"/>
        <w:snapToGrid w:val="0"/>
        <w:spacing w:line="48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法定代表人：                              法定代表人： </w:t>
      </w:r>
    </w:p>
    <w:p w14:paraId="63C8397E">
      <w:pPr>
        <w:keepNext w:val="0"/>
        <w:keepLines w:val="0"/>
        <w:pageBreakBefore w:val="0"/>
        <w:widowControl w:val="0"/>
        <w:tabs>
          <w:tab w:val="left" w:pos="0"/>
        </w:tabs>
        <w:kinsoku/>
        <w:wordWrap/>
        <w:overflowPunct/>
        <w:topLinePunct w:val="0"/>
        <w:autoSpaceDE w:val="0"/>
        <w:autoSpaceDN w:val="0"/>
        <w:bidi w:val="0"/>
        <w:adjustRightInd w:val="0"/>
        <w:snapToGrid w:val="0"/>
        <w:spacing w:line="48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代理人：                                  代理人：</w:t>
      </w:r>
    </w:p>
    <w:p w14:paraId="67CE4DDE">
      <w:pPr>
        <w:keepNext w:val="0"/>
        <w:keepLines w:val="0"/>
        <w:pageBreakBefore w:val="0"/>
        <w:widowControl w:val="0"/>
        <w:tabs>
          <w:tab w:val="left" w:pos="0"/>
        </w:tabs>
        <w:kinsoku/>
        <w:wordWrap/>
        <w:overflowPunct/>
        <w:topLinePunct w:val="0"/>
        <w:autoSpaceDE w:val="0"/>
        <w:autoSpaceDN w:val="0"/>
        <w:bidi w:val="0"/>
        <w:adjustRightInd w:val="0"/>
        <w:snapToGrid w:val="0"/>
        <w:spacing w:line="480" w:lineRule="auto"/>
        <w:ind w:left="6719" w:leftChars="228" w:hanging="6240" w:hangingChars="26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开户银行：                                开户银行：</w:t>
      </w:r>
    </w:p>
    <w:p w14:paraId="72F96376">
      <w:pPr>
        <w:keepNext w:val="0"/>
        <w:keepLines w:val="0"/>
        <w:pageBreakBefore w:val="0"/>
        <w:widowControl w:val="0"/>
        <w:tabs>
          <w:tab w:val="left" w:pos="0"/>
        </w:tabs>
        <w:kinsoku/>
        <w:wordWrap/>
        <w:overflowPunct/>
        <w:topLinePunct w:val="0"/>
        <w:autoSpaceDE w:val="0"/>
        <w:autoSpaceDN w:val="0"/>
        <w:bidi w:val="0"/>
        <w:adjustRightInd w:val="0"/>
        <w:snapToGrid w:val="0"/>
        <w:spacing w:line="48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帐  号：                                  帐  号：</w:t>
      </w:r>
    </w:p>
    <w:p w14:paraId="6B79E507">
      <w:pPr>
        <w:keepNext w:val="0"/>
        <w:keepLines w:val="0"/>
        <w:pageBreakBefore w:val="0"/>
        <w:widowControl w:val="0"/>
        <w:tabs>
          <w:tab w:val="left" w:pos="0"/>
        </w:tabs>
        <w:kinsoku/>
        <w:wordWrap/>
        <w:overflowPunct/>
        <w:topLinePunct w:val="0"/>
        <w:autoSpaceDE w:val="0"/>
        <w:autoSpaceDN w:val="0"/>
        <w:bidi w:val="0"/>
        <w:adjustRightInd w:val="0"/>
        <w:snapToGrid w:val="0"/>
        <w:spacing w:line="48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单位名称：                                单位名称：</w:t>
      </w:r>
    </w:p>
    <w:p w14:paraId="07C22DA4">
      <w:pPr>
        <w:keepNext w:val="0"/>
        <w:keepLines w:val="0"/>
        <w:pageBreakBefore w:val="0"/>
        <w:widowControl w:val="0"/>
        <w:tabs>
          <w:tab w:val="left" w:pos="0"/>
        </w:tabs>
        <w:kinsoku/>
        <w:wordWrap/>
        <w:overflowPunct/>
        <w:topLinePunct w:val="0"/>
        <w:autoSpaceDE w:val="0"/>
        <w:autoSpaceDN w:val="0"/>
        <w:bidi w:val="0"/>
        <w:adjustRightInd w:val="0"/>
        <w:snapToGrid w:val="0"/>
        <w:spacing w:line="480" w:lineRule="auto"/>
        <w:ind w:left="5999" w:leftChars="228" w:hanging="5520" w:hangingChars="23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地  址：                                   地  址：</w:t>
      </w:r>
    </w:p>
    <w:p w14:paraId="21234FF1">
      <w:pPr>
        <w:keepNext w:val="0"/>
        <w:keepLines w:val="0"/>
        <w:pageBreakBefore w:val="0"/>
        <w:widowControl w:val="0"/>
        <w:tabs>
          <w:tab w:val="left" w:pos="0"/>
        </w:tabs>
        <w:kinsoku/>
        <w:wordWrap/>
        <w:overflowPunct/>
        <w:topLinePunct w:val="0"/>
        <w:autoSpaceDE w:val="0"/>
        <w:autoSpaceDN w:val="0"/>
        <w:bidi w:val="0"/>
        <w:adjustRightInd w:val="0"/>
        <w:snapToGrid w:val="0"/>
        <w:spacing w:line="48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联系电话：                               联系电话：</w:t>
      </w:r>
    </w:p>
    <w:p w14:paraId="6C8226F8">
      <w:r>
        <w:rPr>
          <w:rFonts w:hint="eastAsia" w:ascii="仿宋" w:hAnsi="仿宋" w:eastAsia="仿宋" w:cs="仿宋"/>
          <w:sz w:val="24"/>
          <w:szCs w:val="24"/>
          <w:lang w:val="en-US" w:eastAsia="zh-CN"/>
        </w:rPr>
        <w:t>签订日期：                                    签订日期：</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5BD570"/>
    <w:multiLevelType w:val="singleLevel"/>
    <w:tmpl w:val="065BD57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56A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 w:type="paragraph" w:customStyle="1" w:styleId="5">
    <w:name w:val="列出段落1"/>
    <w:basedOn w:val="1"/>
    <w:autoRedefine/>
    <w:qFormat/>
    <w:uiPriority w:val="0"/>
    <w:pPr>
      <w:adjustRightInd w:val="0"/>
      <w:spacing w:line="300" w:lineRule="auto"/>
      <w:ind w:firstLine="420" w:firstLineChars="200"/>
      <w:textAlignment w:val="baseline"/>
    </w:pPr>
    <w:rPr>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2025-07-16T07:24:52Z</dcterms:created>
  <dc:creator>Administrator</dc:creator>
  <cp:lastModifiedBy>乐乐</cp:lastModifiedBy>
  <dcterms:modified xsi:type="dcterms:W3CDTF">2025-07-16T07:24:56Z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eyJoZGlkIjoiNmJhODJlNDRmZTc2ZWYzMmQ0MzhhZTU0MDkyMDcyOWUiLCJ1c2VySWQiOiIyODI4NjAyODQifQ==</vt:lpwstr>
  </property>
  <property fmtid="{D5CDD505-2E9C-101B-9397-08002B2CF9AE}" pid="4" name="ICV">
    <vt:lpwstr>2064B5F12A984C47A0DCA688AE8065D0_12</vt:lpwstr>
  </property>
</Properties>
</file>