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版本号：SXJACG(2025)-1320250717001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陕西省石头河水库灌区2025年度省级水利发展资金干支渠道安全防护设施建设项目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SXJACG(2025)-13</w:t>
      </w:r>
      <w:r>
        <w:br/>
      </w:r>
      <w:r>
        <w:br/>
      </w:r>
      <w:r>
        <w:br/>
      </w:r>
    </w:p>
    <w:p>
      <w:pPr>
        <w:pStyle w:val="null3"/>
        <w:jc w:val="center"/>
        <w:outlineLvl w:val="2"/>
      </w:pPr>
      <w:r>
        <w:rPr>
          <w:rFonts w:ascii="仿宋_GB2312" w:hAnsi="仿宋_GB2312" w:cs="仿宋_GB2312" w:eastAsia="仿宋_GB2312"/>
          <w:sz w:val="28"/>
          <w:b/>
        </w:rPr>
        <w:t>陕西省石头河水库灌溉中心</w:t>
      </w:r>
    </w:p>
    <w:p>
      <w:pPr>
        <w:pStyle w:val="null3"/>
        <w:jc w:val="center"/>
        <w:outlineLvl w:val="2"/>
      </w:pPr>
      <w:r>
        <w:rPr>
          <w:rFonts w:ascii="仿宋_GB2312" w:hAnsi="仿宋_GB2312" w:cs="仿宋_GB2312" w:eastAsia="仿宋_GB2312"/>
          <w:sz w:val="28"/>
          <w:b/>
        </w:rPr>
        <w:t>陕西金岸工程项目管理有限公司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陕西金岸工程项目管理有限公司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陕西省石头河水库灌溉中心</w:t>
      </w:r>
      <w:r>
        <w:rPr>
          <w:rFonts w:ascii="仿宋_GB2312" w:hAnsi="仿宋_GB2312" w:cs="仿宋_GB2312" w:eastAsia="仿宋_GB2312"/>
        </w:rPr>
        <w:t>委托，拟对</w:t>
      </w:r>
      <w:r>
        <w:rPr>
          <w:rFonts w:ascii="仿宋_GB2312" w:hAnsi="仿宋_GB2312" w:cs="仿宋_GB2312" w:eastAsia="仿宋_GB2312"/>
        </w:rPr>
        <w:t>陕西省石头河水库灌区2025年度省级水利发展资金干支渠道安全防护设施建设项目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SXJACG(2025)-13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陕西省石头河水库灌区2025年度省级水利发展资金干支渠道安全防护设施建设项目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陕西省石头河水库灌区2025年度省级水利发展资金干支渠道安全防护设施建设项目主要功能或目标:为渠道加设防护设施，进一步提升农村道路交通安全防护能力，维护好人民群众生命财产安全项目。 本项目主要建设内容包括：干支渠道安全防护工程总长度5.425km，其中:浸塑防护网安装2.23km，双波形护栏安装3.195km。 (1)浸塑防护网 梅惠干渠右岸安装0.34km、高度1.8m，桩号:0+330-0+670。 北干渠左岸安装1.89km,高度1.8m，桩号:3+690-3+820、4+410-4+450、6+880-7+530、8+260-8+625、9+300-9+552、10+815-11+268。 浸塑防护网立柱、箍框及钢丝网均采用Q235钢材,PVC草绿色涂塑。立柱采用Φ60&gt;4mm钢管，箍框为20&gt;30 &gt;1.5mm方钢，立柱与箍框、箍框与钢丝网的连接方式为螺栓连接。钢丝网丝浸塑后4mm，网孔规格为60mm&gt;120mm.基座采用 C20 砼现浇，尺寸0.5m &gt;0.5m&gt;0.5m。 (2)双波形护栏 梅惠干渠左岸安装0.34km，桩号:0+330-0+670。 北干渠右岸安装1.72km，桩号:6+880-7+530、8+260-8+625、9+300-9+552、10+815-11+268。 西干二支渠左岸安装1.135km，桩号:0+300-1+435。 双波形护栏采用两道栏板，上一道为双波栏板，长4.32m、宽 310m m、厚3mm;下一道为C型钢栏板,长3.98m、宽 120mm厚3mm。栏板及立柱均采用Q235材料，PVC草绿色涂塑。护栏净高0.85m。下一道C型钢板波形板距C型板、C型板距地面间距均为0.21m。立柱外径114mm、高1.95m、壁厚4.5mm，埋入地下深度1.1m，间距为4m。护栏每 4m 设置一个C20砼现浇基础，尺寸0.5m&gt;0.5m &gt;0.5m。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采购包1（陕西省石头河水库灌区2025年度省级水利发展资金干支渠道安全防护设施建设项目）：属于专门面向中小企业采购。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1、中小企业声明：本项目专门面向中小企业，供应商需在项目电子化交易系统中按要求上传中小企业声明函并进行电子签章。</w:t>
      </w:r>
    </w:p>
    <w:p>
      <w:pPr>
        <w:pStyle w:val="null3"/>
      </w:pPr>
      <w:r>
        <w:rPr>
          <w:rFonts w:ascii="仿宋_GB2312" w:hAnsi="仿宋_GB2312" w:cs="仿宋_GB2312" w:eastAsia="仿宋_GB2312"/>
        </w:rPr>
        <w:t>2、供应商应为具有独立承担民事责任能力的企业法人、事业法人、其他组织或自然人：供应商应为具有独立承担民事责任能力的企业法人、事业法人、其他组织或自然人，企业法人须提供统一社会信用代码的营业执照、事业单位须提供事业单位法人证、组织机构代码证等证明文件、其他组织应提供合法证明文件、自然人参与的提供其身份证。</w:t>
      </w:r>
    </w:p>
    <w:p>
      <w:pPr>
        <w:pStyle w:val="null3"/>
      </w:pPr>
      <w:r>
        <w:rPr>
          <w:rFonts w:ascii="仿宋_GB2312" w:hAnsi="仿宋_GB2312" w:cs="仿宋_GB2312" w:eastAsia="仿宋_GB2312"/>
        </w:rPr>
        <w:t>3、供应商应授权合法的人员参加投标：供应商应授权合法的人员参加投标，法定代表人（或单位负责人）直接参加的，须出具法定代表人（或单位负责人）身份证明及身份证，并与营业执照上信息一致；授权代表参加的，须出具法定代表人（或单位负责人）授权委托书及被授权人身份证。</w:t>
      </w:r>
    </w:p>
    <w:p>
      <w:pPr>
        <w:pStyle w:val="null3"/>
      </w:pPr>
      <w:r>
        <w:rPr>
          <w:rFonts w:ascii="仿宋_GB2312" w:hAnsi="仿宋_GB2312" w:cs="仿宋_GB2312" w:eastAsia="仿宋_GB2312"/>
        </w:rPr>
        <w:t>4、财务报告：供应商应提供2024年度的财务报告（至少包括财务报告、资产负债表、利润表（或损益表）、现金流量表，成立时间至递交响应文件截止时间不足一年的可提供成立后任意时段的资产负债表），或其开标前三个月内基本存款账户开户银行出具的资信证明及基本存款账户开户信息，其他组织和自然人提供银行出具的资信证明或财务报表。</w:t>
      </w:r>
    </w:p>
    <w:p>
      <w:pPr>
        <w:pStyle w:val="null3"/>
      </w:pPr>
      <w:r>
        <w:rPr>
          <w:rFonts w:ascii="仿宋_GB2312" w:hAnsi="仿宋_GB2312" w:cs="仿宋_GB2312" w:eastAsia="仿宋_GB2312"/>
        </w:rPr>
        <w:t>5、税收缴纳证明：供应商提供响应文件递交截止时间前六个月内任意一月已缴纳的纳税证明或完税证明，依法免税的供应商应提供相关证明文件。</w:t>
      </w:r>
    </w:p>
    <w:p>
      <w:pPr>
        <w:pStyle w:val="null3"/>
      </w:pPr>
      <w:r>
        <w:rPr>
          <w:rFonts w:ascii="仿宋_GB2312" w:hAnsi="仿宋_GB2312" w:cs="仿宋_GB2312" w:eastAsia="仿宋_GB2312"/>
        </w:rPr>
        <w:t>6、社保缴纳证明：供应商提供响应文件递交截止时间前六个月内任意一月已缴存的社会保障资金缴费证明或参保证明，依法不需要缴纳社会保障资金的供应商应提供相关证明文件。</w:t>
      </w:r>
    </w:p>
    <w:p>
      <w:pPr>
        <w:pStyle w:val="null3"/>
      </w:pPr>
      <w:r>
        <w:rPr>
          <w:rFonts w:ascii="仿宋_GB2312" w:hAnsi="仿宋_GB2312" w:cs="仿宋_GB2312" w:eastAsia="仿宋_GB2312"/>
        </w:rPr>
        <w:t>7、供应商资质条件：供应商须具备水利水电工程施工总承包三级（含三级）以上资质，建设行政主管部门颁发的有效的安全生产许可证。</w:t>
      </w:r>
    </w:p>
    <w:p>
      <w:pPr>
        <w:pStyle w:val="null3"/>
      </w:pPr>
      <w:r>
        <w:rPr>
          <w:rFonts w:ascii="仿宋_GB2312" w:hAnsi="仿宋_GB2312" w:cs="仿宋_GB2312" w:eastAsia="仿宋_GB2312"/>
        </w:rPr>
        <w:t>8、拟派项目经理：供应商拟派项目经理须为本单位注册人员，持有水利水电工程二级（含二级）以上注册建造师证书，具有水行政主管部门颁发的安全生产考核合格证，且无在建项目（提供无在建项目承诺书）。</w:t>
      </w:r>
    </w:p>
    <w:p>
      <w:pPr>
        <w:pStyle w:val="null3"/>
      </w:pPr>
      <w:r>
        <w:rPr>
          <w:rFonts w:ascii="仿宋_GB2312" w:hAnsi="仿宋_GB2312" w:cs="仿宋_GB2312" w:eastAsia="仿宋_GB2312"/>
        </w:rPr>
        <w:t>9、企业负责人、专职安全员：供应商的企业负责人、专职安全员须具有水行政主管部门颁发的安全生产考核合格证。</w:t>
      </w:r>
    </w:p>
    <w:p>
      <w:pPr>
        <w:pStyle w:val="null3"/>
      </w:pPr>
      <w:r>
        <w:rPr>
          <w:rFonts w:ascii="仿宋_GB2312" w:hAnsi="仿宋_GB2312" w:cs="仿宋_GB2312" w:eastAsia="仿宋_GB2312"/>
        </w:rPr>
        <w:t>10、无重大违法记录：参加政府采购活动前3年内，在经营活动中没有重大违法记录的书面声明。</w:t>
      </w:r>
    </w:p>
    <w:p>
      <w:pPr>
        <w:pStyle w:val="null3"/>
      </w:pPr>
      <w:r>
        <w:rPr>
          <w:rFonts w:ascii="仿宋_GB2312" w:hAnsi="仿宋_GB2312" w:cs="仿宋_GB2312" w:eastAsia="仿宋_GB2312"/>
        </w:rPr>
        <w:t>11、具有履行合同所必需的设备和专业技术能力：供应商应具有履行合同所必需的设备和专业技术能力，提供承诺书。</w:t>
      </w:r>
    </w:p>
    <w:p>
      <w:pPr>
        <w:pStyle w:val="null3"/>
      </w:pPr>
      <w:r>
        <w:rPr>
          <w:rFonts w:ascii="仿宋_GB2312" w:hAnsi="仿宋_GB2312" w:cs="仿宋_GB2312" w:eastAsia="仿宋_GB2312"/>
        </w:rPr>
        <w:t>12、信用查询：供应商不得为“信用中国”网站（www.creditchina.gov.cn）中列入重大税收违法失信主体名单的供应商、不得为“中国执行信息公开网”网站（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13、单位负责人为同一人或者存在直接控股、管理关系的不同投标人，不得同时参加同一合同项下的政府采购活动：单位负责人为同一人或者存在直接控股、管理关系的不同供应商，不得同时参加同一合同项下的政府采购活动，提供书面声明。</w:t>
      </w:r>
    </w:p>
    <w:p>
      <w:pPr>
        <w:pStyle w:val="null3"/>
      </w:pPr>
      <w:r>
        <w:rPr>
          <w:rFonts w:ascii="仿宋_GB2312" w:hAnsi="仿宋_GB2312" w:cs="仿宋_GB2312" w:eastAsia="仿宋_GB2312"/>
        </w:rPr>
        <w:t>14、非联合体投标声明：本项目不接受联合体，提供非联合体投标声明。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陕西省石头河水库灌溉中心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陕西省咸阳市秦都区扶苏南路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陕西省石头河水库灌溉管理局经办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18629405239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陕西金岸工程项目管理有限公司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陕西省西咸新区沣东新城扶苏路民善雅居商业楼A座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029-33819311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代理服务费收费标准：本次采购代理服务费参考国家计委关于印发《招标代理服务收费管理暂行办法》的通知（计价格【2002】1980号文）收费标准、造价咨询费参考陕西省物价局陕西省住房和城乡建设厅 《关于我省工程造价咨询服务收费标准有关问题的通知》 （陕价行发〔2014〕88号）文件，确定共计人民币大写：壹万陆仟伍佰元整（￥16500.00元），由中标（或成交）供应商在领取中标（或成交）通知书时一次性支付给采购代理人。</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陕西省石头河水库灌溉中心</w:t>
      </w:r>
      <w:r>
        <w:rPr>
          <w:rFonts w:ascii="仿宋_GB2312" w:hAnsi="仿宋_GB2312" w:cs="仿宋_GB2312" w:eastAsia="仿宋_GB2312"/>
        </w:rPr>
        <w:t>和</w:t>
      </w:r>
      <w:r>
        <w:rPr>
          <w:rFonts w:ascii="仿宋_GB2312" w:hAnsi="仿宋_GB2312" w:cs="仿宋_GB2312" w:eastAsia="仿宋_GB2312"/>
        </w:rPr>
        <w:t>陕西金岸工程项目管理有限公司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陕西省石头河水库灌溉中心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陕西金岸工程项目管理有限公司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陕西省石头河水库灌溉中心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陕西金岸工程项目管理有限公司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陕西金岸工程项目管理有限公司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陕西金岸工程项目管理有限公司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陕西金岸工程项目管理有限公司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联系人：王幸</w:t>
      </w:r>
    </w:p>
    <w:p>
      <w:pPr>
        <w:pStyle w:val="null3"/>
      </w:pPr>
      <w:r>
        <w:rPr>
          <w:rFonts w:ascii="仿宋_GB2312" w:hAnsi="仿宋_GB2312" w:cs="仿宋_GB2312" w:eastAsia="仿宋_GB2312"/>
        </w:rPr>
        <w:t>联系电话：029-33819311</w:t>
      </w:r>
    </w:p>
    <w:p>
      <w:pPr>
        <w:pStyle w:val="null3"/>
      </w:pPr>
      <w:r>
        <w:rPr>
          <w:rFonts w:ascii="仿宋_GB2312" w:hAnsi="仿宋_GB2312" w:cs="仿宋_GB2312" w:eastAsia="仿宋_GB2312"/>
        </w:rPr>
        <w:t>地址：陕西省西咸新区沣东新城扶苏路民善雅居商业楼A座</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1,499,759.00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陕西省石头河水库灌区2025年度省级水利发展资金干支渠道安全防护设施建设项目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标的名称：陕西省石头河水库灌区2025年度省级水利发展资金干支渠道安全防护设施建设项目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1、本项目主要建设内容：干支渠道安全防护工程总长度5.425km，其中:浸塑防护网安装2.23km，双波形护栏安装3.195km。 </w:t>
            </w:r>
            <w:r>
              <w:br/>
            </w:r>
            <w:r>
              <w:rPr>
                <w:rFonts w:ascii="仿宋_GB2312" w:hAnsi="仿宋_GB2312" w:cs="仿宋_GB2312" w:eastAsia="仿宋_GB2312"/>
              </w:rPr>
              <w:t xml:space="preserve"> (1)浸塑防护网</w:t>
            </w:r>
            <w:r>
              <w:br/>
            </w:r>
            <w:r>
              <w:rPr>
                <w:rFonts w:ascii="仿宋_GB2312" w:hAnsi="仿宋_GB2312" w:cs="仿宋_GB2312" w:eastAsia="仿宋_GB2312"/>
              </w:rPr>
              <w:t xml:space="preserve"> 梅惠干渠右岸安装0.34km、高度1.8m，桩号:0+330-0+670。</w:t>
            </w:r>
            <w:r>
              <w:br/>
            </w:r>
            <w:r>
              <w:rPr>
                <w:rFonts w:ascii="仿宋_GB2312" w:hAnsi="仿宋_GB2312" w:cs="仿宋_GB2312" w:eastAsia="仿宋_GB2312"/>
              </w:rPr>
              <w:t xml:space="preserve"> 北干渠左岸安装1.89km,高度1.8m，桩号:3+690-3+820、4+410-4+450、6+880-7+530、8+260-8+625、9+300-9+552、10+815-11+268。</w:t>
            </w:r>
            <w:r>
              <w:br/>
            </w:r>
            <w:r>
              <w:rPr>
                <w:rFonts w:ascii="仿宋_GB2312" w:hAnsi="仿宋_GB2312" w:cs="仿宋_GB2312" w:eastAsia="仿宋_GB2312"/>
              </w:rPr>
              <w:t xml:space="preserve"> 浸塑防护网立柱、箍框及钢丝网均采用Q235钢材,PVC草绿色涂塑。立柱采用Φ60&gt;4mm钢管，箍框为20&gt;30 &gt;1.5mm方钢，立柱与箍框、箍框与钢丝网的连接方式为螺栓连接。钢丝网丝浸塑后4mm，网孔规格为60mm&gt;120mm.基座采用 C20 砼现浇，尺寸0.5m &gt;0.5m&gt;0.5m。   </w:t>
            </w:r>
            <w:r>
              <w:br/>
            </w:r>
            <w:r>
              <w:rPr>
                <w:rFonts w:ascii="仿宋_GB2312" w:hAnsi="仿宋_GB2312" w:cs="仿宋_GB2312" w:eastAsia="仿宋_GB2312"/>
              </w:rPr>
              <w:t xml:space="preserve"> (2)双波形护栏</w:t>
            </w:r>
            <w:r>
              <w:br/>
            </w:r>
            <w:r>
              <w:rPr>
                <w:rFonts w:ascii="仿宋_GB2312" w:hAnsi="仿宋_GB2312" w:cs="仿宋_GB2312" w:eastAsia="仿宋_GB2312"/>
              </w:rPr>
              <w:t xml:space="preserve"> 梅惠干渠左岸安装0.34km，桩号:0+330-0+670。</w:t>
            </w:r>
            <w:r>
              <w:br/>
            </w:r>
            <w:r>
              <w:rPr>
                <w:rFonts w:ascii="仿宋_GB2312" w:hAnsi="仿宋_GB2312" w:cs="仿宋_GB2312" w:eastAsia="仿宋_GB2312"/>
              </w:rPr>
              <w:t xml:space="preserve"> 北干渠右岸安装1.72km，桩号:6+880-7+530、8+260-8+625、9+300-9+552、10+815-11+268。</w:t>
            </w:r>
            <w:r>
              <w:br/>
            </w:r>
            <w:r>
              <w:rPr>
                <w:rFonts w:ascii="仿宋_GB2312" w:hAnsi="仿宋_GB2312" w:cs="仿宋_GB2312" w:eastAsia="仿宋_GB2312"/>
              </w:rPr>
              <w:t xml:space="preserve"> 西干二支渠左岸安装1.135km，桩号:0+300-1+435。</w:t>
            </w:r>
            <w:r>
              <w:br/>
            </w:r>
            <w:r>
              <w:rPr>
                <w:rFonts w:ascii="仿宋_GB2312" w:hAnsi="仿宋_GB2312" w:cs="仿宋_GB2312" w:eastAsia="仿宋_GB2312"/>
              </w:rPr>
              <w:t xml:space="preserve"> 双波形护栏采用两道栏板，上一道为双波栏板，长4.32m、宽 310m m、厚3mm;下一道为C型钢栏板,长3.98m、宽 120mm厚3mm。栏板及立柱均采用Q235材料，PVC草绿色涂塑。护栏净高0.85m。下一道C型钢板波形板距C型板、C型板距地面间距均为0.21m。立柱外径114mm、高1.95m、壁厚4.5mm，埋入地下深度1.1m，间距为4m。护栏每 4m 设置一个C20砼现浇基础，尺寸0.5m&gt;0.5m &gt;0.5m。</w:t>
            </w:r>
            <w:r>
              <w:br/>
            </w:r>
            <w:r>
              <w:rPr>
                <w:rFonts w:ascii="仿宋_GB2312" w:hAnsi="仿宋_GB2312" w:cs="仿宋_GB2312" w:eastAsia="仿宋_GB2312"/>
              </w:rPr>
              <w:t xml:space="preserve"> （具体内容详见工程量清单）</w:t>
            </w:r>
          </w:p>
          <w:p>
            <w:pPr>
              <w:pStyle w:val="null3"/>
            </w:pPr>
            <w:r>
              <w:rPr>
                <w:rFonts w:ascii="仿宋_GB2312" w:hAnsi="仿宋_GB2312" w:cs="仿宋_GB2312" w:eastAsia="仿宋_GB2312"/>
              </w:rPr>
              <w:t>2、质量要求：符合国家及行业验收合格标准。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工期：60日历天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响应文件正本壹份、副本贰份、电子版壹份（U盘1个，包含word及PDF格式响应文件所有内容）。 2.纸质响应文件建议A4纸双面打印，正、副本分别各自装订成册并编制目录和页码，单独密封并加盖公章。若正本和副本不符，以正本为准；若电子响应文件与纸质响应文件不一致的，以电子响应文件为准。 2.线下递交文件时间截止：响应文件提交截止时间前； 3.线下递交文件地点：陕西省西咸新区沣东新城扶苏路民善雅居商业楼A座三楼会议室。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2024年度的财务报告（至少包括财务报告、资产负债表、利润表（或损益表）、现金流量表，成立时间至递交响应文件截止时间不足一年的可提供成立后任意时段的资产负债表），或其开标前三个月内基本存款账户开户银行出具的资信证明及基本存款账户开户信息，其他组织和自然人提供银行出具的资信证明或财务报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供应商应提交的特定资格证明材料.docx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本项目专门面向中小企业，供应商需在项目电子化交易系统中按要求上传中小企业声明函并进行电子签章。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供应商应为具有独立承担民事责任能力的企业法人、事业法人、其他组织或自然人</w:t>
            </w:r>
          </w:p>
        </w:tc>
        <w:tc>
          <w:tcPr>
            <w:tcW w:type="dxa" w:w="3322"/>
          </w:tcPr>
          <w:p>
            <w:pPr>
              <w:pStyle w:val="null3"/>
            </w:pPr>
            <w:r>
              <w:rPr>
                <w:rFonts w:ascii="仿宋_GB2312" w:hAnsi="仿宋_GB2312" w:cs="仿宋_GB2312" w:eastAsia="仿宋_GB2312"/>
              </w:rPr>
              <w:t>供应商应为具有独立承担民事责任能力的企业法人、事业法人、其他组织或自然人，企业法人须提供统一社会信用代码的营业执照、事业单位须提供事业单位法人证、组织机构代码证等证明文件、其他组织应提供合法证明文件、自然人参与的提供其身份证。</w:t>
            </w:r>
          </w:p>
        </w:tc>
        <w:tc>
          <w:tcPr>
            <w:tcW w:type="dxa" w:w="1661"/>
          </w:tcPr>
          <w:p>
            <w:pPr>
              <w:pStyle w:val="null3"/>
            </w:pPr>
            <w:r>
              <w:rPr>
                <w:rFonts w:ascii="仿宋_GB2312" w:hAnsi="仿宋_GB2312" w:cs="仿宋_GB2312" w:eastAsia="仿宋_GB2312"/>
              </w:rPr>
              <w:t>供应商应提交的特定资格证明材料.docx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供应商应授权合法的人员参加投标</w:t>
            </w:r>
          </w:p>
        </w:tc>
        <w:tc>
          <w:tcPr>
            <w:tcW w:type="dxa" w:w="3322"/>
          </w:tcPr>
          <w:p>
            <w:pPr>
              <w:pStyle w:val="null3"/>
            </w:pPr>
            <w:r>
              <w:rPr>
                <w:rFonts w:ascii="仿宋_GB2312" w:hAnsi="仿宋_GB2312" w:cs="仿宋_GB2312" w:eastAsia="仿宋_GB2312"/>
              </w:rPr>
              <w:t>供应商应授权合法的人员参加投标，法定代表人（或单位负责人）直接参加的，须出具法定代表人（或单位负责人）身份证明及身份证，并与营业执照上信息一致；授权代表参加的，须出具法定代表人（或单位负责人）授权委托书及被授权人身份证。</w:t>
            </w:r>
          </w:p>
        </w:tc>
        <w:tc>
          <w:tcPr>
            <w:tcW w:type="dxa" w:w="1661"/>
          </w:tcPr>
          <w:p>
            <w:pPr>
              <w:pStyle w:val="null3"/>
            </w:pPr>
            <w:r>
              <w:rPr>
                <w:rFonts w:ascii="仿宋_GB2312" w:hAnsi="仿宋_GB2312" w:cs="仿宋_GB2312" w:eastAsia="仿宋_GB2312"/>
              </w:rPr>
              <w:t>供应商应提交的特定资格证明材料.docx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供应商应提供2024年度的财务报告（至少包括财务报告、资产负债表、利润表（或损益表）、现金流量表，成立时间至递交响应文件截止时间不足一年的可提供成立后任意时段的资产负债表），或其开标前三个月内基本存款账户开户银行出具的资信证明及基本存款账户开户信息，其他组织和自然人提供银行出具的资信证明或财务报表。</w:t>
            </w:r>
          </w:p>
        </w:tc>
        <w:tc>
          <w:tcPr>
            <w:tcW w:type="dxa" w:w="1661"/>
          </w:tcPr>
          <w:p>
            <w:pPr>
              <w:pStyle w:val="null3"/>
            </w:pPr>
            <w:r>
              <w:rPr>
                <w:rFonts w:ascii="仿宋_GB2312" w:hAnsi="仿宋_GB2312" w:cs="仿宋_GB2312" w:eastAsia="仿宋_GB2312"/>
              </w:rPr>
              <w:t>供应商应提交的特定资格证明材料.docx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供应商提供响应文件递交截止时间前六个月内任意一月已缴纳的纳税证明或完税证明，依法免税的供应商应提供相关证明文件。</w:t>
            </w:r>
          </w:p>
        </w:tc>
        <w:tc>
          <w:tcPr>
            <w:tcW w:type="dxa" w:w="1661"/>
          </w:tcPr>
          <w:p>
            <w:pPr>
              <w:pStyle w:val="null3"/>
            </w:pPr>
            <w:r>
              <w:rPr>
                <w:rFonts w:ascii="仿宋_GB2312" w:hAnsi="仿宋_GB2312" w:cs="仿宋_GB2312" w:eastAsia="仿宋_GB2312"/>
              </w:rPr>
              <w:t>供应商应提交的特定资格证明材料.docx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供应商提供响应文件递交截止时间前六个月内任意一月已缴存的社会保障资金缴费证明或参保证明，依法不需要缴纳社会保障资金的供应商应提供相关证明文件。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供应商应提交的特定资格证明材料.docx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供应商资质条件</w:t>
            </w:r>
          </w:p>
        </w:tc>
        <w:tc>
          <w:tcPr>
            <w:tcW w:type="dxa" w:w="3322"/>
          </w:tcPr>
          <w:p>
            <w:pPr>
              <w:pStyle w:val="null3"/>
            </w:pPr>
            <w:r>
              <w:rPr>
                <w:rFonts w:ascii="仿宋_GB2312" w:hAnsi="仿宋_GB2312" w:cs="仿宋_GB2312" w:eastAsia="仿宋_GB2312"/>
              </w:rPr>
              <w:t>供应商须具备水利水电工程施工总承包三级（含三级）以上资质，建设行政主管部门颁发的有效的安全生产许可证。</w:t>
            </w:r>
          </w:p>
        </w:tc>
        <w:tc>
          <w:tcPr>
            <w:tcW w:type="dxa" w:w="1661"/>
          </w:tcPr>
          <w:p>
            <w:pPr>
              <w:pStyle w:val="null3"/>
            </w:pPr>
            <w:r>
              <w:rPr>
                <w:rFonts w:ascii="仿宋_GB2312" w:hAnsi="仿宋_GB2312" w:cs="仿宋_GB2312" w:eastAsia="仿宋_GB2312"/>
              </w:rPr>
              <w:t>供应商应提交的特定资格证明材料.docx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供应商拟派项目经理须为本单位注册人员，持有水利水电工程二级（含二级）以上注册建造师证书，具有水行政主管部门颁发的安全生产考核合格证，且无在建项目（提供无在建项目承诺书）。</w:t>
            </w:r>
          </w:p>
        </w:tc>
        <w:tc>
          <w:tcPr>
            <w:tcW w:type="dxa" w:w="1661"/>
          </w:tcPr>
          <w:p>
            <w:pPr>
              <w:pStyle w:val="null3"/>
            </w:pPr>
            <w:r>
              <w:rPr>
                <w:rFonts w:ascii="仿宋_GB2312" w:hAnsi="仿宋_GB2312" w:cs="仿宋_GB2312" w:eastAsia="仿宋_GB2312"/>
              </w:rPr>
              <w:t>供应商应提交的特定资格证明材料.docx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企业负责人、专职安全员</w:t>
            </w:r>
          </w:p>
        </w:tc>
        <w:tc>
          <w:tcPr>
            <w:tcW w:type="dxa" w:w="3322"/>
          </w:tcPr>
          <w:p>
            <w:pPr>
              <w:pStyle w:val="null3"/>
            </w:pPr>
            <w:r>
              <w:rPr>
                <w:rFonts w:ascii="仿宋_GB2312" w:hAnsi="仿宋_GB2312" w:cs="仿宋_GB2312" w:eastAsia="仿宋_GB2312"/>
              </w:rPr>
              <w:t>供应商的企业负责人、专职安全员须具有水行政主管部门颁发的安全生产考核合格证。</w:t>
            </w:r>
          </w:p>
        </w:tc>
        <w:tc>
          <w:tcPr>
            <w:tcW w:type="dxa" w:w="1661"/>
          </w:tcPr>
          <w:p>
            <w:pPr>
              <w:pStyle w:val="null3"/>
            </w:pPr>
            <w:r>
              <w:rPr>
                <w:rFonts w:ascii="仿宋_GB2312" w:hAnsi="仿宋_GB2312" w:cs="仿宋_GB2312" w:eastAsia="仿宋_GB2312"/>
              </w:rPr>
              <w:t>供应商应提交的特定资格证明材料.docx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供应商应提交的特定资格证明材料.docx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供应商应具有履行合同所必需的设备和专业技术能力，提供承诺书。</w:t>
            </w:r>
          </w:p>
        </w:tc>
        <w:tc>
          <w:tcPr>
            <w:tcW w:type="dxa" w:w="1661"/>
          </w:tcPr>
          <w:p>
            <w:pPr>
              <w:pStyle w:val="null3"/>
            </w:pPr>
            <w:r>
              <w:rPr>
                <w:rFonts w:ascii="仿宋_GB2312" w:hAnsi="仿宋_GB2312" w:cs="仿宋_GB2312" w:eastAsia="仿宋_GB2312"/>
              </w:rPr>
              <w:t>响应函 供应商应提交的特定资格证明材料.docx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重大税收违法失信主体名单的供应商、不得为“中国执行信息公开网”网站（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供应商应提交的特定资格证明材料.docx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单位负责人为同一人或者存在直接控股、管理关系的不同投标人，不得同时参加同一合同项下的政府采购活动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单位负责人为同一人或者存在直接控股、管理关系的不同供应商，不得同时参加同一合同项下的政府采购活动，提供书面声明。</w:t>
            </w:r>
          </w:p>
        </w:tc>
        <w:tc>
          <w:tcPr>
            <w:tcW w:type="dxa" w:w="1661"/>
          </w:tcPr>
          <w:p>
            <w:pPr>
              <w:pStyle w:val="null3"/>
            </w:pPr>
            <w:r>
              <w:rPr>
                <w:rFonts w:ascii="仿宋_GB2312" w:hAnsi="仿宋_GB2312" w:cs="仿宋_GB2312" w:eastAsia="仿宋_GB2312"/>
              </w:rPr>
              <w:t>响应函 供应商应提交的特定资格证明材料.docx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本项目不接受联合体，提供非联合体投标声明。</w:t>
            </w:r>
          </w:p>
        </w:tc>
        <w:tc>
          <w:tcPr>
            <w:tcW w:type="dxa" w:w="1661"/>
          </w:tcPr>
          <w:p>
            <w:pPr>
              <w:pStyle w:val="null3"/>
            </w:pPr>
            <w:r>
              <w:rPr>
                <w:rFonts w:ascii="仿宋_GB2312" w:hAnsi="仿宋_GB2312" w:cs="仿宋_GB2312" w:eastAsia="仿宋_GB2312"/>
              </w:rPr>
              <w:t>供应商应提交的特定资格证明材料.docx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供应商应提交的特定资格证明材料.docx 其他.docx 强制优先采购产品承诺函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响应文件格式中要求法定代表人或被授权人的签字处，签字齐全，响应文件加盖电子印章。</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供应商应提交的特定资格证明材料.docx 其他.docx 强制优先采购产品承诺函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符合国家及行业验收合格标准</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合同工期</w:t>
            </w:r>
          </w:p>
        </w:tc>
        <w:tc>
          <w:tcPr>
            <w:tcW w:type="dxa" w:w="3322"/>
          </w:tcPr>
          <w:p>
            <w:pPr>
              <w:pStyle w:val="null3"/>
            </w:pPr>
            <w:r>
              <w:rPr>
                <w:rFonts w:ascii="仿宋_GB2312" w:hAnsi="仿宋_GB2312" w:cs="仿宋_GB2312" w:eastAsia="仿宋_GB2312"/>
              </w:rPr>
              <w:t>60日历天</w:t>
            </w:r>
          </w:p>
        </w:tc>
        <w:tc>
          <w:tcPr>
            <w:tcW w:type="dxa" w:w="1661"/>
          </w:tcPr>
          <w:p>
            <w:pPr>
              <w:pStyle w:val="null3"/>
            </w:pPr>
            <w:r>
              <w:rPr>
                <w:rFonts w:ascii="仿宋_GB2312" w:hAnsi="仿宋_GB2312" w:cs="仿宋_GB2312" w:eastAsia="仿宋_GB2312"/>
              </w:rPr>
              <w:t>报价函 标的清单 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从提交响应文件截止之日起，不少于90天。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首次响应报价</w:t>
            </w:r>
          </w:p>
        </w:tc>
        <w:tc>
          <w:tcPr>
            <w:tcW w:type="dxa" w:w="3322"/>
          </w:tcPr>
          <w:p>
            <w:pPr>
              <w:pStyle w:val="null3"/>
            </w:pPr>
            <w:r>
              <w:rPr>
                <w:rFonts w:ascii="仿宋_GB2312" w:hAnsi="仿宋_GB2312" w:cs="仿宋_GB2312" w:eastAsia="仿宋_GB2312"/>
              </w:rPr>
              <w:t>报价不超过最高限价。</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对本项目了解透彻，制定的施工方案、方法与技术措施内容全面，施工工艺先进，对施工具有高度指导性，得10-15分；施工方案基本可行，方法、措施基本得当，得5-10分；可行性、指导性较低的得0-5分。缺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质量管理体系及保证措施</w:t>
            </w:r>
          </w:p>
        </w:tc>
        <w:tc>
          <w:tcPr>
            <w:tcW w:type="dxa" w:w="2492"/>
          </w:tcPr>
          <w:p>
            <w:pPr>
              <w:pStyle w:val="null3"/>
            </w:pPr>
            <w:r>
              <w:rPr>
                <w:rFonts w:ascii="仿宋_GB2312" w:hAnsi="仿宋_GB2312" w:cs="仿宋_GB2312" w:eastAsia="仿宋_GB2312"/>
              </w:rPr>
              <w:t>质量目标明确，管理体系健全，控制措施完整的得4-8分；质量目标基本明确，管理体系基本健全，控制措施较完整的得0-4分；不合理或未叙述者不得分。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安全生产目标明确，预防和动态控制措施及制度完整、到位，管理体系和组织措施功能完善，安全经费投入明确的得4-8分；安全生产目标基本明确，控制措施及制度基本完整的得0-4分；不合理或未叙述不得分。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水土保持、环境保护管理体系及保证措施</w:t>
            </w:r>
          </w:p>
        </w:tc>
        <w:tc>
          <w:tcPr>
            <w:tcW w:type="dxa" w:w="2492"/>
          </w:tcPr>
          <w:p>
            <w:pPr>
              <w:pStyle w:val="null3"/>
            </w:pPr>
            <w:r>
              <w:rPr>
                <w:rFonts w:ascii="仿宋_GB2312" w:hAnsi="仿宋_GB2312" w:cs="仿宋_GB2312" w:eastAsia="仿宋_GB2312"/>
              </w:rPr>
              <w:t>水土保持、环境保护管理体系健全、完整得3-6分；水土保持、环境保护管理体系基本健全、完整得0-3分；不合理或未叙述者不得分。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施工进度计划及保证措施</w:t>
            </w:r>
          </w:p>
        </w:tc>
        <w:tc>
          <w:tcPr>
            <w:tcW w:type="dxa" w:w="2492"/>
          </w:tcPr>
          <w:p>
            <w:pPr>
              <w:pStyle w:val="null3"/>
            </w:pPr>
            <w:r>
              <w:rPr>
                <w:rFonts w:ascii="仿宋_GB2312" w:hAnsi="仿宋_GB2312" w:cs="仿宋_GB2312" w:eastAsia="仿宋_GB2312"/>
              </w:rPr>
              <w:t>工期满足磋商文件要求，施工进度、节点安排合理，进度计划横道图或网络图安排合理的得3-5分；工期满足磋商文件要求，施工进度、节点安排基本合理，进度计划横道图或网络图较完善的得0-3分；不合理或未叙述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主要施工机械设备及劳动力配备</w:t>
            </w:r>
          </w:p>
        </w:tc>
        <w:tc>
          <w:tcPr>
            <w:tcW w:type="dxa" w:w="2492"/>
          </w:tcPr>
          <w:p>
            <w:pPr>
              <w:pStyle w:val="null3"/>
            </w:pPr>
            <w:r>
              <w:rPr>
                <w:rFonts w:ascii="仿宋_GB2312" w:hAnsi="仿宋_GB2312" w:cs="仿宋_GB2312" w:eastAsia="仿宋_GB2312"/>
              </w:rPr>
              <w:t>施工机械设备配备合理、资源充足，劳动力计划合理分配安排并具有较强的实施性。满足施工要求得3-5分；基本可行得0-3分；不合理或不满足不得。</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项目风险预测与防范、事故应急预案考虑全面，切实可行，操作性强，经济合理得3-5分；项目风险预测与防范、事故应急预案考虑操作性不强得0-3分；不合理或未叙述者不得分。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近3年（2022年7月至响应文件递交截止时间）每承建过1项水利工程施工业绩得2分，最高得6分。注：业绩以中标通知书或合同协议书、陕西省水利建设市场主体信用信息管理平台网页查询结果截图（若有）复印 件/扫描件为准。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项目经理职称及业绩</w:t>
            </w:r>
          </w:p>
        </w:tc>
        <w:tc>
          <w:tcPr>
            <w:tcW w:type="dxa" w:w="2492"/>
          </w:tcPr>
          <w:p>
            <w:pPr>
              <w:pStyle w:val="null3"/>
            </w:pPr>
            <w:r>
              <w:rPr>
                <w:rFonts w:ascii="仿宋_GB2312" w:hAnsi="仿宋_GB2312" w:cs="仿宋_GB2312" w:eastAsia="仿宋_GB2312"/>
              </w:rPr>
              <w:t>1、具有水利相关专业中级及以上技术职称得1分，无职称得0分。 2、近3年内（2022年7月至响应文件递交截止时间）具有担任水利工程施工项目经理业绩得2分，无业绩得0分。（业绩以中标通知书或合同协议书、陕西省水利建设市场主体信用信息管理平台业绩信息查询结果截图（若有）等证明材料里体现其担任项目经理，否则不予认定。）</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技术负责人职称及业绩</w:t>
            </w:r>
          </w:p>
        </w:tc>
        <w:tc>
          <w:tcPr>
            <w:tcW w:type="dxa" w:w="2492"/>
          </w:tcPr>
          <w:p>
            <w:pPr>
              <w:pStyle w:val="null3"/>
            </w:pPr>
            <w:r>
              <w:rPr>
                <w:rFonts w:ascii="仿宋_GB2312" w:hAnsi="仿宋_GB2312" w:cs="仿宋_GB2312" w:eastAsia="仿宋_GB2312"/>
              </w:rPr>
              <w:t>1、具有水利相关专业中级及以上技术职称得1分； 2、近3年内（2022年7月至响应文件递交截止时间）具有担任水利工程施工技术负责人业绩得2分，无业绩得0分。 （业绩以中标通知书或合同协议书、陕西省水利建设市场主体信用信息管理平台业绩信息查询结果截图（若有）等证明材料里体现其担任技术负责人，否则不予认定。）</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其他人员的配备</w:t>
            </w:r>
          </w:p>
        </w:tc>
        <w:tc>
          <w:tcPr>
            <w:tcW w:type="dxa" w:w="2492"/>
          </w:tcPr>
          <w:p>
            <w:pPr>
              <w:pStyle w:val="null3"/>
            </w:pPr>
            <w:r>
              <w:rPr>
                <w:rFonts w:ascii="仿宋_GB2312" w:hAnsi="仿宋_GB2312" w:cs="仿宋_GB2312" w:eastAsia="仿宋_GB2312"/>
              </w:rPr>
              <w:t>项目管理机构配备有专职安全员、质量（检）员、施工员、材料员、资料员、造价员均具有相应的从业资格证件的得6分，每有一项岗位不满足要求的扣1分，扣完6分为止。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按照财政部《政府采购竞争性磋商采购方式管理暂行办法》的有关规定，将满足磋商文件要求且最终报价最低的供应商的价格作为磋商基准价，其价格得分为满分。其他供应商的价格分统一按照下列公式计算： 磋商报价得分=(磋商基准价／最终磋商评审价)×30（价格权值）×100 ，磋商委员会认为供应商的报价明显低于其他通过符合性审查供应商的报价，有可能影响产品质量或者不能诚信履约的，应当要求其在评审现场合理的时间内提供书面说明，必要时提交相关证明材料；供应商不能证明其报价合理性的，磋商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详见附件：供应商应提交的特定资格证明材料.docx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详见附件：安全防护施工合同条款.docx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