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版本号：GCZB2025-06-135-W20250717001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预算绩效一体化系统项目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GCZB2025-06-135-W</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预算绩效一体化系统项目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GCZB2025-06-135-W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预算绩效一体化系统项目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陕西铁路工程职业技术学院预算绩效一体化系统项目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采购包1（陕西铁路工程职业技术学院预算绩效一体化系统项目）：属于专门面向中小企业采购。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9、落实政府采购政策需满足的资格要求：本项目专门面向中小企业采购，投标产品的制造商应为中型企业或小型、微型企业或监狱企业或残疾人福利性单位。投标产品的制造商为中型、小型、微型企业的，供应商提供《中小企业声明函》；投标产品的制造商为监狱企业的，供应商应提供投标产品制造商为监狱企业的证明文件；投标产品的制造商为残疾人福利性单位的，供应商应提供投标产品制造商为残疾人福利性单位的《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陕西铁路工程职业技术学院预算绩效一体化系统项目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采购需求概况：</w:t>
            </w:r>
          </w:p>
          <w:p>
            <w:pPr>
              <w:pStyle w:val="null3"/>
              <w:jc w:val="both"/>
            </w:pPr>
            <w:r>
              <w:rPr>
                <w:rFonts w:ascii="仿宋_GB2312" w:hAnsi="仿宋_GB2312" w:cs="仿宋_GB2312" w:eastAsia="仿宋_GB2312"/>
                <w:sz w:val="21"/>
              </w:rPr>
              <w:t>本项目旨在借助信息化手段建立健全学校项目库管理体系和完善预算管理体系，提升学校治理水平和信息化管理水平，具体需求如下：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1）将学校所有支出以预算项目的形式纳入项目库动态管理，完善以项目库为基础的预算绩效管理机制；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2）支持多级预算编制（部门、项目库、基本、专项等），支持角色权限分级管理（如校领导、部门负责人、经办人等），实现预算申报、分类、汇总、对比全流程线上化；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3）支持绩效目标与预算项目联动编制，实现目标量化指标（如产出、效益、满意度等）的合并与跟踪；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4）支持预算数据可视化分析（图表、仪表盘等）；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5）与现有财务系统、教务系统、人事系统等实现对接，完成不同数据集之间的互通互算，并支持财政主管部门数据标准，满足上报要求。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项目建设功能目标：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1）通过建立统一信息化平台实现单位内部预算绩效一体化协同管理，解决“财务不懂业务，业务不理解财务”导致的协同困难；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2）全口径预算资金均可纳入平台，落实预算资金及绩效管理的规范性；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3）提升预算编制的科学化、规范化，服务效率大幅提升，既能够加快资金支付进度，同时实现数据“留痕”便于内控；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4）提供资金绩效管理工作抓手，各部门绩效申报统一标准，为结果评价及应用提供基础；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7）建立动态项目库机制、指标库体系，积累专家智力劳动成果及管理成果，总结经验、凝结规律，为后续管理提供依据；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8）建立全面绩效评价体系，自评、单位评价多手段约束控制，辅助实现绩效管理目标；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9）提供数据统计及分析手段，对预算资金及使用全过程进行全维度分析对比，解决业务数据与财务数据由于工作维度不同导致的数据查询困难问题，为管理决策提供数据支撑。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采购清单及产品主要规格参数、数量；</w:t>
            </w:r>
          </w:p>
          <w:tbl>
            <w:tblPr>
              <w:tblInd w:type="dxa" w:w="120"/>
              <w:tblBorders>
                <w:top w:val="none" w:color="000000" w:sz="4"/>
                <w:left w:val="none" w:color="000000" w:sz="4"/>
                <w:bottom w:val="none" w:color="000000" w:sz="4"/>
                <w:right w:val="none" w:color="000000" w:sz="4"/>
                <w:insideH w:val="none"/>
                <w:insideV w:val="none"/>
              </w:tblBorders>
            </w:tblPr>
            <w:tblGrid>
              <w:gridCol w:w="162"/>
              <w:gridCol w:w="245"/>
              <w:gridCol w:w="1960"/>
              <w:gridCol w:w="178"/>
            </w:tblGrid>
            <w:tr>
              <w:tc>
                <w:tcPr>
                  <w:tcW w:type="dxa" w:w="162"/>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w:t>
                  </w:r>
                  <w:r>
                    <w:rPr>
                      <w:rFonts w:ascii="仿宋_GB2312" w:hAnsi="仿宋_GB2312" w:cs="仿宋_GB2312" w:eastAsia="仿宋_GB2312"/>
                      <w:sz w:val="21"/>
                      <w:color w:val="000000"/>
                    </w:rPr>
                    <w:t>号</w:t>
                  </w:r>
                </w:p>
              </w:tc>
              <w:tc>
                <w:tcPr>
                  <w:tcW w:type="dxa" w:w="24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196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具体技术（参数）</w:t>
                  </w:r>
                  <w:r>
                    <w:rPr>
                      <w:rFonts w:ascii="仿宋_GB2312" w:hAnsi="仿宋_GB2312" w:cs="仿宋_GB2312" w:eastAsia="仿宋_GB2312"/>
                      <w:sz w:val="21"/>
                      <w:color w:val="000000"/>
                    </w:rPr>
                    <w:t>/服务要求</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基础平台</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1）系统具备单据审批和分类功能。具备在不同单据类型下新增多个表单并根据审批流推送至对应审批人审批的功能。</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具备业务流程的管理配置。根据管理制度要求，流程部署具备预制多套学校常用流程模板，并可根据学校内控和实际业务要求随时调整。流程配置对已部署的业务流程可针对不同预算项目类型进行配置管理。包括对学校预算信息化管理流程的梳理优化提供管理咨询服务。</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3）具备电子档案留痕功能。具备将业务单据相关的关键控制文档在线存档、具备包括但不限于word、excel、PPT、PDF等文档的在线预览、领导审批意见自动留痕。</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4）具备基础数据的指标库和管理。具备在绩效指标库中对一、二级指标按照要求进行排序，校内项目中的绩效指标可按照定义的顺序显示；具备新增绩效指标自定义等。</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5）具备项目分类管理。能够按照所需的项目分类维度对项目库进行分类管理和统计分析。</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6）在开展基础平台建设前，需先行围绕内控管理梳理相关工作，涵盖但不限于以下内容 ：</w:t>
                  </w:r>
                </w:p>
                <w:p>
                  <w:pPr>
                    <w:pStyle w:val="null3"/>
                    <w:jc w:val="left"/>
                  </w:pPr>
                  <w:r>
                    <w:rPr>
                      <w:rFonts w:ascii="仿宋_GB2312" w:hAnsi="仿宋_GB2312" w:cs="仿宋_GB2312" w:eastAsia="仿宋_GB2312"/>
                      <w:sz w:val="21"/>
                      <w:color w:val="000000"/>
                    </w:rPr>
                    <w:t>实施的业务范围包括单位层面内部控制和业务层面内部控制，其中单位层面内部控制主要包括但不限于组织岗位、权力运行、决策机制、管理制度、信息技术等；业务层面内部控制包括但不限于预算绩效管理、收支管理、采购管理、合同管理。</w:t>
                  </w:r>
                </w:p>
                <w:p>
                  <w:pPr>
                    <w:pStyle w:val="null3"/>
                    <w:jc w:val="left"/>
                  </w:pPr>
                  <w:r>
                    <w:rPr>
                      <w:rFonts w:ascii="仿宋_GB2312" w:hAnsi="仿宋_GB2312" w:cs="仿宋_GB2312" w:eastAsia="仿宋_GB2312"/>
                      <w:sz w:val="21"/>
                      <w:color w:val="000000"/>
                    </w:rPr>
                    <w:t>能够建立风险评估标准、程序和工具，识别预算管理、绩效管理、合同管理、收支管理、资金管理等经济活动的风险点，形成《风险评估报告》。</w:t>
                  </w:r>
                </w:p>
                <w:p>
                  <w:pPr>
                    <w:pStyle w:val="null3"/>
                    <w:jc w:val="left"/>
                  </w:pPr>
                  <w:r>
                    <w:rPr>
                      <w:rFonts w:ascii="仿宋_GB2312" w:hAnsi="仿宋_GB2312" w:cs="仿宋_GB2312" w:eastAsia="仿宋_GB2312"/>
                      <w:sz w:val="21"/>
                      <w:color w:val="000000"/>
                    </w:rPr>
                    <w:t>能够协助修订、完善学校财务制度、办法、规定等，确保与内控要求衔接；能够优化业务流程关键控制点的设计，按照相关要求制定《内部控制手册》。</w:t>
                  </w:r>
                </w:p>
                <w:p>
                  <w:pPr>
                    <w:pStyle w:val="null3"/>
                    <w:jc w:val="left"/>
                  </w:pPr>
                  <w:r>
                    <w:rPr>
                      <w:rFonts w:ascii="仿宋_GB2312" w:hAnsi="仿宋_GB2312" w:cs="仿宋_GB2312" w:eastAsia="仿宋_GB2312"/>
                      <w:sz w:val="21"/>
                      <w:color w:val="000000"/>
                    </w:rPr>
                    <w:t>能够结合系统设计信息化建设路径（如预算</w:t>
                  </w:r>
                  <w:r>
                    <w:rPr>
                      <w:rFonts w:ascii="仿宋_GB2312" w:hAnsi="仿宋_GB2312" w:cs="仿宋_GB2312" w:eastAsia="仿宋_GB2312"/>
                      <w:sz w:val="21"/>
                      <w:color w:val="000000"/>
                    </w:rPr>
                    <w:t>-绩效-合同-支付一体化流程）。并基于信息系统规范执行，可动态监控、分析、预警；提供5年免费咨询（如电话/邮件答疑、制度微调支持），能够协助应对审计或巡视中发现的财务内控问题。</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项目库管理</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具备项目逐年滚动管理功能。可以批量导入项目信息，包括项目基本信息、预算信息、采购信息和绩效信息；对上传的附件如专家论证表等（图片格式）能够识别后进行汇总统计，并按照学校采购管理办法或公式进行判断是否符合要求。</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2）具备申报模板管理功能。</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3）具备校内项目管理功能。项目库分类查询，可批量导出项目库明细数据（含项目申报书及相关附件的超链接和批量下载功能），能够形成项目库全生命周期管理。</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具备项目申报功能。具备带出关联申报模板的默认数据和政采目录填写范围，可一键复制往年填报内容，帮助业务人员准确快速的完成项目申报；具备双高项目的特殊管理要求，实现校内项目与双高计划的关联；具备项目申报书内容合格性自动校验；具备项目申报书的暂存，保存用户阶段工作成果；具备重新编辑并提交被驳回或已撤销的项目。</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5）具备项目审批功能。包括具备移动端审批。</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●（6）具备专家论证功能。具备外部专家论证、内部专家论证两种论证方式，两种论证方式都能够实现论证过程资料及结果的在线留痕，论证金额自动更新项目的拟批金额。</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7）项目评审。具备评审流程审批推送，评审意见填写和评审过程资料及结果的在线留痕。</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8）排序入库。具备通过专家论证或校内评价（预设条件）后对项目进行排序功能；具备批量导入导出排序结果；具备将已入库的项目退出储备库，并可根据实际情况重新排序入库。</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9）领导批复。系统应具备将待上会项目列表及相关附件批量下载导出y，具备根据党委会意见，批量批复项目申报金额与一上预算。</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10）项目申报监控。具备根据审批流程，汇总各流程节点待审批项目数量，实时把握项目申报状态。</w:t>
                  </w:r>
                </w:p>
              </w:tc>
              <w:tc>
                <w:tcPr>
                  <w:tcW w:type="dxa" w:w="178"/>
                  <w:vMerge/>
                  <w:tcBorders>
                    <w:top w:val="none" w:color="000000" w:sz="4"/>
                    <w:left w:val="single" w:color="000000" w:sz="4"/>
                    <w:bottom w:val="single" w:color="000000" w:sz="4"/>
                    <w:right w:val="single" w:color="000000" w:sz="4"/>
                  </w:tcBorders>
                </w:tcP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预算管理</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1）具备预算分解与导入学校现已建设的财务核算系统，且预算模块各统计口径之间数据准确、闭合，能够显示各项目审批节点时间及状态，并实时统计和批量导出项目审批状态详情。</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2）项目库中的项目数据可转移至预算管理模块，与当年拟申报的预算项目进行合并，共同形成当年预算数据，且预算明细批量导出后需含该部分数据附件。</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●（3）部分预算项目具有定额或公式要求时，上传数据文件后能够按既定规律测算项目额度，形成系统自动申报记录。</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具备预算查询功能。具备根据用户权限、负责人、部门等条件筛选、实时查询下达预算、在途资金、已使用预算、可用预算等数据以及预算执行情况，并可实现穿透查询项目预算明细的支出进度情况，以前年度数据或驳回数据能够隐藏或不在当前页面显示。</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5）具备预算项目调整或合并功能。</w:t>
                  </w:r>
                </w:p>
              </w:tc>
              <w:tc>
                <w:tcPr>
                  <w:tcW w:type="dxa" w:w="178"/>
                  <w:vMerge/>
                  <w:tcBorders>
                    <w:top w:val="none" w:color="000000" w:sz="4"/>
                    <w:left w:val="single" w:color="000000" w:sz="4"/>
                    <w:bottom w:val="single" w:color="000000" w:sz="4"/>
                    <w:right w:val="single" w:color="000000" w:sz="4"/>
                  </w:tcBorders>
                </w:tcP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绩效管理</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1）根据学校提供的Excel报表，结合上级部门要求或校内会议要求的固定模版，在系统中用页面实现，并可支持导出。</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●（2）具备建设任务书电子化。具备借助系统实现各类建设任务书电子化管理，绩效指标和项目资金均在系统中进行呈现；并能够在校内项目申报或绩效自评时，具备校内项目关联对应的建设任务。</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3）绩效跟踪监控可视化。具备合并同类项目绩效指标的功能。绩效指标申报部门能够填报绩效完成情况并上传佐证材料，绩效完成情况和年初绩效指标之间能形成对比。</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●（4）具备绩效评价管理。系统具备针对校内项目、规划项目两个对象的绩效评价工作，包括绩效自评和第三方评价两个部分。系统可根据自评数据汇总生成相关数据采集表。</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5）对于第三方评价，具备根据第三方反馈的问题按条进行记录，形成问题清单。</w:t>
                  </w:r>
                </w:p>
              </w:tc>
              <w:tc>
                <w:tcPr>
                  <w:tcW w:type="dxa" w:w="178"/>
                  <w:vMerge/>
                  <w:tcBorders>
                    <w:top w:val="none" w:color="000000" w:sz="4"/>
                    <w:left w:val="single" w:color="000000" w:sz="4"/>
                    <w:bottom w:val="single" w:color="000000" w:sz="4"/>
                    <w:right w:val="single" w:color="000000" w:sz="4"/>
                  </w:tcBorders>
                </w:tcP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领导决策支持</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1）具备工作台管理。包含用户待审批任务、通知提醒等，以及项目库、预算执行率等各类数据汇总等。</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2）可自动提取或按模板导入上年预算批复和预算执行数据，并与当年拟申报预算项目（含项目库）进行匹配、对比、分析。</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●（3）具备支出监控管理。具备按照项目、申请日期、申请部门等条件组合查询支出明细单据；具备列表查看每项支出的关联业务执行状态查询。</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●（4）具备风险智能检查。系统可根据预制的风险防范规则，智能检查内控风险点，辅助学校防范风险。</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●具备校内项目看板。具体要求为：</w:t>
                  </w:r>
                </w:p>
                <w:p>
                  <w:pPr>
                    <w:pStyle w:val="null3"/>
                    <w:jc w:val="left"/>
                  </w:pPr>
                  <w:r>
                    <w:rPr>
                      <w:rFonts w:ascii="仿宋_GB2312" w:hAnsi="仿宋_GB2312" w:cs="仿宋_GB2312" w:eastAsia="仿宋_GB2312"/>
                      <w:sz w:val="21"/>
                      <w:color w:val="000000"/>
                    </w:rPr>
                    <w:t>a、全生命周期管理</w:t>
                  </w:r>
                </w:p>
                <w:p>
                  <w:pPr>
                    <w:pStyle w:val="null3"/>
                    <w:jc w:val="left"/>
                  </w:pPr>
                  <w:r>
                    <w:rPr>
                      <w:rFonts w:ascii="仿宋_GB2312" w:hAnsi="仿宋_GB2312" w:cs="仿宋_GB2312" w:eastAsia="仿宋_GB2312"/>
                      <w:sz w:val="21"/>
                      <w:color w:val="000000"/>
                    </w:rPr>
                    <w:t>支持整合校内项目事前申报、事中预算执行、事后绩效评价的全周期数据并展示；</w:t>
                  </w:r>
                  <w:r>
                    <w:rPr>
                      <w:rFonts w:ascii="仿宋_GB2312" w:hAnsi="仿宋_GB2312" w:cs="仿宋_GB2312" w:eastAsia="仿宋_GB2312"/>
                      <w:sz w:val="21"/>
                      <w:color w:val="000000"/>
                    </w:rPr>
                    <w:t>b、风险提示</w:t>
                  </w:r>
                </w:p>
                <w:p>
                  <w:pPr>
                    <w:pStyle w:val="null3"/>
                    <w:jc w:val="left"/>
                  </w:pPr>
                  <w:r>
                    <w:rPr>
                      <w:rFonts w:ascii="仿宋_GB2312" w:hAnsi="仿宋_GB2312" w:cs="仿宋_GB2312" w:eastAsia="仿宋_GB2312"/>
                      <w:sz w:val="21"/>
                      <w:color w:val="000000"/>
                    </w:rPr>
                    <w:t>自动识别项目执行风险（如中标</w:t>
                  </w:r>
                  <w:r>
                    <w:rPr>
                      <w:rFonts w:ascii="仿宋_GB2312" w:hAnsi="仿宋_GB2312" w:cs="仿宋_GB2312" w:eastAsia="仿宋_GB2312"/>
                      <w:sz w:val="21"/>
                      <w:color w:val="000000"/>
                    </w:rPr>
                    <w:t>30 天未签合同、绩效自评逾期），并展示风险信息。</w:t>
                  </w:r>
                </w:p>
                <w:p>
                  <w:pPr>
                    <w:pStyle w:val="null3"/>
                    <w:jc w:val="left"/>
                  </w:pPr>
                  <w:r>
                    <w:rPr>
                      <w:rFonts w:ascii="仿宋_GB2312" w:hAnsi="仿宋_GB2312" w:cs="仿宋_GB2312" w:eastAsia="仿宋_GB2312"/>
                      <w:sz w:val="21"/>
                      <w:color w:val="000000"/>
                    </w:rPr>
                    <w:t>c、项目文档管理</w:t>
                  </w:r>
                </w:p>
                <w:p>
                  <w:pPr>
                    <w:pStyle w:val="null3"/>
                    <w:jc w:val="left"/>
                  </w:pPr>
                  <w:r>
                    <w:rPr>
                      <w:rFonts w:ascii="仿宋_GB2312" w:hAnsi="仿宋_GB2312" w:cs="仿宋_GB2312" w:eastAsia="仿宋_GB2312"/>
                      <w:sz w:val="21"/>
                      <w:color w:val="000000"/>
                    </w:rPr>
                    <w:t>支持按项目申报、采购、合同等阶段分类管理和检索全周期文档。</w:t>
                  </w:r>
                </w:p>
                <w:p>
                  <w:pPr>
                    <w:pStyle w:val="null3"/>
                    <w:jc w:val="left"/>
                  </w:pPr>
                  <w:r>
                    <w:rPr>
                      <w:rFonts w:ascii="仿宋_GB2312" w:hAnsi="仿宋_GB2312" w:cs="仿宋_GB2312" w:eastAsia="仿宋_GB2312"/>
                      <w:sz w:val="21"/>
                      <w:color w:val="000000"/>
                    </w:rPr>
                    <w:t>d、项目进展管理</w:t>
                  </w:r>
                </w:p>
                <w:p>
                  <w:pPr>
                    <w:pStyle w:val="null3"/>
                    <w:jc w:val="left"/>
                  </w:pPr>
                  <w:r>
                    <w:rPr>
                      <w:rFonts w:ascii="仿宋_GB2312" w:hAnsi="仿宋_GB2312" w:cs="仿宋_GB2312" w:eastAsia="仿宋_GB2312"/>
                      <w:sz w:val="21"/>
                      <w:color w:val="000000"/>
                    </w:rPr>
                    <w:t>项目成员可实时共享、讨论进展，填写执行描述与计划并关联业务；遇卡点可</w:t>
                  </w:r>
                  <w:r>
                    <w:rPr>
                      <w:rFonts w:ascii="仿宋_GB2312" w:hAnsi="仿宋_GB2312" w:cs="仿宋_GB2312" w:eastAsia="仿宋_GB2312"/>
                      <w:sz w:val="21"/>
                      <w:color w:val="000000"/>
                    </w:rPr>
                    <w:t>@相关人员并触发系统提醒；进展按汇报时间倒序展示，便于查看整体进度。</w:t>
                  </w:r>
                </w:p>
              </w:tc>
              <w:tc>
                <w:tcPr>
                  <w:tcW w:type="dxa" w:w="178"/>
                  <w:vMerge/>
                  <w:tcBorders>
                    <w:top w:val="none" w:color="000000" w:sz="4"/>
                    <w:left w:val="single" w:color="000000" w:sz="4"/>
                    <w:bottom w:val="single" w:color="000000" w:sz="4"/>
                    <w:right w:val="single" w:color="000000" w:sz="4"/>
                  </w:tcBorders>
                </w:tcP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移动应用</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系统具备与学校统企业微信实现单点登录，实现移动端办公门户的应用集成，在移动端实现事前申请、报销、移动审批和预算执行监控等功能。</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具备在移动端发起项目申报，实现移动办公，审批消息与企业微信对接，实现自动推送，并可以穿透查询单据明细，用户可以实时查看数据权限范围内的可用预算汇总金额，能够多级穿透查询用户数据权限范围内各项目预算执行率和可用预算金额。</w:t>
                  </w:r>
                </w:p>
              </w:tc>
              <w:tc>
                <w:tcPr>
                  <w:tcW w:type="dxa" w:w="178"/>
                  <w:vMerge/>
                  <w:tcBorders>
                    <w:top w:val="none" w:color="000000" w:sz="4"/>
                    <w:left w:val="single" w:color="000000" w:sz="4"/>
                    <w:bottom w:val="single" w:color="000000" w:sz="4"/>
                    <w:right w:val="single" w:color="000000" w:sz="4"/>
                  </w:tcBorders>
                </w:tcP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一体化集成</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与天财财务系统对接，推送供核算系统调用生成财务数据。</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2）数据设计符合学校信息标准及接口规范，学校数据中心集成，开放数据字典和数据库只读账号，按需配合学校数据中心实现数据的交换与共享。</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3）系统所需数据与学校数据中心对接，按数据中心接口标准和共享规范进行调用</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4）与学校统一身份认证平台对接，实现身份统一认证。</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5）与学校网上办事大厅，实现应用连接跳转。</w:t>
                  </w:r>
                </w:p>
              </w:tc>
              <w:tc>
                <w:tcPr>
                  <w:tcW w:type="dxa" w:w="17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数据梳理迁移</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完成数据梳理迁移。梳理双高计划建设期内任务项目、绩效指标、项目资金，确保清晰、明确，完整准确完成数据迁移，协助学校快速准确、保质保量完成双高绩效评价工作。</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系统技术要求</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1）系统平台设计时应充分考虑技术的发展方向，平台建设在技术上应采用互联网应用开发的前后端分离架构,保证技术上的先进性和前瞻性，能够满足学院业务发展对信息化系统平台的要求。</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2）系统要支持国产化的服务器和数据库 。系统需要支持常用的信创平台，具体包括但不限于：国产服务器，飞腾、鲲鹏处理器的服务器；国产操作系统，银河麒麟操作系统等；国产中间件，金蝶天燕等；国产数据库，达梦、金仓等。</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3）系统要具备扩充和升级。在选择技术架构上，应遵循共同技术标准构成一个开放的、易扩充的、统一软件的系统。全面具备跨硬件平台、跨操作系统、跨数据库，具备系统扩充和升级。</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4）系统要灵活，具备随时增加功能模块。平台随时增加新的功能模块和业务组件，可以根据需要修改某个模块，满足学校的业务需求。</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5）系统操作简单，便于理解，不同角色的人能配置自己的常用功能系统整个操作过程简单。</w:t>
                  </w:r>
                </w:p>
              </w:tc>
              <w:tc>
                <w:tcPr>
                  <w:tcW w:type="dxa" w:w="178"/>
                  <w:vMerge/>
                  <w:tcBorders>
                    <w:top w:val="none" w:color="000000" w:sz="4"/>
                    <w:left w:val="single" w:color="000000" w:sz="4"/>
                    <w:bottom w:val="single" w:color="000000" w:sz="4"/>
                    <w:right w:val="single" w:color="000000" w:sz="4"/>
                  </w:tcBorders>
                </w:tcPr>
                <w:p/>
              </w:tc>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系统安全要求</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1）数据安全：要求从数据加密、数据审计、数据备份、数据销毁、数据隐私和数据容灾等方面保障数据安全；</w:t>
                  </w:r>
                </w:p>
              </w:tc>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2）应用安全：要求从安全配置、访问安全、应用防火墙、帐户安全（含人脸识别、数字签名等）等方面保障应用安全；</w:t>
                  </w:r>
                </w:p>
              </w:tc>
              <w:tc>
                <w:tcPr>
                  <w:tcW w:type="dxa" w:w="178"/>
                  <w:vMerge/>
                  <w:tcBorders>
                    <w:top w:val="none" w:color="000000" w:sz="4"/>
                    <w:left w:val="singl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3）网络安全：要求从网络访问控制、传输层安全、DDOS防御及入侵检测与防御等方面保障网络安全；</w:t>
                  </w:r>
                </w:p>
              </w:tc>
              <w:tc>
                <w:tcPr>
                  <w:tcW w:type="dxa" w:w="178"/>
                  <w:vMerge/>
                  <w:tcBorders>
                    <w:top w:val="non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网络安全等保认证要求</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符合国家对信息化系统的安全要求，具备安全等级保护</w:t>
                  </w:r>
                  <w:r>
                    <w:rPr>
                      <w:rFonts w:ascii="仿宋_GB2312" w:hAnsi="仿宋_GB2312" w:cs="仿宋_GB2312" w:eastAsia="仿宋_GB2312"/>
                      <w:sz w:val="21"/>
                      <w:shd w:fill="FFFFFF" w:val="clear"/>
                    </w:rPr>
                    <w:t>2.0 二级等保认证能力（须提供承诺书及已建设项目网络安全等保认证证书）。</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rPr>
              <w:t>1</w:t>
            </w:r>
            <w:r>
              <w:rPr>
                <w:rFonts w:ascii="仿宋_GB2312" w:hAnsi="仿宋_GB2312" w:cs="仿宋_GB2312" w:eastAsia="仿宋_GB2312"/>
              </w:rPr>
              <w:t>、需执行的国家相关标准、行业标准、地方标准或者其他标准、规范；</w:t>
            </w:r>
          </w:p>
          <w:p>
            <w:pPr>
              <w:pStyle w:val="null3"/>
              <w:jc w:val="both"/>
            </w:pPr>
            <w:r>
              <w:rPr>
                <w:rFonts w:ascii="仿宋_GB2312" w:hAnsi="仿宋_GB2312" w:cs="仿宋_GB2312" w:eastAsia="仿宋_GB2312"/>
              </w:rPr>
              <w:t>①符合国家安全质量标准、行业标准；</w:t>
            </w:r>
          </w:p>
          <w:p>
            <w:pPr>
              <w:pStyle w:val="null3"/>
              <w:jc w:val="both"/>
            </w:pPr>
            <w:r>
              <w:rPr>
                <w:rFonts w:ascii="仿宋_GB2312" w:hAnsi="仿宋_GB2312" w:cs="仿宋_GB2312" w:eastAsia="仿宋_GB2312"/>
              </w:rPr>
              <w:t>②符合招标文件和响应承诺中甲方认可的合理最佳配置、参数及各项要求；</w:t>
            </w:r>
          </w:p>
          <w:p>
            <w:pPr>
              <w:pStyle w:val="null3"/>
              <w:jc w:val="both"/>
            </w:pPr>
            <w:r>
              <w:rPr>
                <w:rFonts w:ascii="仿宋_GB2312" w:hAnsi="仿宋_GB2312" w:cs="仿宋_GB2312" w:eastAsia="仿宋_GB2312"/>
              </w:rPr>
              <w:t>③货物来源官方标准。</w:t>
            </w:r>
          </w:p>
          <w:p>
            <w:pPr>
              <w:pStyle w:val="null3"/>
              <w:jc w:val="both"/>
            </w:pPr>
            <w:r>
              <w:rPr>
                <w:rFonts w:ascii="仿宋_GB2312" w:hAnsi="仿宋_GB2312" w:cs="仿宋_GB2312" w:eastAsia="仿宋_GB2312"/>
              </w:rPr>
              <w:t>2</w:t>
            </w:r>
            <w:r>
              <w:rPr>
                <w:rFonts w:ascii="仿宋_GB2312" w:hAnsi="仿宋_GB2312" w:cs="仿宋_GB2312" w:eastAsia="仿宋_GB2312"/>
              </w:rPr>
              <w:t>、货物包装运输、供货时间、供货地点、技术保障等要求；</w:t>
            </w:r>
          </w:p>
          <w:p>
            <w:pPr>
              <w:pStyle w:val="null3"/>
              <w:jc w:val="both"/>
            </w:pPr>
            <w:r>
              <w:rPr>
                <w:rFonts w:ascii="仿宋_GB2312" w:hAnsi="仿宋_GB2312" w:cs="仿宋_GB2312" w:eastAsia="仿宋_GB2312"/>
              </w:rPr>
              <w:t>供货地点：甲方指定的供货地点</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供货时间：</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）第一阶段：合同签订后</w:t>
            </w:r>
            <w:r>
              <w:rPr>
                <w:rFonts w:ascii="仿宋_GB2312" w:hAnsi="仿宋_GB2312" w:cs="仿宋_GB2312" w:eastAsia="仿宋_GB2312"/>
              </w:rPr>
              <w:t>40</w:t>
            </w:r>
            <w:r>
              <w:rPr>
                <w:rFonts w:ascii="仿宋_GB2312" w:hAnsi="仿宋_GB2312" w:cs="仿宋_GB2312" w:eastAsia="仿宋_GB2312"/>
              </w:rPr>
              <w:t>日内完成软件的安装及调试、采购人业务需求梳理及个性化要求的实施配置和定制开发，实现需求功能；</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）第二阶段：第一阶段完成后，完成相关用户的使用培训，并依据陕西省项目库申报和学校编制预算进程（项目库申报时间</w:t>
            </w:r>
            <w:r>
              <w:rPr>
                <w:rFonts w:ascii="仿宋_GB2312" w:hAnsi="仿宋_GB2312" w:cs="仿宋_GB2312" w:eastAsia="仿宋_GB2312"/>
              </w:rPr>
              <w:t>8-9</w:t>
            </w:r>
            <w:r>
              <w:rPr>
                <w:rFonts w:ascii="仿宋_GB2312" w:hAnsi="仿宋_GB2312" w:cs="仿宋_GB2312" w:eastAsia="仿宋_GB2312"/>
              </w:rPr>
              <w:t>月、省级预算一上二上</w:t>
            </w:r>
            <w:r>
              <w:rPr>
                <w:rFonts w:ascii="仿宋_GB2312" w:hAnsi="仿宋_GB2312" w:cs="仿宋_GB2312" w:eastAsia="仿宋_GB2312"/>
              </w:rPr>
              <w:t>10-12</w:t>
            </w:r>
            <w:r>
              <w:rPr>
                <w:rFonts w:ascii="仿宋_GB2312" w:hAnsi="仿宋_GB2312" w:cs="仿宋_GB2312" w:eastAsia="仿宋_GB2312"/>
              </w:rPr>
              <w:t>月初，学校预算</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次年</w:t>
            </w:r>
            <w:r>
              <w:rPr>
                <w:rFonts w:ascii="仿宋_GB2312" w:hAnsi="仿宋_GB2312" w:cs="仿宋_GB2312" w:eastAsia="仿宋_GB2312"/>
              </w:rPr>
              <w:t>3</w:t>
            </w:r>
            <w:r>
              <w:rPr>
                <w:rFonts w:ascii="仿宋_GB2312" w:hAnsi="仿宋_GB2312" w:cs="仿宋_GB2312" w:eastAsia="仿宋_GB2312"/>
              </w:rPr>
              <w:t>月）完成采购人数据梳理迁移，带数据运行测试，达到功能实现及系统试运行水平；</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）第三阶段：第二阶段完成后</w:t>
            </w:r>
            <w:r>
              <w:rPr>
                <w:rFonts w:ascii="仿宋_GB2312" w:hAnsi="仿宋_GB2312" w:cs="仿宋_GB2312" w:eastAsia="仿宋_GB2312"/>
              </w:rPr>
              <w:t>30</w:t>
            </w:r>
            <w:r>
              <w:rPr>
                <w:rFonts w:ascii="仿宋_GB2312" w:hAnsi="仿宋_GB2312" w:cs="仿宋_GB2312" w:eastAsia="仿宋_GB2312"/>
              </w:rPr>
              <w:t>日内完成相关用户的使用培训，组织并进行最终验收。</w:t>
            </w:r>
          </w:p>
          <w:p>
            <w:pPr>
              <w:pStyle w:val="null3"/>
              <w:jc w:val="both"/>
            </w:pPr>
            <w:r>
              <w:rPr>
                <w:rFonts w:ascii="仿宋_GB2312" w:hAnsi="仿宋_GB2312" w:cs="仿宋_GB2312" w:eastAsia="仿宋_GB2312"/>
              </w:rPr>
              <w:t>技术保障：</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）中标单位需对所投设备提供 </w:t>
            </w:r>
            <w:r>
              <w:rPr>
                <w:rFonts w:ascii="仿宋_GB2312" w:hAnsi="仿宋_GB2312" w:cs="仿宋_GB2312" w:eastAsia="仿宋_GB2312"/>
              </w:rPr>
              <w:t xml:space="preserve">5 </w:t>
            </w:r>
            <w:r>
              <w:rPr>
                <w:rFonts w:ascii="仿宋_GB2312" w:hAnsi="仿宋_GB2312" w:cs="仿宋_GB2312" w:eastAsia="仿宋_GB2312"/>
              </w:rPr>
              <w:t>年上门保修服务。保修期自项目验收通过之日起计算。中标单位在</w:t>
            </w:r>
            <w:r>
              <w:rPr>
                <w:rFonts w:ascii="仿宋_GB2312" w:hAnsi="仿宋_GB2312" w:cs="仿宋_GB2312" w:eastAsia="仿宋_GB2312"/>
              </w:rPr>
              <w:t>保修</w:t>
            </w:r>
            <w:r>
              <w:rPr>
                <w:rFonts w:ascii="仿宋_GB2312" w:hAnsi="仿宋_GB2312" w:cs="仿宋_GB2312" w:eastAsia="仿宋_GB2312"/>
              </w:rPr>
              <w:t>期间内每</w:t>
            </w:r>
            <w:r>
              <w:rPr>
                <w:rFonts w:ascii="仿宋_GB2312" w:hAnsi="仿宋_GB2312" w:cs="仿宋_GB2312" w:eastAsia="仿宋_GB2312"/>
              </w:rPr>
              <w:t xml:space="preserve">6 </w:t>
            </w:r>
            <w:r>
              <w:rPr>
                <w:rFonts w:ascii="仿宋_GB2312" w:hAnsi="仿宋_GB2312" w:cs="仿宋_GB2312" w:eastAsia="仿宋_GB2312"/>
              </w:rPr>
              <w:t>个月进行一次设备、系统安全检查并提供安全检查报告。</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项目保修期满时，</w:t>
            </w:r>
            <w:r>
              <w:rPr>
                <w:rFonts w:ascii="仿宋_GB2312" w:hAnsi="仿宋_GB2312" w:cs="仿宋_GB2312" w:eastAsia="仿宋_GB2312"/>
              </w:rPr>
              <w:t>如继续与中标单位签订维保协议，每年的维护费不得超过合同价格的</w:t>
            </w:r>
            <w:r>
              <w:rPr>
                <w:rFonts w:ascii="仿宋_GB2312" w:hAnsi="仿宋_GB2312" w:cs="仿宋_GB2312" w:eastAsia="仿宋_GB2312"/>
              </w:rPr>
              <w:t>10%</w:t>
            </w:r>
            <w:r>
              <w:rPr>
                <w:rFonts w:ascii="仿宋_GB2312" w:hAnsi="仿宋_GB2312" w:cs="仿宋_GB2312" w:eastAsia="仿宋_GB2312"/>
              </w:rPr>
              <w:t>（具体维护费由双方商定</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、采购标的的专用工具、备品备件、安装调试及配套工程、质量保证、售后服务等要求；</w:t>
            </w:r>
          </w:p>
          <w:p>
            <w:pPr>
              <w:pStyle w:val="null3"/>
              <w:jc w:val="both"/>
            </w:pPr>
            <w:r>
              <w:rPr>
                <w:rFonts w:ascii="仿宋_GB2312" w:hAnsi="仿宋_GB2312" w:cs="仿宋_GB2312" w:eastAsia="仿宋_GB2312"/>
              </w:rPr>
              <w:t>培训要求：</w:t>
            </w:r>
          </w:p>
          <w:p>
            <w:pPr>
              <w:pStyle w:val="null3"/>
              <w:jc w:val="both"/>
            </w:pPr>
            <w:r>
              <w:rPr>
                <w:rFonts w:ascii="仿宋_GB2312" w:hAnsi="仿宋_GB2312" w:cs="仿宋_GB2312" w:eastAsia="仿宋_GB2312"/>
              </w:rPr>
              <w:t>培训工作需要贯穿项目实施的全过程，按照时间节点进行阶段划分，按照人员类型进行层级划分，针对不同阶段、不同角色制定不同的培训计划，提供不同的培训内容，按照项目实施的进度对相关人员进行培训，其次对相同角色的人员，也根据需要分期分批的进行培训。</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）培训目的：帮助校级领导、各级业务部门负责人明确单位以信息手段进行预算绩效及内控一体化管理的管理思路；通过操作培训，使全部系统操作人员对系统从感性上产生直接的认识。</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）培训内容：包括管理培训和实际操作两大方面，具体为预算绩效信息化管理理念及发展趋势、项目管理方法、系统架构介绍、各业务模块的业务流程和详细功能等。免费为我校提供</w:t>
            </w:r>
            <w:r>
              <w:rPr>
                <w:rFonts w:ascii="仿宋_GB2312" w:hAnsi="仿宋_GB2312" w:cs="仿宋_GB2312" w:eastAsia="仿宋_GB2312"/>
              </w:rPr>
              <w:t>2-3</w:t>
            </w:r>
            <w:r>
              <w:rPr>
                <w:rFonts w:ascii="仿宋_GB2312" w:hAnsi="仿宋_GB2312" w:cs="仿宋_GB2312" w:eastAsia="仿宋_GB2312"/>
              </w:rPr>
              <w:t>次性软件使用的操作培训，通过培训后，相关人员可以熟练的操作使用系统，管理员能够进行日常维护，并处理系统使用过程中遇到的简单故障。培训一般安排在系统安装、调试结束后进行，培训方式由学校与软件供应商协商，培训地点由学校指定。</w:t>
            </w:r>
          </w:p>
          <w:p>
            <w:pPr>
              <w:pStyle w:val="null3"/>
              <w:jc w:val="both"/>
            </w:pPr>
            <w:r>
              <w:rPr>
                <w:rFonts w:ascii="仿宋_GB2312" w:hAnsi="仿宋_GB2312" w:cs="仿宋_GB2312" w:eastAsia="仿宋_GB2312"/>
              </w:rPr>
              <w:t>①集中培训，适用于通用操作培训，所有软件操作人员都参加。</w:t>
            </w:r>
          </w:p>
          <w:p>
            <w:pPr>
              <w:pStyle w:val="null3"/>
              <w:jc w:val="both"/>
            </w:pPr>
            <w:r>
              <w:rPr>
                <w:rFonts w:ascii="仿宋_GB2312" w:hAnsi="仿宋_GB2312" w:cs="仿宋_GB2312" w:eastAsia="仿宋_GB2312"/>
              </w:rPr>
              <w:t>②面对面培训，适用于职责相似的部门用户、单用户或是系统维护人员。</w:t>
            </w:r>
          </w:p>
          <w:p>
            <w:pPr>
              <w:pStyle w:val="null3"/>
              <w:jc w:val="both"/>
            </w:pPr>
            <w:r>
              <w:rPr>
                <w:rFonts w:ascii="仿宋_GB2312" w:hAnsi="仿宋_GB2312" w:cs="仿宋_GB2312" w:eastAsia="仿宋_GB2312"/>
              </w:rPr>
              <w:t>③其他方式，如电话、远程等，适用于远程培训。</w:t>
            </w:r>
          </w:p>
          <w:p>
            <w:pPr>
              <w:pStyle w:val="null3"/>
              <w:jc w:val="both"/>
            </w:pPr>
            <w:r>
              <w:rPr>
                <w:rFonts w:ascii="仿宋_GB2312" w:hAnsi="仿宋_GB2312" w:cs="仿宋_GB2312" w:eastAsia="仿宋_GB2312"/>
              </w:rPr>
              <w:t>备注：投标人应上述培训要求提供完整的培训计划和方案，以上费用包含在本项目投标报价中。</w:t>
            </w:r>
          </w:p>
          <w:p>
            <w:pPr>
              <w:pStyle w:val="null3"/>
              <w:jc w:val="both"/>
            </w:pPr>
            <w:r>
              <w:rPr>
                <w:rFonts w:ascii="仿宋_GB2312" w:hAnsi="仿宋_GB2312" w:cs="仿宋_GB2312" w:eastAsia="仿宋_GB2312"/>
              </w:rPr>
              <w:t>售后服务要求：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系统上线运行后，由产品供应商负责对系统安全漏洞修复及检测，修复前须经充分测试评估后方可实施。在产品的使用过程中，供应商能为我校提供各种类型的专业技术服务，帮助学校及时、可靠地解决所遇到的技术问题，保障系统安全稳定的运行。</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）售后服务项目包括但不限于：安装、调试服务；定制开发（当软件不能满足约定目标需求时，软件供应商可按我校的实际需求定制开发或升级软件）；培训服务；维护服务；技术支持等。</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）要求提供</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小时的技术支持和服务，</w:t>
            </w:r>
            <w:r>
              <w:rPr>
                <w:rFonts w:ascii="仿宋_GB2312" w:hAnsi="仿宋_GB2312" w:cs="仿宋_GB2312" w:eastAsia="仿宋_GB2312"/>
              </w:rPr>
              <w:t>4</w:t>
            </w:r>
            <w:r>
              <w:rPr>
                <w:rFonts w:ascii="仿宋_GB2312" w:hAnsi="仿宋_GB2312" w:cs="仿宋_GB2312" w:eastAsia="仿宋_GB2312"/>
              </w:rPr>
              <w:t>小时内对采购人提出维护维修要求做出响应，</w:t>
            </w:r>
            <w:r>
              <w:rPr>
                <w:rFonts w:ascii="仿宋_GB2312" w:hAnsi="仿宋_GB2312" w:cs="仿宋_GB2312" w:eastAsia="仿宋_GB2312"/>
              </w:rPr>
              <w:t>1</w:t>
            </w:r>
            <w:r>
              <w:rPr>
                <w:rFonts w:ascii="仿宋_GB2312" w:hAnsi="仿宋_GB2312" w:cs="仿宋_GB2312" w:eastAsia="仿宋_GB2312"/>
              </w:rPr>
              <w:t>个工作日内修复或提供采购人认可的替代品或软件解决方案。</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）除提供日常的系统管理与维护培训外，还应配合提供远程</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24</w:t>
            </w:r>
            <w:r>
              <w:rPr>
                <w:rFonts w:ascii="仿宋_GB2312" w:hAnsi="仿宋_GB2312" w:cs="仿宋_GB2312" w:eastAsia="仿宋_GB2312"/>
              </w:rPr>
              <w:t>小时的应急技术支持等。</w:t>
            </w:r>
          </w:p>
          <w:p>
            <w:pPr>
              <w:pStyle w:val="null3"/>
              <w:jc w:val="both"/>
            </w:pPr>
            <w:r>
              <w:rPr>
                <w:rFonts w:ascii="仿宋_GB2312" w:hAnsi="仿宋_GB2312" w:cs="仿宋_GB2312" w:eastAsia="仿宋_GB2312"/>
              </w:rPr>
              <w:t>系统对接要求：</w:t>
            </w:r>
          </w:p>
          <w:p>
            <w:pPr>
              <w:pStyle w:val="null3"/>
              <w:jc w:val="both"/>
            </w:pPr>
            <w:r>
              <w:rPr>
                <w:rFonts w:ascii="仿宋_GB2312" w:hAnsi="仿宋_GB2312" w:cs="仿宋_GB2312" w:eastAsia="仿宋_GB2312"/>
              </w:rPr>
              <w:t>本项目要求与学校已建设的天财财务系统</w:t>
            </w:r>
            <w:r>
              <w:rPr>
                <w:rFonts w:ascii="仿宋_GB2312" w:hAnsi="仿宋_GB2312" w:cs="仿宋_GB2312" w:eastAsia="仿宋_GB2312"/>
              </w:rPr>
              <w:t>V6.0</w:t>
            </w:r>
            <w:r>
              <w:rPr>
                <w:rFonts w:ascii="仿宋_GB2312" w:hAnsi="仿宋_GB2312" w:cs="仿宋_GB2312" w:eastAsia="仿宋_GB2312"/>
              </w:rPr>
              <w:t>对接，报价含对接所产生的所有费用，项目集成应具备数据推送功能并为核算系统调用生成所需的财务数据，符合与学校信息系统整合、衔接的要求。</w:t>
            </w:r>
          </w:p>
          <w:p>
            <w:pPr>
              <w:pStyle w:val="null3"/>
              <w:jc w:val="both"/>
            </w:pPr>
            <w:r>
              <w:rPr>
                <w:rFonts w:ascii="仿宋_GB2312" w:hAnsi="仿宋_GB2312" w:cs="仿宋_GB2312" w:eastAsia="仿宋_GB2312"/>
              </w:rPr>
              <w:t>服务人员要求：</w:t>
            </w:r>
          </w:p>
          <w:p>
            <w:pPr>
              <w:pStyle w:val="null3"/>
              <w:jc w:val="both"/>
            </w:pPr>
            <w:r>
              <w:rPr>
                <w:rFonts w:ascii="仿宋_GB2312" w:hAnsi="仿宋_GB2312" w:cs="仿宋_GB2312" w:eastAsia="仿宋_GB2312"/>
              </w:rPr>
              <w:t>项目组成员不得少于五人，团队成员不少于</w:t>
            </w:r>
            <w:r>
              <w:rPr>
                <w:rFonts w:ascii="仿宋_GB2312" w:hAnsi="仿宋_GB2312" w:cs="仿宋_GB2312" w:eastAsia="仿宋_GB2312"/>
              </w:rPr>
              <w:t>3</w:t>
            </w:r>
            <w:r>
              <w:rPr>
                <w:rFonts w:ascii="仿宋_GB2312" w:hAnsi="仿宋_GB2312" w:cs="仿宋_GB2312" w:eastAsia="仿宋_GB2312"/>
              </w:rPr>
              <w:t>人具有人力资源和社会保障部门颁发的计算机、会计、人力资源管理相关专业的认证证书。其中计算机专业人员不得少于</w:t>
            </w:r>
            <w:r>
              <w:rPr>
                <w:rFonts w:ascii="仿宋_GB2312" w:hAnsi="仿宋_GB2312" w:cs="仿宋_GB2312" w:eastAsia="仿宋_GB2312"/>
              </w:rPr>
              <w:t>2</w:t>
            </w:r>
            <w:r>
              <w:rPr>
                <w:rFonts w:ascii="仿宋_GB2312" w:hAnsi="仿宋_GB2312" w:cs="仿宋_GB2312" w:eastAsia="仿宋_GB2312"/>
              </w:rPr>
              <w:t xml:space="preserve">人且具有行业中级职称以上。           </w:t>
            </w:r>
          </w:p>
          <w:p>
            <w:pPr>
              <w:pStyle w:val="null3"/>
              <w:jc w:val="both"/>
            </w:pPr>
            <w:r>
              <w:rPr>
                <w:rFonts w:ascii="仿宋_GB2312" w:hAnsi="仿宋_GB2312" w:cs="仿宋_GB2312" w:eastAsia="仿宋_GB2312"/>
              </w:rPr>
              <w:t>5.</w:t>
            </w:r>
            <w:r>
              <w:rPr>
                <w:rFonts w:ascii="仿宋_GB2312" w:hAnsi="仿宋_GB2312" w:cs="仿宋_GB2312" w:eastAsia="仿宋_GB2312"/>
              </w:rPr>
              <w:t>采购标的的验收标准。</w:t>
            </w:r>
          </w:p>
          <w:p>
            <w:pPr>
              <w:pStyle w:val="null3"/>
              <w:jc w:val="both"/>
            </w:pPr>
            <w:r>
              <w:rPr>
                <w:rFonts w:ascii="仿宋_GB2312" w:hAnsi="仿宋_GB2312" w:cs="仿宋_GB2312" w:eastAsia="仿宋_GB2312"/>
              </w:rPr>
              <w:t>A.</w:t>
            </w:r>
            <w:r>
              <w:rPr>
                <w:rFonts w:ascii="仿宋_GB2312" w:hAnsi="仿宋_GB2312" w:cs="仿宋_GB2312" w:eastAsia="仿宋_GB2312"/>
              </w:rPr>
              <w:t>系统上线试运行阶段结束后一个月内，中标人应以书面形式向采购人递交验收申请，采购人于收到验收申请后一个月内组织项目验收工作。</w:t>
            </w:r>
          </w:p>
          <w:p>
            <w:pPr>
              <w:pStyle w:val="null3"/>
              <w:jc w:val="both"/>
            </w:pPr>
            <w:r>
              <w:rPr>
                <w:rFonts w:ascii="仿宋_GB2312" w:hAnsi="仿宋_GB2312" w:cs="仿宋_GB2312" w:eastAsia="仿宋_GB2312"/>
              </w:rPr>
              <w:t>B.</w:t>
            </w:r>
            <w:r>
              <w:rPr>
                <w:rFonts w:ascii="仿宋_GB2312" w:hAnsi="仿宋_GB2312" w:cs="仿宋_GB2312" w:eastAsia="仿宋_GB2312"/>
              </w:rPr>
              <w:t>验收准备</w:t>
            </w:r>
          </w:p>
          <w:p>
            <w:pPr>
              <w:pStyle w:val="null3"/>
              <w:jc w:val="both"/>
            </w:pPr>
            <w:r>
              <w:rPr>
                <w:rFonts w:ascii="仿宋_GB2312" w:hAnsi="仿宋_GB2312" w:cs="仿宋_GB2312" w:eastAsia="仿宋_GB2312"/>
              </w:rPr>
              <w:t>中标人按照合同或合同附件的要求，完成各种技术文档，提供软件需求说明书、概要设计、详细设计、用户使用手册、维护手册、数据库（权限管理）等。</w:t>
            </w:r>
          </w:p>
          <w:p>
            <w:pPr>
              <w:pStyle w:val="null3"/>
              <w:jc w:val="both"/>
            </w:pPr>
            <w:r>
              <w:rPr>
                <w:rFonts w:ascii="仿宋_GB2312" w:hAnsi="仿宋_GB2312" w:cs="仿宋_GB2312" w:eastAsia="仿宋_GB2312"/>
              </w:rPr>
              <w:t>C.</w:t>
            </w:r>
            <w:r>
              <w:rPr>
                <w:rFonts w:ascii="仿宋_GB2312" w:hAnsi="仿宋_GB2312" w:cs="仿宋_GB2312" w:eastAsia="仿宋_GB2312"/>
              </w:rPr>
              <w:t>验收标准以双方签订的合同条款和中标人在投标</w:t>
            </w:r>
            <w:r>
              <w:rPr>
                <w:rFonts w:ascii="仿宋_GB2312" w:hAnsi="仿宋_GB2312" w:cs="仿宋_GB2312" w:eastAsia="仿宋_GB2312"/>
              </w:rPr>
              <w:t>/</w:t>
            </w:r>
            <w:r>
              <w:rPr>
                <w:rFonts w:ascii="仿宋_GB2312" w:hAnsi="仿宋_GB2312" w:cs="仿宋_GB2312" w:eastAsia="仿宋_GB2312"/>
              </w:rPr>
              <w:t>响应文件提供的技术资料为准，同时需现场演示验收人员随机指定的软件功能。</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如发现任何一项与前述验收标准要求不符，采购人有权不通过验收，中标人应当在采购人要求的时间内进行整改，若整改后仍未通过再次验收的，采购人有权追究中标人的违约责任。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供货期：合同签订后120日内完成软件的安装及调试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投标产品的制造商应为中型企业或小型、微型企业或监狱企业或残疾人福利性单位。投标产品的制造商为中型、小型、微型企业的，供应商提供《中小企业声明函》；投标产品的制造商为监狱企业的，供应商应提供投标产品制造商为监狱企业的证明文件；投标产品的制造商为残疾人福利性单位的，供应商应提供投标产品制造商为残疾人福利性单位的《残疾人福利性单位声明函》；</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2投标人资格证明文件.docx 3响应偏差表及商务响应说明.docx 投标函 投标文件封面 4投标方案.docx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 4投标方案.docx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投标文件封面 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根据投标产品技术参数的满足程度赋分：技术参数清晰明确，符合使用要求，技术指标和性能优于或完全满足招标文件要求计5分。参数有负偏离的每有1项扣0.5分，扣完为止。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提供针对本项目的实施方案,包括项目①总体实施方案②安装调试方案③软件对接方案④验收方案。 评审标准：方案各部分内容全面详细、阐述条例清晰详尽，能保障本项目实施得4分；评审内容每缺一项扣1分，评审内容有缺陷未完全响应评审标准的扣0.5-0.9分。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投标资质</w:t>
            </w:r>
          </w:p>
        </w:tc>
        <w:tc>
          <w:tcPr>
            <w:tcW w:type="dxa" w:w="2492"/>
          </w:tcPr>
          <w:p>
            <w:pPr>
              <w:pStyle w:val="null3"/>
            </w:pPr>
            <w:r>
              <w:rPr>
                <w:rFonts w:ascii="仿宋_GB2312" w:hAnsi="仿宋_GB2312" w:cs="仿宋_GB2312" w:eastAsia="仿宋_GB2312"/>
              </w:rPr>
              <w:t>投标人提供本项目需求相关的绩效评价管理系统、项目管理系统等软件著作权登记证书，每提供1个得2分，最多得4分。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投标人须使用真实系统进行演示，Demo、PPT、视频、截图均不得分，所有演示内容，须在15分钟内完成，超过规定时间未完成演示内容的，将根据已演示的内容进行综合打分。 演示所需软硬件均由供应商自行准备。 投标人须对带“●”条款技术参数进行逐条演示，演示成功一项计2.5分，满分20分，未演示或未按要求演示者不得分。 投标人须线下进行演示，演示地点为西安市高新区高新一路5号正信大厦A座24楼会议室。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提供投标人2022年1月1日至今类似项目业绩，每提供1份计1分，最多5分。（以合同签订时间为准）。是否属于类似业绩由评标委员会决定。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1、人员配备完善、项目组织架构清晰，职责分工明确，管理方案非常合理、协调性高，完全适用且优于本项目需求的，得3分； 2、人员配备较完善、项目组织架构一般，职责分工较明确，管理方案及协调性一般，基本适用本项目需求的，得2分； 3、人员配备不合理，缺少项目组织架构，职责分工简单，管理方案及协调性不合理，有不适用本项目需求的，得1分；未提供得0分。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1、项目总负责人具有国家人力资源和社会保障部批准颁发计算机技术与软件专业技术资格认证的高级系统分析师专业能力证书的，得6分。 2、拟派项目人员中具有人力资源和社会保障部门颁发的计算机、会计、人力资源管理相关专业的认证证书的，每提供一种证书得2分，最高得4分；（不同证书为同一人的计2分） （以上人员证书须提供加盖公章的扫描件，不提供不得分。）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根据提供的售后方案及承诺整体情况进行评审（包括但不限于：售后服务规划、服务团队、售后响应承诺、应急故障处理、运营保障等）。 1、售后服务方案全面合理，内容详细完整、适用性强，可全面满足采购人的售后服务需求，售后服务能力符合规范，标准较高，得3分； 2、售后服务方案较为全面，有基本的服务流程和内容，基本满足采购人的需求，得2分； 3、售后服务方案适用性差、不能满足采购人的需求，得1分；无售后方案的该项不得分。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根据提供的培训方案，包括但不限于培训内容、培训计划、人员安排、后期管理等涉及项目后续发展有关技术培训、支持的具体实施办法。 1、培训方案完整详细、考虑周全，严谨，职责清晰明确，具有较强的可操作性，教师专业性较强，得3分； 2、培训方案一般，培训方案具备可操作性，得2分； 3、培训方案一般，可操作性差，得1分；无培训方案的该项不得分。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投标人应遵循学校校园文化育人体系，配合学校营造良好的校园育人环境，围绕环境育人、文化育人、活动育人、服务育人等各个方面，提供相应的承诺及方案，0-3分，未提供不得分。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