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版本号：GCZB2025-07-141-L20250716001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校园网交换机升级改造项目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GCZB2025-07-141-L</w:t>
      </w:r>
      <w:r>
        <w:br/>
      </w:r>
      <w:r>
        <w:br/>
      </w:r>
      <w:r>
        <w:br/>
      </w:r>
    </w:p>
    <w:p>
      <w:pPr>
        <w:pStyle w:val="null3"/>
        <w:jc w:val="center"/>
        <w:outlineLvl w:val="2"/>
      </w:pPr>
      <w:r>
        <w:rPr>
          <w:rFonts w:ascii="仿宋_GB2312" w:hAnsi="仿宋_GB2312" w:cs="仿宋_GB2312" w:eastAsia="仿宋_GB2312"/>
          <w:sz w:val="28"/>
          <w:b/>
        </w:rPr>
        <w:t>陕西国防工业职业技术学院</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陕西国防工业职业技术学院</w:t>
      </w:r>
      <w:r>
        <w:rPr>
          <w:rFonts w:ascii="仿宋_GB2312" w:hAnsi="仿宋_GB2312" w:cs="仿宋_GB2312" w:eastAsia="仿宋_GB2312"/>
        </w:rPr>
        <w:t>委托，拟对</w:t>
      </w:r>
      <w:r>
        <w:rPr>
          <w:rFonts w:ascii="仿宋_GB2312" w:hAnsi="仿宋_GB2312" w:cs="仿宋_GB2312" w:eastAsia="仿宋_GB2312"/>
        </w:rPr>
        <w:t>校园网交换机升级改造项目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GCZB2025-07-141-L</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校园网交换机升级改造项目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校园网交换机升级改造项目，具体详见竞争性谈判文件。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2、财务状况报告：提供经审计的2023年度或2024年度的财务报告或提交投标文件截止时间前六个月内其基本账户开户银行出具的资信证明；其他组织和自然人提供银行出具的资信证明或财务报表；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4、社会保障资金缴纳证明：提供递交投标文件截止之日前一年内任意一个月的社会保障资金缴存单据或社保机构开具的社会保险参保缴费情况证明。依法不需要缴纳社会保障资金的供应商应提供相关证明文件；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6、具有履行合同所必须的设备和专业技术能力：具有履行合同所必须的设备和专业技术能力的承诺及说明；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7、法定代表人授权书：投标人应授权合法的人员参加投标，其中法定代表人直接参加的，须出具法定代表人证明书；被授权代表参加的，须出具法定代表人授权书；（非法人单位的负责人均参照执行）；</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陕西国防工业职业技术学院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西安市鄠邑区人民路8号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029-81480108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任蕾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15389063039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采购包1：583,000.00元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2.本项目采购的否产品属于节能产品政府采购品目清单中应强制采购的产品范围，供应商应当提供国家确定的认证机构出具的、处于有效期之内的节能产品认证证书，否则作无效响应处理。</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3.本项目采购的否产品属于节能产品政府采购品目清单中应优先采购的产品范围，本项目采购的否产品属于环境标志产品政府采购品目清单中应优先采购的产品范围，响应报价相同的，按供应商提供的优先采购产品认证证书数量由多到少顺序排列。</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采购包1保证金金额：11,000.00元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说明：签订合同前向学校缴纳5%的履约保证金，验收合格无息退还。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机构交纳成交服务费，交费金额参照国家计委颁布的《招标代理服务收费管理暂行办法》（计价格[2002]1980号）及发改办价格[2003]857号文件的规定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陕西国防工业职业技术学院</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陕西国防工业职业技术学院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陕西国防工业职业技术学院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陕西国创招标有限公司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按照谈判文件、响应文件及合同要求。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联系电话：15389063039（549470923@qq.com</w:t>
      </w:r>
    </w:p>
    <w:p>
      <w:pPr>
        <w:pStyle w:val="null3"/>
      </w:pPr>
      <w:r>
        <w:rPr>
          <w:rFonts w:ascii="仿宋_GB2312" w:hAnsi="仿宋_GB2312" w:cs="仿宋_GB2312" w:eastAsia="仿宋_GB2312"/>
        </w:rPr>
        <w:t>地址：西安市高新区高新一路正信大厦A座24楼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校园网交换机升级改造项目，具体详见竞争性谈判文件。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583,000.00</w:t>
      </w:r>
    </w:p>
    <w:p>
      <w:pPr>
        <w:pStyle w:val="null3"/>
      </w:pPr>
      <w:r>
        <w:rPr>
          <w:rFonts w:ascii="仿宋_GB2312" w:hAnsi="仿宋_GB2312" w:cs="仿宋_GB2312" w:eastAsia="仿宋_GB2312"/>
        </w:rPr>
        <w:t>采购包最高限价（元）: 583,000.00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核心交换机等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583,000.00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标的名称：核心交换机等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36"/>
              <w:gridCol w:w="206"/>
              <w:gridCol w:w="186"/>
              <w:gridCol w:w="186"/>
              <w:gridCol w:w="1828"/>
            </w:tblGrid>
            <w:tr>
              <w:tc>
                <w:tcPr>
                  <w:tcW w:type="dxa" w:w="1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设备</w:t>
                  </w:r>
                </w:p>
              </w:tc>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规格型号、参数</w:t>
                  </w:r>
                </w:p>
              </w:tc>
            </w:tr>
            <w:tr>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w:t>
                  </w:r>
                </w:p>
              </w:tc>
              <w:tc>
                <w:tcPr>
                  <w:tcW w:type="dxa" w:w="2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核心交换机</w:t>
                  </w:r>
                </w:p>
              </w:tc>
              <w:tc>
                <w:tcPr>
                  <w:tcW w:type="dxa" w:w="1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1台</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体系及性能要求</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框式核心交换机，正交</w:t>
                  </w:r>
                  <w:r>
                    <w:rPr>
                      <w:rFonts w:ascii="仿宋_GB2312" w:hAnsi="仿宋_GB2312" w:cs="仿宋_GB2312" w:eastAsia="仿宋_GB2312"/>
                      <w:sz w:val="21"/>
                    </w:rPr>
                    <w:t>CLOS交换架构，独立主控引擎插槽≥2个，独立业务扩展插槽≥12个，独立交换网板插槽≥4个；交换容量≥2800Tbps，包转发速率≥920000Mpps。</w:t>
                  </w:r>
                  <w:r>
                    <w:rPr>
                      <w:rFonts w:ascii="仿宋_GB2312" w:hAnsi="仿宋_GB2312" w:cs="仿宋_GB2312" w:eastAsia="仿宋_GB2312"/>
                      <w:sz w:val="20"/>
                    </w:rPr>
                    <w:t>提供但不限于：产品彩页、官网截图、检测报告等相关证明材料。</w:t>
                  </w:r>
                </w:p>
              </w:tc>
            </w:tr>
            <w:tr>
              <w:tc>
                <w:tcPr>
                  <w:tcW w:type="dxa" w:w="136"/>
                  <w:vMerge/>
                  <w:tcBorders>
                    <w:top w:val="none" w:color="000000" w:sz="4"/>
                    <w:left w:val="single" w:color="000000" w:sz="4"/>
                    <w:bottom w:val="single" w:color="000000" w:sz="4"/>
                    <w:right w:val="single" w:color="000000" w:sz="4"/>
                  </w:tcBorders>
                </w:tcPr>
                <w:p/>
              </w:tc>
              <w:tc>
                <w:tcPr>
                  <w:tcW w:type="dxa" w:w="206"/>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路由功能</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支持静态路由、</w:t>
                  </w:r>
                  <w:r>
                    <w:rPr>
                      <w:rFonts w:ascii="仿宋_GB2312" w:hAnsi="仿宋_GB2312" w:cs="仿宋_GB2312" w:eastAsia="仿宋_GB2312"/>
                      <w:sz w:val="21"/>
                    </w:rPr>
                    <w:t>RIP、RIPng、OSPFv2、OSPFv3、BGP4、BGP4+、IS-IS、IS-ISv6</w:t>
                  </w:r>
                </w:p>
              </w:tc>
            </w:tr>
            <w:tr>
              <w:tc>
                <w:tcPr>
                  <w:tcW w:type="dxa" w:w="136"/>
                  <w:vMerge/>
                  <w:tcBorders>
                    <w:top w:val="none" w:color="000000" w:sz="4"/>
                    <w:left w:val="single" w:color="000000" w:sz="4"/>
                    <w:bottom w:val="single" w:color="000000" w:sz="4"/>
                    <w:right w:val="single" w:color="000000" w:sz="4"/>
                  </w:tcBorders>
                </w:tcPr>
                <w:p/>
              </w:tc>
              <w:tc>
                <w:tcPr>
                  <w:tcW w:type="dxa" w:w="206"/>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镜像功能</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w:t>
                  </w:r>
                  <w:r>
                    <w:rPr>
                      <w:rFonts w:ascii="仿宋_GB2312" w:hAnsi="仿宋_GB2312" w:cs="仿宋_GB2312" w:eastAsia="仿宋_GB2312"/>
                      <w:sz w:val="21"/>
                    </w:rPr>
                    <w:t>STP、 RSTP、 MSTP，支持端口聚合，支持一对一镜像、多对一镜像、一对多镜像，支持流镜像</w:t>
                  </w:r>
                </w:p>
              </w:tc>
            </w:tr>
            <w:tr>
              <w:tc>
                <w:tcPr>
                  <w:tcW w:type="dxa" w:w="136"/>
                  <w:vMerge/>
                  <w:tcBorders>
                    <w:top w:val="none" w:color="000000" w:sz="4"/>
                    <w:left w:val="single" w:color="000000" w:sz="4"/>
                    <w:bottom w:val="single" w:color="000000" w:sz="4"/>
                    <w:right w:val="single" w:color="000000" w:sz="4"/>
                  </w:tcBorders>
                </w:tcPr>
                <w:p/>
              </w:tc>
              <w:tc>
                <w:tcPr>
                  <w:tcW w:type="dxa" w:w="206"/>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w:t>
                  </w:r>
                  <w:r>
                    <w:rPr>
                      <w:rFonts w:ascii="仿宋_GB2312" w:hAnsi="仿宋_GB2312" w:cs="仿宋_GB2312" w:eastAsia="仿宋_GB2312"/>
                      <w:sz w:val="21"/>
                      <w:color w:val="000000"/>
                    </w:rPr>
                    <w:t>P</w:t>
                  </w:r>
                  <w:r>
                    <w:rPr>
                      <w:rFonts w:ascii="仿宋_GB2312" w:hAnsi="仿宋_GB2312" w:cs="仿宋_GB2312" w:eastAsia="仿宋_GB2312"/>
                      <w:sz w:val="21"/>
                      <w:color w:val="000000"/>
                    </w:rPr>
                    <w:t>v</w:t>
                  </w:r>
                  <w:r>
                    <w:rPr>
                      <w:rFonts w:ascii="仿宋_GB2312" w:hAnsi="仿宋_GB2312" w:cs="仿宋_GB2312" w:eastAsia="仿宋_GB2312"/>
                      <w:sz w:val="21"/>
                      <w:color w:val="000000"/>
                    </w:rPr>
                    <w:t>6</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确保</w:t>
                  </w:r>
                  <w:r>
                    <w:rPr>
                      <w:rFonts w:ascii="仿宋_GB2312" w:hAnsi="仿宋_GB2312" w:cs="仿宋_GB2312" w:eastAsia="仿宋_GB2312"/>
                      <w:sz w:val="21"/>
                    </w:rPr>
                    <w:t>IPv6的可部署性和应用性</w:t>
                  </w:r>
                  <w:r>
                    <w:rPr>
                      <w:rFonts w:ascii="仿宋_GB2312" w:hAnsi="仿宋_GB2312" w:cs="仿宋_GB2312" w:eastAsia="仿宋_GB2312"/>
                      <w:sz w:val="21"/>
                    </w:rPr>
                    <w:t>。</w:t>
                  </w:r>
                  <w:r>
                    <w:rPr>
                      <w:rFonts w:ascii="仿宋_GB2312" w:hAnsi="仿宋_GB2312" w:cs="仿宋_GB2312" w:eastAsia="仿宋_GB2312"/>
                      <w:sz w:val="20"/>
                    </w:rPr>
                    <w:t>提供但不限于：产品彩页、官网截图、检测报告等相关证明材料。</w:t>
                  </w:r>
                </w:p>
              </w:tc>
            </w:tr>
            <w:tr>
              <w:tc>
                <w:tcPr>
                  <w:tcW w:type="dxa" w:w="136"/>
                  <w:vMerge/>
                  <w:tcBorders>
                    <w:top w:val="none" w:color="000000" w:sz="4"/>
                    <w:left w:val="single" w:color="000000" w:sz="4"/>
                    <w:bottom w:val="single" w:color="000000" w:sz="4"/>
                    <w:right w:val="single" w:color="000000" w:sz="4"/>
                  </w:tcBorders>
                </w:tcPr>
                <w:p/>
              </w:tc>
              <w:tc>
                <w:tcPr>
                  <w:tcW w:type="dxa" w:w="206"/>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安全性</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提供交换机防攻击功能，在受攻击情况下，保护系统各种服务的正常运行，保持较低的</w:t>
                  </w:r>
                  <w:r>
                    <w:rPr>
                      <w:rFonts w:ascii="仿宋_GB2312" w:hAnsi="仿宋_GB2312" w:cs="仿宋_GB2312" w:eastAsia="仿宋_GB2312"/>
                      <w:sz w:val="21"/>
                    </w:rPr>
                    <w:t>CPU负载，保障整个网络的稳定运行</w:t>
                  </w:r>
                </w:p>
              </w:tc>
            </w:tr>
            <w:tr>
              <w:tc>
                <w:tcPr>
                  <w:tcW w:type="dxa" w:w="136"/>
                  <w:vMerge/>
                  <w:tcBorders>
                    <w:top w:val="none" w:color="000000" w:sz="4"/>
                    <w:left w:val="single" w:color="000000" w:sz="4"/>
                    <w:bottom w:val="single" w:color="000000" w:sz="4"/>
                    <w:right w:val="single" w:color="000000" w:sz="4"/>
                  </w:tcBorders>
                </w:tcPr>
                <w:p/>
              </w:tc>
              <w:tc>
                <w:tcPr>
                  <w:tcW w:type="dxa" w:w="206"/>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可靠性</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支持虚拟化和跨设备链路聚合</w:t>
                  </w:r>
                  <w:r>
                    <w:rPr>
                      <w:rFonts w:ascii="仿宋_GB2312" w:hAnsi="仿宋_GB2312" w:cs="仿宋_GB2312" w:eastAsia="仿宋_GB2312"/>
                      <w:sz w:val="21"/>
                    </w:rPr>
                    <w:t>MLAG技术，保障网络核心层高可靠组网</w:t>
                  </w:r>
                  <w:r>
                    <w:rPr>
                      <w:rFonts w:ascii="仿宋_GB2312" w:hAnsi="仿宋_GB2312" w:cs="仿宋_GB2312" w:eastAsia="仿宋_GB2312"/>
                      <w:sz w:val="21"/>
                    </w:rPr>
                    <w:t>。</w:t>
                  </w:r>
                  <w:r>
                    <w:rPr>
                      <w:rFonts w:ascii="仿宋_GB2312" w:hAnsi="仿宋_GB2312" w:cs="仿宋_GB2312" w:eastAsia="仿宋_GB2312"/>
                      <w:sz w:val="20"/>
                    </w:rPr>
                    <w:t>提供但不限于：产品彩页、官网截图、检测报告等相关证明材料。</w:t>
                  </w:r>
                </w:p>
              </w:tc>
            </w:tr>
            <w:tr>
              <w:tc>
                <w:tcPr>
                  <w:tcW w:type="dxa" w:w="136"/>
                  <w:vMerge/>
                  <w:tcBorders>
                    <w:top w:val="none" w:color="000000" w:sz="4"/>
                    <w:left w:val="single" w:color="000000" w:sz="4"/>
                    <w:bottom w:val="single" w:color="000000" w:sz="4"/>
                    <w:right w:val="single" w:color="000000" w:sz="4"/>
                  </w:tcBorders>
                </w:tcPr>
                <w:p/>
              </w:tc>
              <w:tc>
                <w:tcPr>
                  <w:tcW w:type="dxa" w:w="206"/>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配置要求</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冗余引擎、冗余交换网板；满配电源模块；满配风扇模块；配置</w:t>
                  </w:r>
                  <w:r>
                    <w:rPr>
                      <w:rFonts w:ascii="仿宋_GB2312" w:hAnsi="仿宋_GB2312" w:cs="仿宋_GB2312" w:eastAsia="仿宋_GB2312"/>
                      <w:sz w:val="21"/>
                    </w:rPr>
                    <w:t>≥12个40G/100G自适应光口，≥62个万兆光口，≥96个千兆电口（允许采用光转电模块实现），≥48个千兆光口</w:t>
                  </w:r>
                </w:p>
              </w:tc>
            </w:tr>
            <w:tr>
              <w:tc>
                <w:tcPr>
                  <w:tcW w:type="dxa" w:w="136"/>
                  <w:vMerge/>
                  <w:tcBorders>
                    <w:top w:val="none" w:color="000000" w:sz="4"/>
                    <w:left w:val="single" w:color="000000" w:sz="4"/>
                    <w:bottom w:val="single" w:color="000000" w:sz="4"/>
                    <w:right w:val="single" w:color="000000" w:sz="4"/>
                  </w:tcBorders>
                </w:tcPr>
                <w:p/>
              </w:tc>
              <w:tc>
                <w:tcPr>
                  <w:tcW w:type="dxa" w:w="206"/>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设备要求</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提供三年原厂质保，提供设备原厂正品供货承诺函</w:t>
                  </w:r>
                </w:p>
              </w:tc>
            </w:tr>
            <w:tr>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w:t>
                  </w:r>
                </w:p>
              </w:tc>
              <w:tc>
                <w:tcPr>
                  <w:tcW w:type="dxa" w:w="2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服务器区汇聚交换机</w:t>
                  </w:r>
                </w:p>
              </w:tc>
              <w:tc>
                <w:tcPr>
                  <w:tcW w:type="dxa" w:w="1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1台</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性能要求</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交换容量</w:t>
                  </w:r>
                  <w:r>
                    <w:rPr>
                      <w:rFonts w:ascii="仿宋_GB2312" w:hAnsi="仿宋_GB2312" w:cs="仿宋_GB2312" w:eastAsia="仿宋_GB2312"/>
                      <w:sz w:val="21"/>
                    </w:rPr>
                    <w:t>≥2Tbps，包转发率≥550Mpps，电源插槽≥2个，扩展插槽≥2个</w:t>
                  </w:r>
                  <w:r>
                    <w:rPr>
                      <w:rFonts w:ascii="仿宋_GB2312" w:hAnsi="仿宋_GB2312" w:cs="仿宋_GB2312" w:eastAsia="仿宋_GB2312"/>
                      <w:sz w:val="21"/>
                    </w:rPr>
                    <w:t>。</w:t>
                  </w:r>
                  <w:r>
                    <w:rPr>
                      <w:rFonts w:ascii="仿宋_GB2312" w:hAnsi="仿宋_GB2312" w:cs="仿宋_GB2312" w:eastAsia="仿宋_GB2312"/>
                      <w:sz w:val="20"/>
                    </w:rPr>
                    <w:t>提供但不限于：产品彩页、官网截图、检测报告等相关证明材料。</w:t>
                  </w:r>
                </w:p>
              </w:tc>
            </w:tr>
            <w:tr>
              <w:tc>
                <w:tcPr>
                  <w:tcW w:type="dxa" w:w="136"/>
                  <w:vMerge/>
                  <w:tcBorders>
                    <w:top w:val="none" w:color="000000" w:sz="4"/>
                    <w:left w:val="single" w:color="000000" w:sz="4"/>
                    <w:bottom w:val="single" w:color="000000" w:sz="4"/>
                    <w:right w:val="single" w:color="000000" w:sz="4"/>
                  </w:tcBorders>
                </w:tcPr>
                <w:p/>
              </w:tc>
              <w:tc>
                <w:tcPr>
                  <w:tcW w:type="dxa" w:w="206"/>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路由功能</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支持静态路由、</w:t>
                  </w:r>
                  <w:r>
                    <w:rPr>
                      <w:rFonts w:ascii="仿宋_GB2312" w:hAnsi="仿宋_GB2312" w:cs="仿宋_GB2312" w:eastAsia="仿宋_GB2312"/>
                      <w:sz w:val="21"/>
                    </w:rPr>
                    <w:t>RIP、RIPng、OSPFv2、OSPFv3、BGP4、BGP4+、IS-IS、IS-ISv6</w:t>
                  </w:r>
                </w:p>
              </w:tc>
            </w:tr>
            <w:tr>
              <w:tc>
                <w:tcPr>
                  <w:tcW w:type="dxa" w:w="136"/>
                  <w:vMerge/>
                  <w:tcBorders>
                    <w:top w:val="none" w:color="000000" w:sz="4"/>
                    <w:left w:val="single" w:color="000000" w:sz="4"/>
                    <w:bottom w:val="single" w:color="000000" w:sz="4"/>
                    <w:right w:val="single" w:color="000000" w:sz="4"/>
                  </w:tcBorders>
                </w:tcPr>
                <w:p/>
              </w:tc>
              <w:tc>
                <w:tcPr>
                  <w:tcW w:type="dxa" w:w="206"/>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组播功能</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w:t>
                  </w:r>
                  <w:r>
                    <w:rPr>
                      <w:rFonts w:ascii="仿宋_GB2312" w:hAnsi="仿宋_GB2312" w:cs="仿宋_GB2312" w:eastAsia="仿宋_GB2312"/>
                      <w:sz w:val="21"/>
                    </w:rPr>
                    <w:t>IGMP v1/v2/v3，PIM-SM等组播协议</w:t>
                  </w:r>
                </w:p>
              </w:tc>
            </w:tr>
            <w:tr>
              <w:tc>
                <w:tcPr>
                  <w:tcW w:type="dxa" w:w="136"/>
                  <w:vMerge/>
                  <w:tcBorders>
                    <w:top w:val="none" w:color="000000" w:sz="4"/>
                    <w:left w:val="single" w:color="000000" w:sz="4"/>
                    <w:bottom w:val="single" w:color="000000" w:sz="4"/>
                    <w:right w:val="single" w:color="000000" w:sz="4"/>
                  </w:tcBorders>
                </w:tcPr>
                <w:p/>
              </w:tc>
              <w:tc>
                <w:tcPr>
                  <w:tcW w:type="dxa" w:w="206"/>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w:t>
                  </w:r>
                  <w:r>
                    <w:rPr>
                      <w:rFonts w:ascii="仿宋_GB2312" w:hAnsi="仿宋_GB2312" w:cs="仿宋_GB2312" w:eastAsia="仿宋_GB2312"/>
                      <w:sz w:val="21"/>
                      <w:color w:val="000000"/>
                    </w:rPr>
                    <w:t>CL</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支持基于</w:t>
                  </w:r>
                  <w:r>
                    <w:rPr>
                      <w:rFonts w:ascii="仿宋_GB2312" w:hAnsi="仿宋_GB2312" w:cs="仿宋_GB2312" w:eastAsia="仿宋_GB2312"/>
                      <w:sz w:val="21"/>
                    </w:rPr>
                    <w:t>IPv4/IPv6五元组、基于源/目的MAC、基于VLAN、基于802.1P优先级的ACL</w:t>
                  </w:r>
                </w:p>
              </w:tc>
            </w:tr>
            <w:tr>
              <w:tc>
                <w:tcPr>
                  <w:tcW w:type="dxa" w:w="136"/>
                  <w:vMerge/>
                  <w:tcBorders>
                    <w:top w:val="none" w:color="000000" w:sz="4"/>
                    <w:left w:val="single" w:color="000000" w:sz="4"/>
                    <w:bottom w:val="single" w:color="000000" w:sz="4"/>
                    <w:right w:val="single" w:color="000000" w:sz="4"/>
                  </w:tcBorders>
                </w:tcPr>
                <w:p/>
              </w:tc>
              <w:tc>
                <w:tcPr>
                  <w:tcW w:type="dxa" w:w="206"/>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w:t>
                  </w:r>
                  <w:r>
                    <w:rPr>
                      <w:rFonts w:ascii="仿宋_GB2312" w:hAnsi="仿宋_GB2312" w:cs="仿宋_GB2312" w:eastAsia="仿宋_GB2312"/>
                      <w:sz w:val="21"/>
                      <w:color w:val="000000"/>
                    </w:rPr>
                    <w:t>P</w:t>
                  </w:r>
                  <w:r>
                    <w:rPr>
                      <w:rFonts w:ascii="仿宋_GB2312" w:hAnsi="仿宋_GB2312" w:cs="仿宋_GB2312" w:eastAsia="仿宋_GB2312"/>
                      <w:sz w:val="21"/>
                      <w:color w:val="000000"/>
                    </w:rPr>
                    <w:t>v</w:t>
                  </w:r>
                  <w:r>
                    <w:rPr>
                      <w:rFonts w:ascii="仿宋_GB2312" w:hAnsi="仿宋_GB2312" w:cs="仿宋_GB2312" w:eastAsia="仿宋_GB2312"/>
                      <w:sz w:val="21"/>
                      <w:color w:val="000000"/>
                    </w:rPr>
                    <w:t>6</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确保</w:t>
                  </w:r>
                  <w:r>
                    <w:rPr>
                      <w:rFonts w:ascii="仿宋_GB2312" w:hAnsi="仿宋_GB2312" w:cs="仿宋_GB2312" w:eastAsia="仿宋_GB2312"/>
                      <w:sz w:val="21"/>
                    </w:rPr>
                    <w:t>IPv6的可部署性和应用性</w:t>
                  </w:r>
                  <w:r>
                    <w:rPr>
                      <w:rFonts w:ascii="仿宋_GB2312" w:hAnsi="仿宋_GB2312" w:cs="仿宋_GB2312" w:eastAsia="仿宋_GB2312"/>
                      <w:sz w:val="21"/>
                    </w:rPr>
                    <w:t>。</w:t>
                  </w:r>
                  <w:r>
                    <w:rPr>
                      <w:rFonts w:ascii="仿宋_GB2312" w:hAnsi="仿宋_GB2312" w:cs="仿宋_GB2312" w:eastAsia="仿宋_GB2312"/>
                      <w:sz w:val="20"/>
                    </w:rPr>
                    <w:t>提供但不限于：产品彩页、官网截图、检测报告等相关证明材料。</w:t>
                  </w:r>
                </w:p>
              </w:tc>
            </w:tr>
            <w:tr>
              <w:tc>
                <w:tcPr>
                  <w:tcW w:type="dxa" w:w="136"/>
                  <w:vMerge/>
                  <w:tcBorders>
                    <w:top w:val="none" w:color="000000" w:sz="4"/>
                    <w:left w:val="single" w:color="000000" w:sz="4"/>
                    <w:bottom w:val="single" w:color="000000" w:sz="4"/>
                    <w:right w:val="single" w:color="000000" w:sz="4"/>
                  </w:tcBorders>
                </w:tcPr>
                <w:p/>
              </w:tc>
              <w:tc>
                <w:tcPr>
                  <w:tcW w:type="dxa" w:w="206"/>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安全性</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支持限制用户向网络中发送</w:t>
                  </w:r>
                  <w:r>
                    <w:rPr>
                      <w:rFonts w:ascii="仿宋_GB2312" w:hAnsi="仿宋_GB2312" w:cs="仿宋_GB2312" w:eastAsia="仿宋_GB2312"/>
                      <w:sz w:val="21"/>
                    </w:rPr>
                    <w:t>ARP报文</w:t>
                  </w:r>
                  <w:r>
                    <w:rPr>
                      <w:rFonts w:ascii="仿宋_GB2312" w:hAnsi="仿宋_GB2312" w:cs="仿宋_GB2312" w:eastAsia="仿宋_GB2312"/>
                      <w:sz w:val="21"/>
                    </w:rPr>
                    <w:t>、</w:t>
                  </w:r>
                  <w:r>
                    <w:rPr>
                      <w:rFonts w:ascii="仿宋_GB2312" w:hAnsi="仿宋_GB2312" w:cs="仿宋_GB2312" w:eastAsia="仿宋_GB2312"/>
                      <w:sz w:val="21"/>
                    </w:rPr>
                    <w:t>ICMP请求报文、DHCP请求报文的</w:t>
                  </w:r>
                  <w:r>
                    <w:rPr>
                      <w:rFonts w:ascii="仿宋_GB2312" w:hAnsi="仿宋_GB2312" w:cs="仿宋_GB2312" w:eastAsia="仿宋_GB2312"/>
                      <w:sz w:val="21"/>
                    </w:rPr>
                    <w:t>速率</w:t>
                  </w:r>
                  <w:r>
                    <w:rPr>
                      <w:rFonts w:ascii="仿宋_GB2312" w:hAnsi="仿宋_GB2312" w:cs="仿宋_GB2312" w:eastAsia="仿宋_GB2312"/>
                      <w:sz w:val="21"/>
                    </w:rPr>
                    <w:t>，对超过限速阈值的报文进行丢弃处理，能够识别攻击行为，对有攻击行为的用户进行隔离</w:t>
                  </w:r>
                </w:p>
              </w:tc>
            </w:tr>
            <w:tr>
              <w:tc>
                <w:tcPr>
                  <w:tcW w:type="dxa" w:w="136"/>
                  <w:vMerge/>
                  <w:tcBorders>
                    <w:top w:val="none" w:color="000000" w:sz="4"/>
                    <w:left w:val="single" w:color="000000" w:sz="4"/>
                    <w:bottom w:val="single" w:color="000000" w:sz="4"/>
                    <w:right w:val="single" w:color="000000" w:sz="4"/>
                  </w:tcBorders>
                </w:tcPr>
                <w:p/>
              </w:tc>
              <w:tc>
                <w:tcPr>
                  <w:tcW w:type="dxa" w:w="206"/>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可靠性</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支持虚拟化技术，能够将多台交换机虚拟成</w:t>
                  </w:r>
                  <w:r>
                    <w:rPr>
                      <w:rFonts w:ascii="仿宋_GB2312" w:hAnsi="仿宋_GB2312" w:cs="仿宋_GB2312" w:eastAsia="仿宋_GB2312"/>
                      <w:sz w:val="21"/>
                    </w:rPr>
                    <w:t>1台设备</w:t>
                  </w:r>
                  <w:r>
                    <w:rPr>
                      <w:rFonts w:ascii="仿宋_GB2312" w:hAnsi="仿宋_GB2312" w:cs="仿宋_GB2312" w:eastAsia="仿宋_GB2312"/>
                      <w:sz w:val="21"/>
                    </w:rPr>
                    <w:t>。</w:t>
                  </w:r>
                  <w:r>
                    <w:rPr>
                      <w:rFonts w:ascii="仿宋_GB2312" w:hAnsi="仿宋_GB2312" w:cs="仿宋_GB2312" w:eastAsia="仿宋_GB2312"/>
                      <w:sz w:val="20"/>
                    </w:rPr>
                    <w:t>提供但不限于：产品彩页、官网截图、检测报告等相关证明材料。</w:t>
                  </w:r>
                </w:p>
              </w:tc>
            </w:tr>
            <w:tr>
              <w:tc>
                <w:tcPr>
                  <w:tcW w:type="dxa" w:w="136"/>
                  <w:vMerge/>
                  <w:tcBorders>
                    <w:top w:val="none" w:color="000000" w:sz="4"/>
                    <w:left w:val="single" w:color="000000" w:sz="4"/>
                    <w:bottom w:val="single" w:color="000000" w:sz="4"/>
                    <w:right w:val="single" w:color="000000" w:sz="4"/>
                  </w:tcBorders>
                </w:tcPr>
                <w:p/>
              </w:tc>
              <w:tc>
                <w:tcPr>
                  <w:tcW w:type="dxa" w:w="206"/>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配置要求</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w:t>
                  </w:r>
                  <w:r>
                    <w:rPr>
                      <w:rFonts w:ascii="仿宋_GB2312" w:hAnsi="仿宋_GB2312" w:cs="仿宋_GB2312" w:eastAsia="仿宋_GB2312"/>
                      <w:sz w:val="21"/>
                    </w:rPr>
                    <w:t>≥24个10/100/1000M自适应电口，≥12个1G/10G SFP+光口，≥2个40G/100G自适应光口，冗余电源，冗余风扇</w:t>
                  </w:r>
                </w:p>
              </w:tc>
            </w:tr>
            <w:tr>
              <w:tc>
                <w:tcPr>
                  <w:tcW w:type="dxa" w:w="136"/>
                  <w:vMerge/>
                  <w:tcBorders>
                    <w:top w:val="none" w:color="000000" w:sz="4"/>
                    <w:left w:val="single" w:color="000000" w:sz="4"/>
                    <w:bottom w:val="single" w:color="000000" w:sz="4"/>
                    <w:right w:val="single" w:color="000000" w:sz="4"/>
                  </w:tcBorders>
                </w:tcPr>
                <w:p/>
              </w:tc>
              <w:tc>
                <w:tcPr>
                  <w:tcW w:type="dxa" w:w="206"/>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设备要求</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提供三年原厂质保，提供设备原厂正品供货承诺函</w:t>
                  </w:r>
                </w:p>
              </w:tc>
            </w:tr>
            <w:tr>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3</w:t>
                  </w:r>
                </w:p>
              </w:tc>
              <w:tc>
                <w:tcPr>
                  <w:tcW w:type="dxa" w:w="2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教学区汇聚交换机</w:t>
                  </w:r>
                </w:p>
              </w:tc>
              <w:tc>
                <w:tcPr>
                  <w:tcW w:type="dxa" w:w="1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15台</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性能要求</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交换容量</w:t>
                  </w:r>
                  <w:r>
                    <w:rPr>
                      <w:rFonts w:ascii="仿宋_GB2312" w:hAnsi="仿宋_GB2312" w:cs="仿宋_GB2312" w:eastAsia="仿宋_GB2312"/>
                      <w:sz w:val="21"/>
                    </w:rPr>
                    <w:t>≥2Tbps，包转发率≥550Mpps，电源插槽≥2个，扩展插槽≥2个</w:t>
                  </w:r>
                  <w:r>
                    <w:rPr>
                      <w:rFonts w:ascii="仿宋_GB2312" w:hAnsi="仿宋_GB2312" w:cs="仿宋_GB2312" w:eastAsia="仿宋_GB2312"/>
                      <w:sz w:val="21"/>
                    </w:rPr>
                    <w:t>。</w:t>
                  </w:r>
                  <w:r>
                    <w:rPr>
                      <w:rFonts w:ascii="仿宋_GB2312" w:hAnsi="仿宋_GB2312" w:cs="仿宋_GB2312" w:eastAsia="仿宋_GB2312"/>
                      <w:sz w:val="20"/>
                    </w:rPr>
                    <w:t>提供但不限于：产品彩页、官网截图、检测报告等相关证明材料。</w:t>
                  </w:r>
                </w:p>
              </w:tc>
            </w:tr>
            <w:tr>
              <w:tc>
                <w:tcPr>
                  <w:tcW w:type="dxa" w:w="136"/>
                  <w:vMerge/>
                  <w:tcBorders>
                    <w:top w:val="none" w:color="000000" w:sz="4"/>
                    <w:left w:val="single" w:color="000000" w:sz="4"/>
                    <w:bottom w:val="single" w:color="000000" w:sz="4"/>
                    <w:right w:val="single" w:color="000000" w:sz="4"/>
                  </w:tcBorders>
                </w:tcPr>
                <w:p/>
              </w:tc>
              <w:tc>
                <w:tcPr>
                  <w:tcW w:type="dxa" w:w="206"/>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路由功能</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支持静态路由、</w:t>
                  </w:r>
                  <w:r>
                    <w:rPr>
                      <w:rFonts w:ascii="仿宋_GB2312" w:hAnsi="仿宋_GB2312" w:cs="仿宋_GB2312" w:eastAsia="仿宋_GB2312"/>
                      <w:sz w:val="21"/>
                    </w:rPr>
                    <w:t>RIP、RIPng、OSPFv2、OSPFv3、BGP4、BGP4+、IS-IS、IS-ISv6</w:t>
                  </w:r>
                </w:p>
              </w:tc>
            </w:tr>
            <w:tr>
              <w:tc>
                <w:tcPr>
                  <w:tcW w:type="dxa" w:w="136"/>
                  <w:vMerge/>
                  <w:tcBorders>
                    <w:top w:val="none" w:color="000000" w:sz="4"/>
                    <w:left w:val="single" w:color="000000" w:sz="4"/>
                    <w:bottom w:val="single" w:color="000000" w:sz="4"/>
                    <w:right w:val="single" w:color="000000" w:sz="4"/>
                  </w:tcBorders>
                </w:tcPr>
                <w:p/>
              </w:tc>
              <w:tc>
                <w:tcPr>
                  <w:tcW w:type="dxa" w:w="206"/>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组播功能</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w:t>
                  </w:r>
                  <w:r>
                    <w:rPr>
                      <w:rFonts w:ascii="仿宋_GB2312" w:hAnsi="仿宋_GB2312" w:cs="仿宋_GB2312" w:eastAsia="仿宋_GB2312"/>
                      <w:sz w:val="21"/>
                    </w:rPr>
                    <w:t>IGMP v1/v2/v3，PIM-SM等组播协议</w:t>
                  </w:r>
                </w:p>
              </w:tc>
            </w:tr>
            <w:tr>
              <w:tc>
                <w:tcPr>
                  <w:tcW w:type="dxa" w:w="136"/>
                  <w:vMerge/>
                  <w:tcBorders>
                    <w:top w:val="none" w:color="000000" w:sz="4"/>
                    <w:left w:val="single" w:color="000000" w:sz="4"/>
                    <w:bottom w:val="single" w:color="000000" w:sz="4"/>
                    <w:right w:val="single" w:color="000000" w:sz="4"/>
                  </w:tcBorders>
                </w:tcPr>
                <w:p/>
              </w:tc>
              <w:tc>
                <w:tcPr>
                  <w:tcW w:type="dxa" w:w="206"/>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w:t>
                  </w:r>
                  <w:r>
                    <w:rPr>
                      <w:rFonts w:ascii="仿宋_GB2312" w:hAnsi="仿宋_GB2312" w:cs="仿宋_GB2312" w:eastAsia="仿宋_GB2312"/>
                      <w:sz w:val="21"/>
                      <w:color w:val="000000"/>
                    </w:rPr>
                    <w:t>CL</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支持基于</w:t>
                  </w:r>
                  <w:r>
                    <w:rPr>
                      <w:rFonts w:ascii="仿宋_GB2312" w:hAnsi="仿宋_GB2312" w:cs="仿宋_GB2312" w:eastAsia="仿宋_GB2312"/>
                      <w:sz w:val="21"/>
                    </w:rPr>
                    <w:t>IPv4/IPv6五元组、基于源/目的MAC、基于VLAN、基于802.1P优先级的ACL</w:t>
                  </w:r>
                </w:p>
              </w:tc>
            </w:tr>
            <w:tr>
              <w:tc>
                <w:tcPr>
                  <w:tcW w:type="dxa" w:w="136"/>
                  <w:vMerge/>
                  <w:tcBorders>
                    <w:top w:val="none" w:color="000000" w:sz="4"/>
                    <w:left w:val="single" w:color="000000" w:sz="4"/>
                    <w:bottom w:val="single" w:color="000000" w:sz="4"/>
                    <w:right w:val="single" w:color="000000" w:sz="4"/>
                  </w:tcBorders>
                </w:tcPr>
                <w:p/>
              </w:tc>
              <w:tc>
                <w:tcPr>
                  <w:tcW w:type="dxa" w:w="206"/>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w:t>
                  </w:r>
                  <w:r>
                    <w:rPr>
                      <w:rFonts w:ascii="仿宋_GB2312" w:hAnsi="仿宋_GB2312" w:cs="仿宋_GB2312" w:eastAsia="仿宋_GB2312"/>
                      <w:sz w:val="21"/>
                      <w:color w:val="000000"/>
                    </w:rPr>
                    <w:t>P</w:t>
                  </w:r>
                  <w:r>
                    <w:rPr>
                      <w:rFonts w:ascii="仿宋_GB2312" w:hAnsi="仿宋_GB2312" w:cs="仿宋_GB2312" w:eastAsia="仿宋_GB2312"/>
                      <w:sz w:val="21"/>
                      <w:color w:val="000000"/>
                    </w:rPr>
                    <w:t>v</w:t>
                  </w:r>
                  <w:r>
                    <w:rPr>
                      <w:rFonts w:ascii="仿宋_GB2312" w:hAnsi="仿宋_GB2312" w:cs="仿宋_GB2312" w:eastAsia="仿宋_GB2312"/>
                      <w:sz w:val="21"/>
                      <w:color w:val="000000"/>
                    </w:rPr>
                    <w:t>6</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确保</w:t>
                  </w:r>
                  <w:r>
                    <w:rPr>
                      <w:rFonts w:ascii="仿宋_GB2312" w:hAnsi="仿宋_GB2312" w:cs="仿宋_GB2312" w:eastAsia="仿宋_GB2312"/>
                      <w:sz w:val="21"/>
                    </w:rPr>
                    <w:t>IPv6的可部署性和应用性</w:t>
                  </w:r>
                  <w:r>
                    <w:rPr>
                      <w:rFonts w:ascii="仿宋_GB2312" w:hAnsi="仿宋_GB2312" w:cs="仿宋_GB2312" w:eastAsia="仿宋_GB2312"/>
                      <w:sz w:val="21"/>
                    </w:rPr>
                    <w:t>。</w:t>
                  </w:r>
                  <w:r>
                    <w:rPr>
                      <w:rFonts w:ascii="仿宋_GB2312" w:hAnsi="仿宋_GB2312" w:cs="仿宋_GB2312" w:eastAsia="仿宋_GB2312"/>
                      <w:sz w:val="20"/>
                    </w:rPr>
                    <w:t>提供但不限于：产品彩页、官网截图、检测报告等相关证明材料。</w:t>
                  </w:r>
                </w:p>
              </w:tc>
            </w:tr>
            <w:tr>
              <w:tc>
                <w:tcPr>
                  <w:tcW w:type="dxa" w:w="136"/>
                  <w:vMerge/>
                  <w:tcBorders>
                    <w:top w:val="none" w:color="000000" w:sz="4"/>
                    <w:left w:val="single" w:color="000000" w:sz="4"/>
                    <w:bottom w:val="single" w:color="000000" w:sz="4"/>
                    <w:right w:val="single" w:color="000000" w:sz="4"/>
                  </w:tcBorders>
                </w:tcPr>
                <w:p/>
              </w:tc>
              <w:tc>
                <w:tcPr>
                  <w:tcW w:type="dxa" w:w="206"/>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安全性</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支持限制用户向网络中发送</w:t>
                  </w:r>
                  <w:r>
                    <w:rPr>
                      <w:rFonts w:ascii="仿宋_GB2312" w:hAnsi="仿宋_GB2312" w:cs="仿宋_GB2312" w:eastAsia="仿宋_GB2312"/>
                      <w:sz w:val="21"/>
                    </w:rPr>
                    <w:t>ARP报文</w:t>
                  </w:r>
                  <w:r>
                    <w:rPr>
                      <w:rFonts w:ascii="仿宋_GB2312" w:hAnsi="仿宋_GB2312" w:cs="仿宋_GB2312" w:eastAsia="仿宋_GB2312"/>
                      <w:sz w:val="21"/>
                    </w:rPr>
                    <w:t>、</w:t>
                  </w:r>
                  <w:r>
                    <w:rPr>
                      <w:rFonts w:ascii="仿宋_GB2312" w:hAnsi="仿宋_GB2312" w:cs="仿宋_GB2312" w:eastAsia="仿宋_GB2312"/>
                      <w:sz w:val="21"/>
                    </w:rPr>
                    <w:t>ICMP请求报文、DHCP请求报文的</w:t>
                  </w:r>
                  <w:r>
                    <w:rPr>
                      <w:rFonts w:ascii="仿宋_GB2312" w:hAnsi="仿宋_GB2312" w:cs="仿宋_GB2312" w:eastAsia="仿宋_GB2312"/>
                      <w:sz w:val="21"/>
                    </w:rPr>
                    <w:t>速率</w:t>
                  </w:r>
                  <w:r>
                    <w:rPr>
                      <w:rFonts w:ascii="仿宋_GB2312" w:hAnsi="仿宋_GB2312" w:cs="仿宋_GB2312" w:eastAsia="仿宋_GB2312"/>
                      <w:sz w:val="21"/>
                    </w:rPr>
                    <w:t>，对超过限速阈值的报文进行丢弃处理，能够识别攻击行为，对有攻击行为的用户进行隔离</w:t>
                  </w:r>
                </w:p>
              </w:tc>
            </w:tr>
            <w:tr>
              <w:tc>
                <w:tcPr>
                  <w:tcW w:type="dxa" w:w="136"/>
                  <w:vMerge/>
                  <w:tcBorders>
                    <w:top w:val="none" w:color="000000" w:sz="4"/>
                    <w:left w:val="single" w:color="000000" w:sz="4"/>
                    <w:bottom w:val="single" w:color="000000" w:sz="4"/>
                    <w:right w:val="single" w:color="000000" w:sz="4"/>
                  </w:tcBorders>
                </w:tcPr>
                <w:p/>
              </w:tc>
              <w:tc>
                <w:tcPr>
                  <w:tcW w:type="dxa" w:w="206"/>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可靠性</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支持虚拟化技术，能够将多台交换机虚拟成</w:t>
                  </w:r>
                  <w:r>
                    <w:rPr>
                      <w:rFonts w:ascii="仿宋_GB2312" w:hAnsi="仿宋_GB2312" w:cs="仿宋_GB2312" w:eastAsia="仿宋_GB2312"/>
                      <w:sz w:val="21"/>
                    </w:rPr>
                    <w:t>1台设备</w:t>
                  </w:r>
                  <w:r>
                    <w:rPr>
                      <w:rFonts w:ascii="仿宋_GB2312" w:hAnsi="仿宋_GB2312" w:cs="仿宋_GB2312" w:eastAsia="仿宋_GB2312"/>
                      <w:sz w:val="21"/>
                    </w:rPr>
                    <w:t>。</w:t>
                  </w:r>
                  <w:r>
                    <w:rPr>
                      <w:rFonts w:ascii="仿宋_GB2312" w:hAnsi="仿宋_GB2312" w:cs="仿宋_GB2312" w:eastAsia="仿宋_GB2312"/>
                      <w:sz w:val="20"/>
                    </w:rPr>
                    <w:t>提供但不限于：产品彩页、官网截图、检测报告等相关证明材料。</w:t>
                  </w:r>
                </w:p>
              </w:tc>
            </w:tr>
            <w:tr>
              <w:tc>
                <w:tcPr>
                  <w:tcW w:type="dxa" w:w="136"/>
                  <w:vMerge/>
                  <w:tcBorders>
                    <w:top w:val="none" w:color="000000" w:sz="4"/>
                    <w:left w:val="single" w:color="000000" w:sz="4"/>
                    <w:bottom w:val="single" w:color="000000" w:sz="4"/>
                    <w:right w:val="single" w:color="000000" w:sz="4"/>
                  </w:tcBorders>
                </w:tcPr>
                <w:p/>
              </w:tc>
              <w:tc>
                <w:tcPr>
                  <w:tcW w:type="dxa" w:w="206"/>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配置要求</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w:t>
                  </w:r>
                  <w:r>
                    <w:rPr>
                      <w:rFonts w:ascii="仿宋_GB2312" w:hAnsi="仿宋_GB2312" w:cs="仿宋_GB2312" w:eastAsia="仿宋_GB2312"/>
                      <w:sz w:val="21"/>
                    </w:rPr>
                    <w:t>≥24个10/100/1000M自适应电口，≥</w:t>
                  </w:r>
                  <w:r>
                    <w:rPr>
                      <w:rFonts w:ascii="仿宋_GB2312" w:hAnsi="仿宋_GB2312" w:cs="仿宋_GB2312" w:eastAsia="仿宋_GB2312"/>
                      <w:sz w:val="21"/>
                    </w:rPr>
                    <w:t>8</w:t>
                  </w:r>
                  <w:r>
                    <w:rPr>
                      <w:rFonts w:ascii="仿宋_GB2312" w:hAnsi="仿宋_GB2312" w:cs="仿宋_GB2312" w:eastAsia="仿宋_GB2312"/>
                      <w:sz w:val="21"/>
                    </w:rPr>
                    <w:t>个</w:t>
                  </w:r>
                  <w:r>
                    <w:rPr>
                      <w:rFonts w:ascii="仿宋_GB2312" w:hAnsi="仿宋_GB2312" w:cs="仿宋_GB2312" w:eastAsia="仿宋_GB2312"/>
                      <w:sz w:val="21"/>
                    </w:rPr>
                    <w:t>1G/10G SFP+光口，冗余电源，冗余风扇</w:t>
                  </w:r>
                </w:p>
              </w:tc>
            </w:tr>
            <w:tr>
              <w:tc>
                <w:tcPr>
                  <w:tcW w:type="dxa" w:w="136"/>
                  <w:vMerge/>
                  <w:tcBorders>
                    <w:top w:val="none" w:color="000000" w:sz="4"/>
                    <w:left w:val="single" w:color="000000" w:sz="4"/>
                    <w:bottom w:val="single" w:color="000000" w:sz="4"/>
                    <w:right w:val="single" w:color="000000" w:sz="4"/>
                  </w:tcBorders>
                </w:tcPr>
                <w:p/>
              </w:tc>
              <w:tc>
                <w:tcPr>
                  <w:tcW w:type="dxa" w:w="206"/>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设备要求</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提供三年原厂质保，提供设备原厂正品供货承诺函</w:t>
                  </w:r>
                </w:p>
              </w:tc>
            </w:tr>
            <w:tr>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4</w:t>
                  </w:r>
                </w:p>
              </w:tc>
              <w:tc>
                <w:tcPr>
                  <w:tcW w:type="dxa" w:w="2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办公区汇聚交换机（办公楼及</w:t>
                  </w:r>
                  <w:r>
                    <w:rPr>
                      <w:rFonts w:ascii="仿宋_GB2312" w:hAnsi="仿宋_GB2312" w:cs="仿宋_GB2312" w:eastAsia="仿宋_GB2312"/>
                      <w:sz w:val="21"/>
                      <w:color w:val="000000"/>
                    </w:rPr>
                    <w:t>2号教学楼5楼）</w:t>
                  </w:r>
                </w:p>
                <w:p>
                  <w:pPr>
                    <w:pStyle w:val="null3"/>
                    <w:jc w:val="center"/>
                  </w:pPr>
                </w:p>
              </w:tc>
              <w:tc>
                <w:tcPr>
                  <w:tcW w:type="dxa" w:w="1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3台</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性能要求</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交换容量</w:t>
                  </w:r>
                  <w:r>
                    <w:rPr>
                      <w:rFonts w:ascii="仿宋_GB2312" w:hAnsi="仿宋_GB2312" w:cs="仿宋_GB2312" w:eastAsia="仿宋_GB2312"/>
                      <w:sz w:val="21"/>
                    </w:rPr>
                    <w:t>≥2Tbps，包转发率≥550Mpps，电源插槽≥2个，扩展插槽≥2个</w:t>
                  </w:r>
                  <w:r>
                    <w:rPr>
                      <w:rFonts w:ascii="仿宋_GB2312" w:hAnsi="仿宋_GB2312" w:cs="仿宋_GB2312" w:eastAsia="仿宋_GB2312"/>
                      <w:sz w:val="21"/>
                    </w:rPr>
                    <w:t>。</w:t>
                  </w:r>
                  <w:r>
                    <w:rPr>
                      <w:rFonts w:ascii="仿宋_GB2312" w:hAnsi="仿宋_GB2312" w:cs="仿宋_GB2312" w:eastAsia="仿宋_GB2312"/>
                      <w:sz w:val="20"/>
                    </w:rPr>
                    <w:t>提供但不限于：产品彩页、官网截图、检测报告等相关证明材料。</w:t>
                  </w:r>
                </w:p>
              </w:tc>
            </w:tr>
            <w:tr>
              <w:tc>
                <w:tcPr>
                  <w:tcW w:type="dxa" w:w="136"/>
                  <w:vMerge/>
                  <w:tcBorders>
                    <w:top w:val="none" w:color="000000" w:sz="4"/>
                    <w:left w:val="single" w:color="000000" w:sz="4"/>
                    <w:bottom w:val="single" w:color="000000" w:sz="4"/>
                    <w:right w:val="single" w:color="000000" w:sz="4"/>
                  </w:tcBorders>
                </w:tcPr>
                <w:p/>
              </w:tc>
              <w:tc>
                <w:tcPr>
                  <w:tcW w:type="dxa" w:w="206"/>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路由功能</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支持静态路由、</w:t>
                  </w:r>
                  <w:r>
                    <w:rPr>
                      <w:rFonts w:ascii="仿宋_GB2312" w:hAnsi="仿宋_GB2312" w:cs="仿宋_GB2312" w:eastAsia="仿宋_GB2312"/>
                      <w:sz w:val="21"/>
                    </w:rPr>
                    <w:t>RIP、RIPng、OSPFv2、OSPFv3、BGP4、BGP4+、IS-IS、IS-ISv6</w:t>
                  </w:r>
                </w:p>
              </w:tc>
            </w:tr>
            <w:tr>
              <w:tc>
                <w:tcPr>
                  <w:tcW w:type="dxa" w:w="136"/>
                  <w:vMerge/>
                  <w:tcBorders>
                    <w:top w:val="none" w:color="000000" w:sz="4"/>
                    <w:left w:val="single" w:color="000000" w:sz="4"/>
                    <w:bottom w:val="single" w:color="000000" w:sz="4"/>
                    <w:right w:val="single" w:color="000000" w:sz="4"/>
                  </w:tcBorders>
                </w:tcPr>
                <w:p/>
              </w:tc>
              <w:tc>
                <w:tcPr>
                  <w:tcW w:type="dxa" w:w="206"/>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组播功能</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w:t>
                  </w:r>
                  <w:r>
                    <w:rPr>
                      <w:rFonts w:ascii="仿宋_GB2312" w:hAnsi="仿宋_GB2312" w:cs="仿宋_GB2312" w:eastAsia="仿宋_GB2312"/>
                      <w:sz w:val="21"/>
                    </w:rPr>
                    <w:t>IGMP v1/v2/v3，PIM-SM等组播协议</w:t>
                  </w:r>
                </w:p>
              </w:tc>
            </w:tr>
            <w:tr>
              <w:tc>
                <w:tcPr>
                  <w:tcW w:type="dxa" w:w="136"/>
                  <w:vMerge/>
                  <w:tcBorders>
                    <w:top w:val="none" w:color="000000" w:sz="4"/>
                    <w:left w:val="single" w:color="000000" w:sz="4"/>
                    <w:bottom w:val="single" w:color="000000" w:sz="4"/>
                    <w:right w:val="single" w:color="000000" w:sz="4"/>
                  </w:tcBorders>
                </w:tcPr>
                <w:p/>
              </w:tc>
              <w:tc>
                <w:tcPr>
                  <w:tcW w:type="dxa" w:w="206"/>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w:t>
                  </w:r>
                  <w:r>
                    <w:rPr>
                      <w:rFonts w:ascii="仿宋_GB2312" w:hAnsi="仿宋_GB2312" w:cs="仿宋_GB2312" w:eastAsia="仿宋_GB2312"/>
                      <w:sz w:val="21"/>
                      <w:color w:val="000000"/>
                    </w:rPr>
                    <w:t>CL</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支持基于</w:t>
                  </w:r>
                  <w:r>
                    <w:rPr>
                      <w:rFonts w:ascii="仿宋_GB2312" w:hAnsi="仿宋_GB2312" w:cs="仿宋_GB2312" w:eastAsia="仿宋_GB2312"/>
                      <w:sz w:val="21"/>
                    </w:rPr>
                    <w:t>IPv4/IPv6五元组、基于源/目的MAC、基于VLAN、基于802.1P优先级的ACL</w:t>
                  </w:r>
                </w:p>
              </w:tc>
            </w:tr>
            <w:tr>
              <w:tc>
                <w:tcPr>
                  <w:tcW w:type="dxa" w:w="136"/>
                  <w:vMerge/>
                  <w:tcBorders>
                    <w:top w:val="none" w:color="000000" w:sz="4"/>
                    <w:left w:val="single" w:color="000000" w:sz="4"/>
                    <w:bottom w:val="single" w:color="000000" w:sz="4"/>
                    <w:right w:val="single" w:color="000000" w:sz="4"/>
                  </w:tcBorders>
                </w:tcPr>
                <w:p/>
              </w:tc>
              <w:tc>
                <w:tcPr>
                  <w:tcW w:type="dxa" w:w="206"/>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w:t>
                  </w:r>
                  <w:r>
                    <w:rPr>
                      <w:rFonts w:ascii="仿宋_GB2312" w:hAnsi="仿宋_GB2312" w:cs="仿宋_GB2312" w:eastAsia="仿宋_GB2312"/>
                      <w:sz w:val="21"/>
                      <w:color w:val="000000"/>
                    </w:rPr>
                    <w:t>P</w:t>
                  </w:r>
                  <w:r>
                    <w:rPr>
                      <w:rFonts w:ascii="仿宋_GB2312" w:hAnsi="仿宋_GB2312" w:cs="仿宋_GB2312" w:eastAsia="仿宋_GB2312"/>
                      <w:sz w:val="21"/>
                      <w:color w:val="000000"/>
                    </w:rPr>
                    <w:t>v</w:t>
                  </w:r>
                  <w:r>
                    <w:rPr>
                      <w:rFonts w:ascii="仿宋_GB2312" w:hAnsi="仿宋_GB2312" w:cs="仿宋_GB2312" w:eastAsia="仿宋_GB2312"/>
                      <w:sz w:val="21"/>
                      <w:color w:val="000000"/>
                    </w:rPr>
                    <w:t>6</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确保</w:t>
                  </w:r>
                  <w:r>
                    <w:rPr>
                      <w:rFonts w:ascii="仿宋_GB2312" w:hAnsi="仿宋_GB2312" w:cs="仿宋_GB2312" w:eastAsia="仿宋_GB2312"/>
                      <w:sz w:val="21"/>
                    </w:rPr>
                    <w:t>IPv6的可部署性和应用性</w:t>
                  </w:r>
                  <w:r>
                    <w:rPr>
                      <w:rFonts w:ascii="仿宋_GB2312" w:hAnsi="仿宋_GB2312" w:cs="仿宋_GB2312" w:eastAsia="仿宋_GB2312"/>
                      <w:sz w:val="21"/>
                    </w:rPr>
                    <w:t>。</w:t>
                  </w:r>
                  <w:r>
                    <w:rPr>
                      <w:rFonts w:ascii="仿宋_GB2312" w:hAnsi="仿宋_GB2312" w:cs="仿宋_GB2312" w:eastAsia="仿宋_GB2312"/>
                      <w:sz w:val="20"/>
                    </w:rPr>
                    <w:t>提供但不限于：产品彩页、官网截图、检测报告等相关证明材料。</w:t>
                  </w:r>
                </w:p>
              </w:tc>
            </w:tr>
            <w:tr>
              <w:tc>
                <w:tcPr>
                  <w:tcW w:type="dxa" w:w="136"/>
                  <w:vMerge/>
                  <w:tcBorders>
                    <w:top w:val="none" w:color="000000" w:sz="4"/>
                    <w:left w:val="single" w:color="000000" w:sz="4"/>
                    <w:bottom w:val="single" w:color="000000" w:sz="4"/>
                    <w:right w:val="single" w:color="000000" w:sz="4"/>
                  </w:tcBorders>
                </w:tcPr>
                <w:p/>
              </w:tc>
              <w:tc>
                <w:tcPr>
                  <w:tcW w:type="dxa" w:w="206"/>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安全性</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支持限制用户向网络中发送</w:t>
                  </w:r>
                  <w:r>
                    <w:rPr>
                      <w:rFonts w:ascii="仿宋_GB2312" w:hAnsi="仿宋_GB2312" w:cs="仿宋_GB2312" w:eastAsia="仿宋_GB2312"/>
                      <w:sz w:val="21"/>
                    </w:rPr>
                    <w:t>ARP报文</w:t>
                  </w:r>
                  <w:r>
                    <w:rPr>
                      <w:rFonts w:ascii="仿宋_GB2312" w:hAnsi="仿宋_GB2312" w:cs="仿宋_GB2312" w:eastAsia="仿宋_GB2312"/>
                      <w:sz w:val="21"/>
                    </w:rPr>
                    <w:t>、</w:t>
                  </w:r>
                  <w:r>
                    <w:rPr>
                      <w:rFonts w:ascii="仿宋_GB2312" w:hAnsi="仿宋_GB2312" w:cs="仿宋_GB2312" w:eastAsia="仿宋_GB2312"/>
                      <w:sz w:val="21"/>
                    </w:rPr>
                    <w:t>ICMP请求报文、DHCP请求报文的</w:t>
                  </w:r>
                  <w:r>
                    <w:rPr>
                      <w:rFonts w:ascii="仿宋_GB2312" w:hAnsi="仿宋_GB2312" w:cs="仿宋_GB2312" w:eastAsia="仿宋_GB2312"/>
                      <w:sz w:val="21"/>
                    </w:rPr>
                    <w:t>速率</w:t>
                  </w:r>
                  <w:r>
                    <w:rPr>
                      <w:rFonts w:ascii="仿宋_GB2312" w:hAnsi="仿宋_GB2312" w:cs="仿宋_GB2312" w:eastAsia="仿宋_GB2312"/>
                      <w:sz w:val="21"/>
                    </w:rPr>
                    <w:t>，对超过限速阈值的报文进行丢弃处理，能够识别攻击行为，对有攻击行为的用户进行隔离</w:t>
                  </w:r>
                </w:p>
              </w:tc>
            </w:tr>
            <w:tr>
              <w:tc>
                <w:tcPr>
                  <w:tcW w:type="dxa" w:w="136"/>
                  <w:vMerge/>
                  <w:tcBorders>
                    <w:top w:val="none" w:color="000000" w:sz="4"/>
                    <w:left w:val="single" w:color="000000" w:sz="4"/>
                    <w:bottom w:val="single" w:color="000000" w:sz="4"/>
                    <w:right w:val="single" w:color="000000" w:sz="4"/>
                  </w:tcBorders>
                </w:tcPr>
                <w:p/>
              </w:tc>
              <w:tc>
                <w:tcPr>
                  <w:tcW w:type="dxa" w:w="206"/>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可靠性</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支持虚拟化技术，能够将多台交换机虚拟成</w:t>
                  </w:r>
                  <w:r>
                    <w:rPr>
                      <w:rFonts w:ascii="仿宋_GB2312" w:hAnsi="仿宋_GB2312" w:cs="仿宋_GB2312" w:eastAsia="仿宋_GB2312"/>
                      <w:sz w:val="21"/>
                    </w:rPr>
                    <w:t>1台设备</w:t>
                  </w:r>
                  <w:r>
                    <w:rPr>
                      <w:rFonts w:ascii="仿宋_GB2312" w:hAnsi="仿宋_GB2312" w:cs="仿宋_GB2312" w:eastAsia="仿宋_GB2312"/>
                      <w:sz w:val="21"/>
                    </w:rPr>
                    <w:t>。</w:t>
                  </w:r>
                  <w:r>
                    <w:rPr>
                      <w:rFonts w:ascii="仿宋_GB2312" w:hAnsi="仿宋_GB2312" w:cs="仿宋_GB2312" w:eastAsia="仿宋_GB2312"/>
                      <w:sz w:val="20"/>
                    </w:rPr>
                    <w:t>提供但不限于：产品彩页、官网截图、检测报告等相关证明材料。</w:t>
                  </w:r>
                </w:p>
              </w:tc>
            </w:tr>
            <w:tr>
              <w:tc>
                <w:tcPr>
                  <w:tcW w:type="dxa" w:w="136"/>
                  <w:vMerge/>
                  <w:tcBorders>
                    <w:top w:val="none" w:color="000000" w:sz="4"/>
                    <w:left w:val="single" w:color="000000" w:sz="4"/>
                    <w:bottom w:val="single" w:color="000000" w:sz="4"/>
                    <w:right w:val="single" w:color="000000" w:sz="4"/>
                  </w:tcBorders>
                </w:tcPr>
                <w:p/>
              </w:tc>
              <w:tc>
                <w:tcPr>
                  <w:tcW w:type="dxa" w:w="206"/>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配置要求</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w:t>
                  </w:r>
                  <w:r>
                    <w:rPr>
                      <w:rFonts w:ascii="仿宋_GB2312" w:hAnsi="仿宋_GB2312" w:cs="仿宋_GB2312" w:eastAsia="仿宋_GB2312"/>
                      <w:sz w:val="21"/>
                    </w:rPr>
                    <w:t>≥</w:t>
                  </w:r>
                  <w:r>
                    <w:rPr>
                      <w:rFonts w:ascii="仿宋_GB2312" w:hAnsi="仿宋_GB2312" w:cs="仿宋_GB2312" w:eastAsia="仿宋_GB2312"/>
                      <w:sz w:val="21"/>
                    </w:rPr>
                    <w:t>48个10/100/1000M自适应电口，≥4个1G/10G SFP+光口，冗余电源，冗余风扇</w:t>
                  </w:r>
                </w:p>
              </w:tc>
            </w:tr>
            <w:tr>
              <w:tc>
                <w:tcPr>
                  <w:tcW w:type="dxa" w:w="136"/>
                  <w:vMerge/>
                  <w:tcBorders>
                    <w:top w:val="none" w:color="000000" w:sz="4"/>
                    <w:left w:val="single" w:color="000000" w:sz="4"/>
                    <w:bottom w:val="single" w:color="000000" w:sz="4"/>
                    <w:right w:val="single" w:color="000000" w:sz="4"/>
                  </w:tcBorders>
                </w:tcPr>
                <w:p/>
              </w:tc>
              <w:tc>
                <w:tcPr>
                  <w:tcW w:type="dxa" w:w="206"/>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设备要求</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提供三年原厂质保，提供设备原厂正品供货承诺函</w:t>
                  </w:r>
                </w:p>
              </w:tc>
            </w:tr>
            <w:tr>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5</w:t>
                  </w:r>
                </w:p>
              </w:tc>
              <w:tc>
                <w:tcPr>
                  <w:tcW w:type="dxa" w:w="2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教办入交换机区接</w:t>
                  </w:r>
                </w:p>
              </w:tc>
              <w:tc>
                <w:tcPr>
                  <w:tcW w:type="dxa" w:w="1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30台</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性能要求</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交换容量</w:t>
                  </w:r>
                  <w:r>
                    <w:rPr>
                      <w:rFonts w:ascii="仿宋_GB2312" w:hAnsi="仿宋_GB2312" w:cs="仿宋_GB2312" w:eastAsia="仿宋_GB2312"/>
                      <w:sz w:val="21"/>
                    </w:rPr>
                    <w:t>≥670Gbps，包转发率≥170Mpps</w:t>
                  </w:r>
                  <w:r>
                    <w:rPr>
                      <w:rFonts w:ascii="仿宋_GB2312" w:hAnsi="仿宋_GB2312" w:cs="仿宋_GB2312" w:eastAsia="仿宋_GB2312"/>
                      <w:sz w:val="21"/>
                    </w:rPr>
                    <w:t>。</w:t>
                  </w:r>
                  <w:r>
                    <w:rPr>
                      <w:rFonts w:ascii="仿宋_GB2312" w:hAnsi="仿宋_GB2312" w:cs="仿宋_GB2312" w:eastAsia="仿宋_GB2312"/>
                      <w:sz w:val="20"/>
                    </w:rPr>
                    <w:t>提供但不限于：产品彩页、官网截图、检测报告等相关证明材料。</w:t>
                  </w:r>
                </w:p>
              </w:tc>
            </w:tr>
            <w:tr>
              <w:tc>
                <w:tcPr>
                  <w:tcW w:type="dxa" w:w="136"/>
                  <w:vMerge/>
                  <w:tcBorders>
                    <w:top w:val="none" w:color="000000" w:sz="4"/>
                    <w:left w:val="single" w:color="000000" w:sz="4"/>
                    <w:bottom w:val="single" w:color="000000" w:sz="4"/>
                    <w:right w:val="single" w:color="000000" w:sz="4"/>
                  </w:tcBorders>
                </w:tcPr>
                <w:p/>
              </w:tc>
              <w:tc>
                <w:tcPr>
                  <w:tcW w:type="dxa" w:w="206"/>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VLAN功能</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支持基于</w:t>
                  </w:r>
                  <w:r>
                    <w:rPr>
                      <w:rFonts w:ascii="仿宋_GB2312" w:hAnsi="仿宋_GB2312" w:cs="仿宋_GB2312" w:eastAsia="仿宋_GB2312"/>
                      <w:sz w:val="21"/>
                    </w:rPr>
                    <w:t>MAC、基于端口、基于协议的VLAN功能</w:t>
                  </w:r>
                </w:p>
              </w:tc>
            </w:tr>
            <w:tr>
              <w:tc>
                <w:tcPr>
                  <w:tcW w:type="dxa" w:w="136"/>
                  <w:vMerge/>
                  <w:tcBorders>
                    <w:top w:val="none" w:color="000000" w:sz="4"/>
                    <w:left w:val="single" w:color="000000" w:sz="4"/>
                    <w:bottom w:val="single" w:color="000000" w:sz="4"/>
                    <w:right w:val="single" w:color="000000" w:sz="4"/>
                  </w:tcBorders>
                </w:tcPr>
                <w:p/>
              </w:tc>
              <w:tc>
                <w:tcPr>
                  <w:tcW w:type="dxa" w:w="206"/>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路由功能</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支持静态路由、</w:t>
                  </w:r>
                  <w:r>
                    <w:rPr>
                      <w:rFonts w:ascii="仿宋_GB2312" w:hAnsi="仿宋_GB2312" w:cs="仿宋_GB2312" w:eastAsia="仿宋_GB2312"/>
                      <w:sz w:val="21"/>
                    </w:rPr>
                    <w:t>RIP、RIPng、OSPFv2、OSPFv3</w:t>
                  </w:r>
                </w:p>
              </w:tc>
            </w:tr>
            <w:tr>
              <w:tc>
                <w:tcPr>
                  <w:tcW w:type="dxa" w:w="136"/>
                  <w:vMerge/>
                  <w:tcBorders>
                    <w:top w:val="none" w:color="000000" w:sz="4"/>
                    <w:left w:val="single" w:color="000000" w:sz="4"/>
                    <w:bottom w:val="single" w:color="000000" w:sz="4"/>
                    <w:right w:val="single" w:color="000000" w:sz="4"/>
                  </w:tcBorders>
                </w:tcPr>
                <w:p/>
              </w:tc>
              <w:tc>
                <w:tcPr>
                  <w:tcW w:type="dxa" w:w="206"/>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w:t>
                  </w:r>
                  <w:r>
                    <w:rPr>
                      <w:rFonts w:ascii="仿宋_GB2312" w:hAnsi="仿宋_GB2312" w:cs="仿宋_GB2312" w:eastAsia="仿宋_GB2312"/>
                      <w:sz w:val="21"/>
                      <w:color w:val="000000"/>
                    </w:rPr>
                    <w:t>P</w:t>
                  </w:r>
                  <w:r>
                    <w:rPr>
                      <w:rFonts w:ascii="仿宋_GB2312" w:hAnsi="仿宋_GB2312" w:cs="仿宋_GB2312" w:eastAsia="仿宋_GB2312"/>
                      <w:sz w:val="21"/>
                      <w:color w:val="000000"/>
                    </w:rPr>
                    <w:t>v</w:t>
                  </w:r>
                  <w:r>
                    <w:rPr>
                      <w:rFonts w:ascii="仿宋_GB2312" w:hAnsi="仿宋_GB2312" w:cs="仿宋_GB2312" w:eastAsia="仿宋_GB2312"/>
                      <w:sz w:val="21"/>
                      <w:color w:val="000000"/>
                    </w:rPr>
                    <w:t>6</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确保</w:t>
                  </w:r>
                  <w:r>
                    <w:rPr>
                      <w:rFonts w:ascii="仿宋_GB2312" w:hAnsi="仿宋_GB2312" w:cs="仿宋_GB2312" w:eastAsia="仿宋_GB2312"/>
                      <w:sz w:val="21"/>
                    </w:rPr>
                    <w:t>IPv6的可部署性和应用性</w:t>
                  </w:r>
                  <w:r>
                    <w:rPr>
                      <w:rFonts w:ascii="仿宋_GB2312" w:hAnsi="仿宋_GB2312" w:cs="仿宋_GB2312" w:eastAsia="仿宋_GB2312"/>
                      <w:sz w:val="21"/>
                    </w:rPr>
                    <w:t>。</w:t>
                  </w:r>
                  <w:r>
                    <w:rPr>
                      <w:rFonts w:ascii="仿宋_GB2312" w:hAnsi="仿宋_GB2312" w:cs="仿宋_GB2312" w:eastAsia="仿宋_GB2312"/>
                      <w:sz w:val="20"/>
                    </w:rPr>
                    <w:t>提供但不限于：产品彩页、官网截图、检测报告等相关证明材料。</w:t>
                  </w:r>
                </w:p>
              </w:tc>
            </w:tr>
            <w:tr>
              <w:tc>
                <w:tcPr>
                  <w:tcW w:type="dxa" w:w="136"/>
                  <w:vMerge/>
                  <w:tcBorders>
                    <w:top w:val="none" w:color="000000" w:sz="4"/>
                    <w:left w:val="single" w:color="000000" w:sz="4"/>
                    <w:bottom w:val="single" w:color="000000" w:sz="4"/>
                    <w:right w:val="single" w:color="000000" w:sz="4"/>
                  </w:tcBorders>
                </w:tcPr>
                <w:p/>
              </w:tc>
              <w:tc>
                <w:tcPr>
                  <w:tcW w:type="dxa" w:w="206"/>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安全性</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支持限制用户向网络中发送</w:t>
                  </w:r>
                  <w:r>
                    <w:rPr>
                      <w:rFonts w:ascii="仿宋_GB2312" w:hAnsi="仿宋_GB2312" w:cs="仿宋_GB2312" w:eastAsia="仿宋_GB2312"/>
                      <w:sz w:val="21"/>
                    </w:rPr>
                    <w:t>ARP报文</w:t>
                  </w:r>
                  <w:r>
                    <w:rPr>
                      <w:rFonts w:ascii="仿宋_GB2312" w:hAnsi="仿宋_GB2312" w:cs="仿宋_GB2312" w:eastAsia="仿宋_GB2312"/>
                      <w:sz w:val="21"/>
                    </w:rPr>
                    <w:t>、</w:t>
                  </w:r>
                  <w:r>
                    <w:rPr>
                      <w:rFonts w:ascii="仿宋_GB2312" w:hAnsi="仿宋_GB2312" w:cs="仿宋_GB2312" w:eastAsia="仿宋_GB2312"/>
                      <w:sz w:val="21"/>
                    </w:rPr>
                    <w:t>ICMP请求报文、DHCP请求报文的</w:t>
                  </w:r>
                  <w:r>
                    <w:rPr>
                      <w:rFonts w:ascii="仿宋_GB2312" w:hAnsi="仿宋_GB2312" w:cs="仿宋_GB2312" w:eastAsia="仿宋_GB2312"/>
                      <w:sz w:val="21"/>
                    </w:rPr>
                    <w:t>速率</w:t>
                  </w:r>
                  <w:r>
                    <w:rPr>
                      <w:rFonts w:ascii="仿宋_GB2312" w:hAnsi="仿宋_GB2312" w:cs="仿宋_GB2312" w:eastAsia="仿宋_GB2312"/>
                      <w:sz w:val="21"/>
                    </w:rPr>
                    <w:t>，对超过限速阈值的报文进行丢弃处理，能够识别攻击行为，对有攻击行为的用户进行隔离</w:t>
                  </w:r>
                </w:p>
              </w:tc>
            </w:tr>
            <w:tr>
              <w:tc>
                <w:tcPr>
                  <w:tcW w:type="dxa" w:w="136"/>
                  <w:vMerge/>
                  <w:tcBorders>
                    <w:top w:val="none" w:color="000000" w:sz="4"/>
                    <w:left w:val="single" w:color="000000" w:sz="4"/>
                    <w:bottom w:val="single" w:color="000000" w:sz="4"/>
                    <w:right w:val="single" w:color="000000" w:sz="4"/>
                  </w:tcBorders>
                </w:tcPr>
                <w:p/>
              </w:tc>
              <w:tc>
                <w:tcPr>
                  <w:tcW w:type="dxa" w:w="206"/>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可靠性</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支持虚拟化技术，能够将多台交换机虚拟成</w:t>
                  </w:r>
                  <w:r>
                    <w:rPr>
                      <w:rFonts w:ascii="仿宋_GB2312" w:hAnsi="仿宋_GB2312" w:cs="仿宋_GB2312" w:eastAsia="仿宋_GB2312"/>
                      <w:sz w:val="21"/>
                    </w:rPr>
                    <w:t>1台设备</w:t>
                  </w:r>
                </w:p>
              </w:tc>
            </w:tr>
            <w:tr>
              <w:tc>
                <w:tcPr>
                  <w:tcW w:type="dxa" w:w="136"/>
                  <w:vMerge/>
                  <w:tcBorders>
                    <w:top w:val="none" w:color="000000" w:sz="4"/>
                    <w:left w:val="single" w:color="000000" w:sz="4"/>
                    <w:bottom w:val="single" w:color="000000" w:sz="4"/>
                    <w:right w:val="single" w:color="000000" w:sz="4"/>
                  </w:tcBorders>
                </w:tcPr>
                <w:p/>
              </w:tc>
              <w:tc>
                <w:tcPr>
                  <w:tcW w:type="dxa" w:w="206"/>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配置要求</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w:t>
                  </w:r>
                  <w:r>
                    <w:rPr>
                      <w:rFonts w:ascii="仿宋_GB2312" w:hAnsi="仿宋_GB2312" w:cs="仿宋_GB2312" w:eastAsia="仿宋_GB2312"/>
                      <w:sz w:val="21"/>
                    </w:rPr>
                    <w:t>≥24个10/100/1000M自适应电口，≥4个1G/10G SFP+光口</w:t>
                  </w:r>
                </w:p>
              </w:tc>
            </w:tr>
            <w:tr>
              <w:tc>
                <w:tcPr>
                  <w:tcW w:type="dxa" w:w="136"/>
                  <w:vMerge/>
                  <w:tcBorders>
                    <w:top w:val="none" w:color="000000" w:sz="4"/>
                    <w:left w:val="single" w:color="000000" w:sz="4"/>
                    <w:bottom w:val="single" w:color="000000" w:sz="4"/>
                    <w:right w:val="single" w:color="000000" w:sz="4"/>
                  </w:tcBorders>
                </w:tcPr>
                <w:p/>
              </w:tc>
              <w:tc>
                <w:tcPr>
                  <w:tcW w:type="dxa" w:w="206"/>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设备要求</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提供三年原厂质保，提供设备原厂正品供货承诺函</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6</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千兆光模块</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30个</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性能要求</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网络设备原厂正品千兆单模光模块，波长</w:t>
                  </w:r>
                  <w:r>
                    <w:rPr>
                      <w:rFonts w:ascii="仿宋_GB2312" w:hAnsi="仿宋_GB2312" w:cs="仿宋_GB2312" w:eastAsia="仿宋_GB2312"/>
                      <w:sz w:val="21"/>
                    </w:rPr>
                    <w:t>1310nm，传输距离10KM，支持官网防伪查验</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7</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万兆光模块</w:t>
                  </w:r>
                </w:p>
                <w:p>
                  <w:pPr>
                    <w:pStyle w:val="null3"/>
                    <w:jc w:val="center"/>
                  </w:pP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30个</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性能要求</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网络设备原厂正品万兆单模光模块，波长</w:t>
                  </w:r>
                  <w:r>
                    <w:rPr>
                      <w:rFonts w:ascii="仿宋_GB2312" w:hAnsi="仿宋_GB2312" w:cs="仿宋_GB2312" w:eastAsia="仿宋_GB2312"/>
                      <w:sz w:val="21"/>
                    </w:rPr>
                    <w:t>1310nm，传输距离10KM，支持官网防伪查验</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8</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40G光模块</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6个</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性能要求</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网络设备原厂正品</w:t>
                  </w:r>
                  <w:r>
                    <w:rPr>
                      <w:rFonts w:ascii="仿宋_GB2312" w:hAnsi="仿宋_GB2312" w:cs="仿宋_GB2312" w:eastAsia="仿宋_GB2312"/>
                      <w:sz w:val="21"/>
                    </w:rPr>
                    <w:t>40G单模光模块，波长1264nm-1337nm，传输距离10KM，支持官网防伪查验</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9</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综合布线</w:t>
                  </w:r>
                </w:p>
                <w:p>
                  <w:pPr>
                    <w:pStyle w:val="null3"/>
                    <w:jc w:val="center"/>
                  </w:pP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1项</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组网要求</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提供本项目接入交换机与汇聚交换机的综合布线及施工，按照要求将原有设备互联网线改为光缆</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10</w:t>
                  </w:r>
                </w:p>
              </w:tc>
              <w:tc>
                <w:tcPr>
                  <w:tcW w:type="dxa" w:w="57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其他要求</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为保证设备的兼容和方便管理，所投设备交换机、光模块均应为同一品牌设备且能相互兼容。</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合同签订45日历天内全部货品现场安装到位。</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采购人指定地点和方式。</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产品安装调试经学校验收合格后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1.乙方应在签订合同后5天内向甲方提出产品安装、调试应准备的条件。乙方必须在货物测试与验收前，向甲方提供按本合同的技术规格、技术规范的要求进行的测试与验收方案。 2.货物交付甲方后，甲乙双方商定日期，双方一起开箱验货，不得单方面开箱，由乙方免费现场安装调试。 3.甲方在开箱验货中如发现货物不符合合同的约定，有权拒绝接受货物，经各方确认后，乙方应于5天内重新提供符合合同约定的货物，否则，视为乙方逾期交货。 4.乙方应按甲方要求的时间、地点进行安装调试。货物安装调试完毕且正常运行7天后，乙方应备齐甲方要求提供的验收文件，并提出书面验收申请。甲方将按流程进行验收，并出具采购物资验收报告给乙方。货物验收合格之日为甲方签署采购物资验收报告的日期。 5.货物验收标准:以竞争性谈判文件、响应文件和合同项下所述的标准和要求进行验收，如竞争性谈判文件、响应文件与合同的标准和要求有冲突的，以竞争性谈判文件、响应文件为准。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保质期：自验收合格之日起三年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按照谈判文件、响应文件及合同要求。</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应采用主流品牌设备，提供至少三年原厂质保;保证数据安全，网络质量高速稳定，保证连接稳定不中断。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2投标人资格证明文件.docx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2投标人资格证明文件.docx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提供经审计的2023年度或2024年度的财务报告或提交投标文件截止时间前六个月内其基本账户开户银行出具的资信证明；其他组织和自然人提供银行出具的资信证明或财务报表；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具有履行合同所必须的设备和专业技术能力</w:t>
            </w:r>
          </w:p>
        </w:tc>
        <w:tc>
          <w:tcPr>
            <w:tcW w:type="dxa" w:w="3322"/>
          </w:tcPr>
          <w:p>
            <w:pPr>
              <w:pStyle w:val="null3"/>
            </w:pPr>
            <w:r>
              <w:rPr>
                <w:rFonts w:ascii="仿宋_GB2312" w:hAnsi="仿宋_GB2312" w:cs="仿宋_GB2312" w:eastAsia="仿宋_GB2312"/>
              </w:rPr>
              <w:t>具有履行合同所必须的设备和专业技术能力的承诺及说明；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投标人应授权合法的人员参加投标，其中法定代表人直接参加的，须出具法定代表人证明书；被授权代表参加的，须出具法定代表人授权书；（非法人单位的负责人均参照执行）；</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2投标人资格证明文件.docx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1分项报价表.docx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响应文件封面 2投标人资格证明文件.docx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响应文件封面 2投标人资格证明文件.docx 4投标方案.docx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w:t>
            </w:r>
          </w:p>
        </w:tc>
        <w:tc>
          <w:tcPr>
            <w:tcW w:type="dxa" w:w="1661"/>
          </w:tcPr>
          <w:p>
            <w:pPr>
              <w:pStyle w:val="null3"/>
            </w:pPr>
            <w:r>
              <w:rPr>
                <w:rFonts w:ascii="仿宋_GB2312" w:hAnsi="仿宋_GB2312" w:cs="仿宋_GB2312" w:eastAsia="仿宋_GB2312"/>
              </w:rPr>
              <w:t>响应文件封面 1分项报价表.docx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响应文件封面 3响应偏差表及商务响应说明.docx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响应文件封面 2投标人资格证明文件.docx 3响应偏差表及商务响应说明.docx 4投标方案.docx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有完全理解并接受招标文件合同基本条款要求的描述。</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详见附件：4投标方案.docx</w:t>
      </w:r>
    </w:p>
    <w:p>
      <w:pPr>
        <w:pStyle w:val="null3"/>
        <w:ind w:firstLine="960"/>
      </w:pPr>
      <w:r>
        <w:rPr>
          <w:rFonts w:ascii="仿宋_GB2312" w:hAnsi="仿宋_GB2312" w:cs="仿宋_GB2312" w:eastAsia="仿宋_GB2312"/>
        </w:rPr>
        <w:t>详见附件：3响应偏差表及商务响应说明.docx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