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版本号：ZX2025-07-2120250730002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附属小学北教学楼五层环境提升工程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ZX2025-07-21</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附属小学北教学楼五层环境提升工程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ZX2025-07-21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附属小学北教学楼五层环境提升工程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附属小学北教学楼为上世纪九十年代建筑，五层多功能厅、科学部室均为1998年完成装修的，已历经27年之久，装修陈旧，已跟新时代的教育格格不入，严重影响教育教学活动正常开展。本项目包括拆除原北教学楼五层陈旧装修，五层屋顶防水，五层露台地面墙面装修、科学部室装修拆除。对多功能厅、科学部室进行装修，室内装修建面积约289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采购包1（附属小学北教学楼五层环境提升工程）：属于专门面向中小企业采购。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3、施工资质：供应商具备建设行政主管部门颁发的建筑工程施工总承包三级以上（含三级）资质，并具备有效的安全生产许可证。</w:t>
      </w:r>
    </w:p>
    <w:p>
      <w:pPr>
        <w:pStyle w:val="null3"/>
      </w:pPr>
      <w:r>
        <w:rPr>
          <w:rFonts w:ascii="仿宋_GB2312" w:hAnsi="仿宋_GB2312" w:cs="仿宋_GB2312" w:eastAsia="仿宋_GB2312"/>
        </w:rPr>
        <w:t>4、拟派项目负责人资质和专业要求：拟派项目经理须具备建筑工程专业二级以上（含二级）注册建造师证书（在本单位注册）及有效的安全生产考核合格证（建安B证），未担任其它在建工程的项目经理（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罗永山 马演 曹婷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采购包1：853,766.20元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水龙头</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采购包1保证金金额：17,072.10元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说明：合同签订前缴纳，合同履约保证金为成交金额的5%，缴纳方式：银行转账、支票/汇票/本票、保函/保险。 户 名：西北大学 开户银行：交通银行太白路支行 账 号：611301015018001145006 履约保证金汇款后，可持银行回执到西北大学采购与招标办公室换取收据。 待合同执行完毕、工程竣工验收合格后凭验收单和缴款收据，履约保证金予以无息退还。如遇下列情况之一者，履约保证金不予退还，作为对采购人的赔偿： （1）合同签订后不能按合同时限要求完工的； （2）项目与合同不符或验收不合格的；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代理服务费收费标准：参照国家计委计价格[2002]1980号及发改办价格[2003]857号通知规定下浮20%，由成交供应商支付代理服务费。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踏勘时间：2025-07-24 09:00:00</w:t>
            </w:r>
          </w:p>
          <w:p>
            <w:pPr>
              <w:pStyle w:val="null3"/>
              <w:ind w:firstLine="975"/>
            </w:pPr>
            <w:r>
              <w:rPr>
                <w:rFonts w:ascii="仿宋_GB2312" w:hAnsi="仿宋_GB2312" w:cs="仿宋_GB2312" w:eastAsia="仿宋_GB2312"/>
              </w:rPr>
              <w:t>踏勘地点：西北大学太白校区附属小学</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联系电话号码：029-88110800转8026或17319959261</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联系人：马演、罗永山</w:t>
      </w:r>
    </w:p>
    <w:p>
      <w:pPr>
        <w:pStyle w:val="null3"/>
      </w:pPr>
      <w:r>
        <w:rPr>
          <w:rFonts w:ascii="仿宋_GB2312" w:hAnsi="仿宋_GB2312" w:cs="仿宋_GB2312" w:eastAsia="仿宋_GB2312"/>
        </w:rPr>
        <w:t>联系电话：029-88110800转8026（2416573385@qq.com）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853,766.20</w:t>
      </w:r>
    </w:p>
    <w:p>
      <w:pPr>
        <w:pStyle w:val="null3"/>
      </w:pPr>
      <w:r>
        <w:rPr>
          <w:rFonts w:ascii="仿宋_GB2312" w:hAnsi="仿宋_GB2312" w:cs="仿宋_GB2312" w:eastAsia="仿宋_GB2312"/>
        </w:rPr>
        <w:t>采购包最高限价（元）: 853,766.20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附属小学北教学楼五层环境提升工程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853,766.20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标的名称：附属小学北教学楼五层环境提升工程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一、项目信息</w:t>
            </w:r>
          </w:p>
          <w:p>
            <w:pPr>
              <w:pStyle w:val="null3"/>
            </w:pPr>
            <w:r>
              <w:rPr>
                <w:rFonts w:ascii="仿宋_GB2312" w:hAnsi="仿宋_GB2312" w:cs="仿宋_GB2312" w:eastAsia="仿宋_GB2312"/>
              </w:rPr>
              <w:t>本次环境提升包括拆除五层屋顶防水、五层露台地面材料、墙面装饰材料，多功能厅及科学部室的原装修。屋顶重新做防水、露台地面、墙面重新装修，多功能厅重新装修，科学部室重新装修等。具体详见工程量清单及图纸（详见附件）。</w:t>
            </w:r>
          </w:p>
          <w:p>
            <w:pPr>
              <w:pStyle w:val="null3"/>
            </w:pPr>
            <w:r>
              <w:rPr>
                <w:rFonts w:ascii="仿宋_GB2312" w:hAnsi="仿宋_GB2312" w:cs="仿宋_GB2312" w:eastAsia="仿宋_GB2312"/>
              </w:rPr>
              <w:t>二、实施要求</w:t>
            </w:r>
          </w:p>
          <w:p>
            <w:pPr>
              <w:pStyle w:val="null3"/>
            </w:pPr>
            <w:r>
              <w:rPr>
                <w:rFonts w:ascii="仿宋_GB2312" w:hAnsi="仿宋_GB2312" w:cs="仿宋_GB2312" w:eastAsia="仿宋_GB2312"/>
              </w:rPr>
              <w:t>1、质量要求</w:t>
            </w:r>
          </w:p>
          <w:p>
            <w:pPr>
              <w:pStyle w:val="null3"/>
            </w:pPr>
            <w:r>
              <w:rPr>
                <w:rFonts w:ascii="仿宋_GB2312" w:hAnsi="仿宋_GB2312" w:cs="仿宋_GB2312" w:eastAsia="仿宋_GB2312"/>
              </w:rPr>
              <w:t>室内装修材料须符合国家消防要求，工程质量、安装质量须符合国家及行业现行相关标准，装修部分质量保修期两年，防水部分质量保修期五年。</w:t>
            </w:r>
          </w:p>
          <w:p>
            <w:pPr>
              <w:pStyle w:val="null3"/>
            </w:pPr>
            <w:r>
              <w:rPr>
                <w:rFonts w:ascii="仿宋_GB2312" w:hAnsi="仿宋_GB2312" w:cs="仿宋_GB2312" w:eastAsia="仿宋_GB2312"/>
              </w:rPr>
              <w:t>2、安全要求</w:t>
            </w:r>
          </w:p>
          <w:p>
            <w:pPr>
              <w:pStyle w:val="null3"/>
            </w:pPr>
            <w:r>
              <w:rPr>
                <w:rFonts w:ascii="仿宋_GB2312" w:hAnsi="仿宋_GB2312" w:cs="仿宋_GB2312" w:eastAsia="仿宋_GB2312"/>
              </w:rPr>
              <w:t>杜绝一切安全事故，切实做到安全第一、预防为主。本工程实现无任何安全事故。</w:t>
            </w:r>
          </w:p>
          <w:p>
            <w:pPr>
              <w:pStyle w:val="null3"/>
            </w:pPr>
            <w:r>
              <w:rPr>
                <w:rFonts w:ascii="仿宋_GB2312" w:hAnsi="仿宋_GB2312" w:cs="仿宋_GB2312" w:eastAsia="仿宋_GB2312"/>
              </w:rPr>
              <w:t>3、文明要求</w:t>
            </w:r>
          </w:p>
          <w:p>
            <w:pPr>
              <w:pStyle w:val="null3"/>
            </w:pPr>
            <w:r>
              <w:rPr>
                <w:rFonts w:ascii="仿宋_GB2312" w:hAnsi="仿宋_GB2312" w:cs="仿宋_GB2312" w:eastAsia="仿宋_GB2312"/>
              </w:rPr>
              <w:t>现场用电，不私拉乱接；工地定制摆放，材料进场按要求归类整齐摆放，施工现场每天做到工完场清；中午12点到2点之间不允许施工。非必须晚间不能加班，如确有必须加班的事项，加班时间不能超过21点。</w:t>
            </w:r>
          </w:p>
          <w:p>
            <w:pPr>
              <w:pStyle w:val="null3"/>
            </w:pPr>
            <w:r>
              <w:rPr>
                <w:rFonts w:ascii="仿宋_GB2312" w:hAnsi="仿宋_GB2312" w:cs="仿宋_GB2312" w:eastAsia="仿宋_GB2312"/>
              </w:rPr>
              <w:t>4、进度安排</w:t>
            </w:r>
          </w:p>
          <w:p>
            <w:pPr>
              <w:pStyle w:val="null3"/>
            </w:pPr>
            <w:r>
              <w:rPr>
                <w:rFonts w:ascii="仿宋_GB2312" w:hAnsi="仿宋_GB2312" w:cs="仿宋_GB2312" w:eastAsia="仿宋_GB2312"/>
              </w:rPr>
              <w:t>暑假期间施工，本工程计划总工期50日历天。</w:t>
            </w:r>
          </w:p>
          <w:p>
            <w:pPr>
              <w:pStyle w:val="null3"/>
            </w:pPr>
            <w:r>
              <w:rPr>
                <w:rFonts w:ascii="仿宋_GB2312" w:hAnsi="仿宋_GB2312" w:cs="仿宋_GB2312" w:eastAsia="仿宋_GB2312"/>
              </w:rPr>
              <w:t>三、违约责任</w:t>
            </w:r>
          </w:p>
          <w:p>
            <w:pPr>
              <w:pStyle w:val="null3"/>
            </w:pPr>
            <w:r>
              <w:rPr>
                <w:rFonts w:ascii="仿宋_GB2312" w:hAnsi="仿宋_GB2312" w:cs="仿宋_GB2312" w:eastAsia="仿宋_GB2312"/>
              </w:rPr>
              <w:t>成交供应商所交付工程不符合其投标承诺，存在偷工减料、以次充好情形的，采购人要求更换一次后仍不符合约定的，采购人有权解除采购合同，没收履约保证金，并将有关情况上报政府采购监管部门处理。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工程质量和验收需符合国家相关标准和规范。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1.工期要求：50个日历日。 2.施工地点：西北大学指定地点。 3.质量保修期：自验收合格后两年，其中装修部分质量保修期两年，防水部分质量保修期五年。 4.工程质量：合格。 5.采购资金的支付方式及时间：待工程竣工验收合格后付至合同金额的80%；经学校审计后付至审定金额的100%；但前期支付金额超过审定金额的成交人应当退还。</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3.5.1为顺利推进政府采购电子化交易平台应用工作，供应商需要在线提交所有通过电子化交易平台实施的政府采购项目的响应文件，同时，线下提交纸质响应文件贰份并密封。若电子响应文件与纸质响应文件不一致的，以电子响应文件为准。线下递交文件时间：详见本项目采购公告文件截止时间；线下递交文件地点：西安市莲湖区环城西路南段元晟合中心6层。 3.5.2、磋商保证金注意事项：（1）磋商保证金须从供应商户名支付，如从个人户名或非供应商户名支付，将被拒绝，视为自动放弃投标权利（该个人是供应商的情形除外）；以保函形式交纳磋商保证金的，供应商应在磋商截止时间前将保函扫描成清晰的PDF文件，发送至邮箱2559647209@qq.com（邮件命名：项目编号），并将保函原件单独递交至代理机构财务；供应商应在响应文件中附保函复印件。保函必须由具有开具投标保函资格的单位开具；若供应商违约，开具保函单位承担 连带责任； （2）磋商保证金的提交金额、时间不满足磋商文件要求的，响应无效； （3）磋商保证金以采购代理机构到账凭证为准，供应商无需更换交纳凭证，由采购代理机构统一提供。 （4）未按指定账户提交的，我公司将退回，供应商须在文件递交截止时间前按照指定账户再次提交。 3.5.3、报价说明 （1）供应商应充分考虑磋商文件的各项要求和本工程的实际情况，根据自身实力，充分考虑材料价格、人工费、物价上涨等市场变化的风险，自主报价，风险自担。（2）不可竞争的规费、税金、安全文明施工费按计价规则的规定计取，营改增按陕建发调整陕西省建设工程计价依据的通知执行，磋商报价中包含所有费用。（3）本工程材料采购需采购人进行认质。 3.5.4、踏勘：（1）供应商因自身原因未按时进行现场踏勘，而导致的任何风险，由供应商自行承担；（2）踏勘现场的费用由供应商自己承担，踏勘期间所发生的人身伤害及财产损失由供应商自己负责。（3）采购人不对供应商据现场踏勘做出的推论、理解和结论负责。一旦中标，供应商不得以任何借口，提出额外补偿，或延长合同期限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1月1日至今至少一个月依法纳税的相关凭证(任意税种)；依法免税或无须缴纳税收的应提供相关证明；成立不足一个月的提供将依法纳税的承诺书(格式自拟)。注:（1）零报税的提供申报成功的凭证。（2）时间以税款所属时段为准； ③社会保障资金缴纳证明：提供2025年1月1日至今至少一个月的社会保障资金缴存凭证或社保机构开具的社会保险参保缴费情况凭证；依法不需要缴纳社会保障资金的提供相关证明；成立不足一个月的提供将依法交纳社会保障资金的承诺书（格式自拟）。注：（1）通过代缴方式缴存的，需提供链条完整的证明材料，证明材料至少包括代缴方的缴存凭证、供应商向代缴方用于缴存社保的银行转账单据。（2）供应商可自行打印带有社保机构公章的缴存凭证；提供银行交纳单据的，单据应显示社保缴存项（任一项）；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1供应商资格证明文件.docx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有效的2024年度财务审计报告（成立时间至提交响应文件截止时间不足一年的可提供成立后任意时段的资产负债表），或提交自2025年1月1日以来银行出具的资信证明，或信用担保机构出具的投标担保函（以上三种形式的资料提供任何一种即可）；其他组织和自然人提供银行出具 的资信证明或财务报表； 注：①提供财务审计报告的，内容至少包括审计报告、附注。②提供资信证明的，必须提供资信证明全部页以及基本户信息（提供开户许可证复印件或提供基本银行账户信息复印件加盖公章）。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1供应商资格证明文件.docx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供应商具备建设行政主管部门颁发的建筑工程施工总承包三级以上（含三级）资质，并具备有效的安全生产许可证。</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拟派项目经理须具备建筑工程专业二级以上（含二级）注册建造师证书（在本单位注册）及有效的安全生产考核合格证（建安B证），未担任其它在建工程的项目经理（提供承诺）。</w:t>
            </w:r>
          </w:p>
        </w:tc>
        <w:tc>
          <w:tcPr>
            <w:tcW w:type="dxa" w:w="1661"/>
          </w:tcPr>
          <w:p>
            <w:pPr>
              <w:pStyle w:val="null3"/>
            </w:pPr>
            <w:r>
              <w:rPr>
                <w:rFonts w:ascii="仿宋_GB2312" w:hAnsi="仿宋_GB2312" w:cs="仿宋_GB2312" w:eastAsia="仿宋_GB2312"/>
              </w:rPr>
              <w:t>1供应商资格证明文件.docx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满足本磋商文件中“三、针对本项目的其他技术服务要求”的</w:t>
            </w:r>
          </w:p>
        </w:tc>
        <w:tc>
          <w:tcPr>
            <w:tcW w:type="dxa" w:w="1661"/>
          </w:tcPr>
          <w:p>
            <w:pPr>
              <w:pStyle w:val="null3"/>
            </w:pPr>
            <w:r>
              <w:rPr>
                <w:rFonts w:ascii="仿宋_GB2312" w:hAnsi="仿宋_GB2312" w:cs="仿宋_GB2312" w:eastAsia="仿宋_GB2312"/>
              </w:rPr>
              <w:t>3商务部分偏离表.docx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2承诺书.docx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各类工程的施工方案，包括①施工工艺、②劳动力配置计划、③对施工难度大、技术含量高的分项工程等进行说明并给出施工保障措施和专项技术方案、④施工机械配备和材料投入计划、⑤现有设施保护方案等方面。施工方案应符合采购项目特点及要求，描述详尽且有利于项目实施。 满足项目实施要求，无瑕疵：5分； 内容存在1处瑕疵：4分； 内容存在2处瑕疵：3分； 内容存在3处瑕疵：2分； 内容存在4处瑕疵：1分； 未提供或内容存在5处及以上瑕疵：0分。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涉及的规范、标准与本项目要求不一致；内容不符合本项目要求或国家强制规定等任意一种情形。（下述评审标准中关于“瑕疵”的定义同此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①工程总进度施工计划安排，②提供施工进度计划横道图、③进度控制保证措施。内容应符合采购项目特点及要求，描述详尽且有利于项目实施。 满足项目实施要求，无瑕疵：3分； 内容存在1处瑕疵：2分； 内容存在2处瑕疵：1分； 未提供或内容存在3处及以上瑕疵：0分。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供应商提供针对本项目的质量技术组织措施包括①质量目标、②技术保障措施、③质量全过程检查制度。内容应符合采购项目特点及要求，描述详尽且有利于项目实施。 满足项目实施要求，无瑕疵：3分； 内容存在1处瑕疵：2分； 内容存在2处瑕疵：1分； 未提供或内容存在3处及以上瑕疵：0分。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6质量技术组织措施.docx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结合工程环境、特点，提供针对本项目的安全保证措施包括①项目安全管理目标、②安全管理组织机构、③安全生产管理制度及安全保障措施。内容应符合采购项目特点及要求，描述详尽且有利于保障项目实施安全。 满足项目实施要求，无瑕疵：3分； 内容存在1处瑕疵：2分； 内容存在2处瑕疵：1分； 未提供或内容存在3处及以上瑕疵：0分。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7安全保证措施.docx</w:t>
            </w:r>
          </w:p>
        </w:tc>
      </w:tr>
      <w:tr>
        <w:tc>
          <w:tcPr>
            <w:tcW w:type="dxa" w:w="831"/>
            <w:vMerge/>
          </w:tcPr>
          <w:p/>
        </w:tc>
        <w:tc>
          <w:tcPr>
            <w:tcW w:type="dxa" w:w="1661"/>
          </w:tcPr>
          <w:p>
            <w:pPr>
              <w:pStyle w:val="null3"/>
            </w:pPr>
            <w:r>
              <w:rPr>
                <w:rFonts w:ascii="仿宋_GB2312" w:hAnsi="仿宋_GB2312" w:cs="仿宋_GB2312" w:eastAsia="仿宋_GB2312"/>
              </w:rPr>
              <w:t>环保文明措施</w:t>
            </w:r>
          </w:p>
        </w:tc>
        <w:tc>
          <w:tcPr>
            <w:tcW w:type="dxa" w:w="2492"/>
          </w:tcPr>
          <w:p>
            <w:pPr>
              <w:pStyle w:val="null3"/>
            </w:pPr>
            <w:r>
              <w:rPr>
                <w:rFonts w:ascii="仿宋_GB2312" w:hAnsi="仿宋_GB2312" w:cs="仿宋_GB2312" w:eastAsia="仿宋_GB2312"/>
              </w:rPr>
              <w:t>供应商提供环保文明措施，包括但不限于①文明施工与环境管理目标、②文明施工与环境管理的组织机构、③文明施工与场环境保护的控制措施。 满足项目实施要求，无瑕疵：3分； 内容存在1处瑕疵：2分； 内容存在2处瑕疵：1分； 未提供或内容存在3处及以上瑕疵：0分。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8环保文明措施.docx</w:t>
            </w:r>
          </w:p>
        </w:tc>
      </w:tr>
      <w:tr>
        <w:tc>
          <w:tcPr>
            <w:tcW w:type="dxa" w:w="831"/>
            <w:vMerge/>
          </w:tcPr>
          <w:p/>
        </w:tc>
        <w:tc>
          <w:tcPr>
            <w:tcW w:type="dxa" w:w="1661"/>
          </w:tcPr>
          <w:p>
            <w:pPr>
              <w:pStyle w:val="null3"/>
            </w:pPr>
            <w:r>
              <w:rPr>
                <w:rFonts w:ascii="仿宋_GB2312" w:hAnsi="仿宋_GB2312" w:cs="仿宋_GB2312" w:eastAsia="仿宋_GB2312"/>
              </w:rPr>
              <w:t>主要材料选择</w:t>
            </w:r>
          </w:p>
        </w:tc>
        <w:tc>
          <w:tcPr>
            <w:tcW w:type="dxa" w:w="2492"/>
          </w:tcPr>
          <w:p>
            <w:pPr>
              <w:pStyle w:val="null3"/>
            </w:pPr>
            <w:r>
              <w:rPr>
                <w:rFonts w:ascii="仿宋_GB2312" w:hAnsi="仿宋_GB2312" w:cs="仿宋_GB2312" w:eastAsia="仿宋_GB2312"/>
              </w:rPr>
              <w:t>供应商针对本项目主要材料选择进行说明提供本项目施工所需主要材料的品牌、型号、技术说明等详细清单。根据①主材清单的完整齐全、②主材选择为主流产品、实用性强、主材选择市场占有率高、③技术要求契合项目实施需求等方面进行评审。 满足项目实施要求，无瑕疵：15分； 内容存在1处瑕疵：13分； 内容存在2处瑕疵：11分； 内容存在3处瑕疵：9分； 内容存在4处瑕疵：7分； 内容存在5处瑕疵：5分； 内容存在6处瑕疵：3分； 内容存在7处瑕疵：1分； 未提供或内容存在8处及以上瑕疵：0分。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9主要材料选择.docx</w:t>
            </w:r>
          </w:p>
        </w:tc>
      </w:tr>
      <w:tr>
        <w:tc>
          <w:tcPr>
            <w:tcW w:type="dxa" w:w="831"/>
            <w:vMerge/>
          </w:tcPr>
          <w:p/>
        </w:tc>
        <w:tc>
          <w:tcPr>
            <w:tcW w:type="dxa" w:w="1661"/>
          </w:tcPr>
          <w:p>
            <w:pPr>
              <w:pStyle w:val="null3"/>
            </w:pPr>
            <w:r>
              <w:rPr>
                <w:rFonts w:ascii="仿宋_GB2312" w:hAnsi="仿宋_GB2312" w:cs="仿宋_GB2312" w:eastAsia="仿宋_GB2312"/>
              </w:rPr>
              <w:t>主材货源渠道</w:t>
            </w:r>
          </w:p>
        </w:tc>
        <w:tc>
          <w:tcPr>
            <w:tcW w:type="dxa" w:w="2492"/>
          </w:tcPr>
          <w:p>
            <w:pPr>
              <w:pStyle w:val="null3"/>
            </w:pPr>
            <w:r>
              <w:rPr>
                <w:rFonts w:ascii="仿宋_GB2312" w:hAnsi="仿宋_GB2312" w:cs="仿宋_GB2312" w:eastAsia="仿宋_GB2312"/>
              </w:rPr>
              <w:t>供应商提供施工所须主要材料货源渠道证明，包括但不限于销售协议或厂家授权等。 提供1-4项主材货源渠道证明的计2分； 提供5-8项主材货源渠道证明的计4分； 提供9-10项主材货源渠道证明的计6分； 提供10项以上（不含10）主材货源渠道证明的计8分；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10主材货源渠道.docx</w:t>
            </w:r>
          </w:p>
        </w:tc>
      </w:tr>
      <w:tr>
        <w:tc>
          <w:tcPr>
            <w:tcW w:type="dxa" w:w="831"/>
            <w:vMerge/>
          </w:tcPr>
          <w:p/>
        </w:tc>
        <w:tc>
          <w:tcPr>
            <w:tcW w:type="dxa" w:w="1661"/>
          </w:tcPr>
          <w:p>
            <w:pPr>
              <w:pStyle w:val="null3"/>
            </w:pPr>
            <w:r>
              <w:rPr>
                <w:rFonts w:ascii="仿宋_GB2312" w:hAnsi="仿宋_GB2312" w:cs="仿宋_GB2312" w:eastAsia="仿宋_GB2312"/>
              </w:rPr>
              <w:t>主材质量保证承诺</w:t>
            </w:r>
          </w:p>
        </w:tc>
        <w:tc>
          <w:tcPr>
            <w:tcW w:type="dxa" w:w="2492"/>
          </w:tcPr>
          <w:p>
            <w:pPr>
              <w:pStyle w:val="null3"/>
            </w:pPr>
            <w:r>
              <w:rPr>
                <w:rFonts w:ascii="仿宋_GB2312" w:hAnsi="仿宋_GB2312" w:cs="仿宋_GB2312" w:eastAsia="仿宋_GB2312"/>
              </w:rPr>
              <w:t>供应商提供施工所须主要材料无假冒产品、无翻新产品的书面承诺，得1分。 注：未提供承诺书不得分，承诺书格式自拟。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11主材质量保证承诺.docx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供应商提供针对本项目的项目组织机构，并明确项目人员构成情况（岗位设置、专业种类及能力、有技术职称的人员比例）。 满足项目实施要求，无瑕疵：3分； 内容存在1处瑕疵：2分； 内容存在2处瑕疵：1分； 未提供或内容存在3处及以上瑕疵：0分。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保修期内服务方案</w:t>
            </w:r>
          </w:p>
        </w:tc>
        <w:tc>
          <w:tcPr>
            <w:tcW w:type="dxa" w:w="2492"/>
          </w:tcPr>
          <w:p>
            <w:pPr>
              <w:pStyle w:val="null3"/>
            </w:pPr>
            <w:r>
              <w:rPr>
                <w:rFonts w:ascii="仿宋_GB2312" w:hAnsi="仿宋_GB2312" w:cs="仿宋_GB2312" w:eastAsia="仿宋_GB2312"/>
              </w:rPr>
              <w:t>供应商针对本项目有详细具体的保修期内服务方案，包括但不限于①保修期内服务内容、②问题响应时间、③服务人员配备、④保修措施。方案制定应完整全面、详细具体。 满足项目实施要求，无瑕疵：4分； 内容存在1处瑕疵：3分； 内容存在2处瑕疵：2分； 内容存在3处瑕疵：1分；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12保修期内服务方案.docx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提供供应商2022年1月1日至今类似项目施工业绩（已完工），每提供1份得1分，最高得5分。（以合同签订日期为准）。 注：响应文件须提供合同以及工程竣工验收资料并加盖供应商公章。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磋商产品中每有一项为节能产品经国家认证的得0.5分，每有一项为环境标志产品经国家认证的得0.5分，最多得2分。（以经国家确定的认证机构出具的、处于有效期内的节能产品、环境标志产品认证证书为准。）注：水龙头为强制节能产品，不参与本项评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详见附件：1供应商资格证明文件.docx</w:t>
      </w:r>
    </w:p>
    <w:p>
      <w:pPr>
        <w:pStyle w:val="null3"/>
        <w:ind w:firstLine="960"/>
      </w:pPr>
      <w:r>
        <w:rPr>
          <w:rFonts w:ascii="仿宋_GB2312" w:hAnsi="仿宋_GB2312" w:cs="仿宋_GB2312" w:eastAsia="仿宋_GB2312"/>
        </w:rPr>
        <w:t>详见附件：2承诺书.docx</w:t>
      </w:r>
    </w:p>
    <w:p>
      <w:pPr>
        <w:pStyle w:val="null3"/>
        <w:ind w:firstLine="960"/>
      </w:pPr>
      <w:r>
        <w:rPr>
          <w:rFonts w:ascii="仿宋_GB2312" w:hAnsi="仿宋_GB2312" w:cs="仿宋_GB2312" w:eastAsia="仿宋_GB2312"/>
        </w:rPr>
        <w:t>详见附件：3商务部分偏离表.docx</w:t>
      </w:r>
    </w:p>
    <w:p>
      <w:pPr>
        <w:pStyle w:val="null3"/>
        <w:ind w:firstLine="960"/>
      </w:pPr>
      <w:r>
        <w:rPr>
          <w:rFonts w:ascii="仿宋_GB2312" w:hAnsi="仿宋_GB2312" w:cs="仿宋_GB2312" w:eastAsia="仿宋_GB2312"/>
        </w:rPr>
        <w:t>详见附件：4施工方案.docx</w:t>
      </w:r>
    </w:p>
    <w:p>
      <w:pPr>
        <w:pStyle w:val="null3"/>
        <w:ind w:firstLine="960"/>
      </w:pPr>
      <w:r>
        <w:rPr>
          <w:rFonts w:ascii="仿宋_GB2312" w:hAnsi="仿宋_GB2312" w:cs="仿宋_GB2312" w:eastAsia="仿宋_GB2312"/>
        </w:rPr>
        <w:t>详见附件：5施工进度计划.docx</w:t>
      </w:r>
    </w:p>
    <w:p>
      <w:pPr>
        <w:pStyle w:val="null3"/>
        <w:ind w:firstLine="960"/>
      </w:pPr>
      <w:r>
        <w:rPr>
          <w:rFonts w:ascii="仿宋_GB2312" w:hAnsi="仿宋_GB2312" w:cs="仿宋_GB2312" w:eastAsia="仿宋_GB2312"/>
        </w:rPr>
        <w:t>详见附件：6质量技术组织措施.docx</w:t>
      </w:r>
    </w:p>
    <w:p>
      <w:pPr>
        <w:pStyle w:val="null3"/>
        <w:ind w:firstLine="960"/>
      </w:pPr>
      <w:r>
        <w:rPr>
          <w:rFonts w:ascii="仿宋_GB2312" w:hAnsi="仿宋_GB2312" w:cs="仿宋_GB2312" w:eastAsia="仿宋_GB2312"/>
        </w:rPr>
        <w:t>详见附件：7安全保证措施.docx</w:t>
      </w:r>
    </w:p>
    <w:p>
      <w:pPr>
        <w:pStyle w:val="null3"/>
        <w:ind w:firstLine="960"/>
      </w:pPr>
      <w:r>
        <w:rPr>
          <w:rFonts w:ascii="仿宋_GB2312" w:hAnsi="仿宋_GB2312" w:cs="仿宋_GB2312" w:eastAsia="仿宋_GB2312"/>
        </w:rPr>
        <w:t>详见附件：8环保文明措施.docx</w:t>
      </w:r>
    </w:p>
    <w:p>
      <w:pPr>
        <w:pStyle w:val="null3"/>
        <w:ind w:firstLine="960"/>
      </w:pPr>
      <w:r>
        <w:rPr>
          <w:rFonts w:ascii="仿宋_GB2312" w:hAnsi="仿宋_GB2312" w:cs="仿宋_GB2312" w:eastAsia="仿宋_GB2312"/>
        </w:rPr>
        <w:t>详见附件：9主要材料选择.docx</w:t>
      </w:r>
    </w:p>
    <w:p>
      <w:pPr>
        <w:pStyle w:val="null3"/>
        <w:ind w:firstLine="960"/>
      </w:pPr>
      <w:r>
        <w:rPr>
          <w:rFonts w:ascii="仿宋_GB2312" w:hAnsi="仿宋_GB2312" w:cs="仿宋_GB2312" w:eastAsia="仿宋_GB2312"/>
        </w:rPr>
        <w:t>详见附件：10主材货源渠道.docx</w:t>
      </w:r>
    </w:p>
    <w:p>
      <w:pPr>
        <w:pStyle w:val="null3"/>
        <w:ind w:firstLine="960"/>
      </w:pPr>
      <w:r>
        <w:rPr>
          <w:rFonts w:ascii="仿宋_GB2312" w:hAnsi="仿宋_GB2312" w:cs="仿宋_GB2312" w:eastAsia="仿宋_GB2312"/>
        </w:rPr>
        <w:t>详见附件：11主材质量保证承诺.docx</w:t>
      </w:r>
    </w:p>
    <w:p>
      <w:pPr>
        <w:pStyle w:val="null3"/>
        <w:ind w:firstLine="960"/>
      </w:pPr>
      <w:r>
        <w:rPr>
          <w:rFonts w:ascii="仿宋_GB2312" w:hAnsi="仿宋_GB2312" w:cs="仿宋_GB2312" w:eastAsia="仿宋_GB2312"/>
        </w:rPr>
        <w:t>详见附件：12保修期内服务方案.docx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详见附件：已修正-西北大学工程类项目采购合同模板（10万元以上有监理）.docx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