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版本号：SXJACG(2025)-1220250717001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陕西省石头河水库灌区2025年度省级水利发展资金应急抗旱水利救灾项目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SXJACG(2025)-12</w:t>
      </w:r>
      <w:r>
        <w:br/>
      </w:r>
      <w:r>
        <w:br/>
      </w:r>
      <w:r>
        <w:br/>
      </w:r>
    </w:p>
    <w:p>
      <w:pPr>
        <w:pStyle w:val="null3"/>
        <w:jc w:val="center"/>
        <w:outlineLvl w:val="2"/>
      </w:pPr>
      <w:r>
        <w:rPr>
          <w:rFonts w:ascii="仿宋_GB2312" w:hAnsi="仿宋_GB2312" w:cs="仿宋_GB2312" w:eastAsia="仿宋_GB2312"/>
          <w:sz w:val="28"/>
          <w:b/>
        </w:rPr>
        <w:t>陕西省石头河水库灌溉中心</w:t>
      </w:r>
    </w:p>
    <w:p>
      <w:pPr>
        <w:pStyle w:val="null3"/>
        <w:jc w:val="center"/>
        <w:outlineLvl w:val="2"/>
      </w:pPr>
      <w:r>
        <w:rPr>
          <w:rFonts w:ascii="仿宋_GB2312" w:hAnsi="仿宋_GB2312" w:cs="仿宋_GB2312" w:eastAsia="仿宋_GB2312"/>
          <w:sz w:val="28"/>
          <w:b/>
        </w:rPr>
        <w:t>陕西金岸工程项目管理有限公司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陕西金岸工程项目管理有限公司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陕西省石头河水库灌溉中心</w:t>
      </w:r>
      <w:r>
        <w:rPr>
          <w:rFonts w:ascii="仿宋_GB2312" w:hAnsi="仿宋_GB2312" w:cs="仿宋_GB2312" w:eastAsia="仿宋_GB2312"/>
        </w:rPr>
        <w:t>委托，拟对</w:t>
      </w:r>
      <w:r>
        <w:rPr>
          <w:rFonts w:ascii="仿宋_GB2312" w:hAnsi="仿宋_GB2312" w:cs="仿宋_GB2312" w:eastAsia="仿宋_GB2312"/>
        </w:rPr>
        <w:t>陕西省石头河水库灌区2025年度省级水利发展资金应急抗旱水利救灾项目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SXJACG(2025)-12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陕西省石头河水库灌区2025年度省级水利发展资金应急抗旱水利救灾项目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陕西省石头河水库灌区2025年度省级水利发展资金应急抗旱水利救灾项目主要功能或目标:提升抗旱减灾能力，努力减轻干旱灾害损失，确保发生中等干旱群众生产生活不受严重影响。 本项目主要建设内容包括： 1.抗旱引水水源应急修复。(1)泥峪河滚水坝引水枢纽应急修复。上游河道开挖长25m、深度约1m;滚水坝溢流面现浇 C25 钢筋砼修复;下游护坦拆除破损处砼，采用现浇C25 堆石砼进行维修，表面现浇20cm厚C25钢筋混凝土;下游海漫修复铺设格宾石笼长20m、宽5m。(2)泥峪河截渗池水源工程应急修复。截渗池南侧砖围墙加高、砂浆抹面;引水渠破损部分拆除重新衬砌，渠底现浇10cm厚C20混凝土，渠两侧M10砂浆抹面处理;截渗池临边采用浸塑网进行防护;购置并安装200KVA 变压器1台、8寸抽水泵2台、配电箱1套及配件。(3)斜峪关原枢纽管理站院内修建直径3m、深9m人饮水井1口，配套安装4寸水泵、铺设管材。(4)落星村原石头河水产站院内修建抗旱应急深水井1口，配套安装配电箱1套、2寸水泵、60m 输水管道。(5)太白县水源检查站原人饮水井加深改造，在原尺寸基础上加深3m，配套管材、电缆。 2.设置灌区抗旱保供应急取水点。在枢纽、安乐、齐镇、金渠、汤峪、清化等6个管理站设置16处抗旱保供应急取水点，购置8寸泵及配套设备28套、6寸22kw抽水泵1台、3寸5.5kw抽水泵3台、3寸4.4kw抽水泵15台、2寸2.2kw抽水泵4台及配套管材、电缆、照明配电设备等抗旱应急物资。 3.土壤墒情监测设备购置。在安乐、齐镇、金渠、汤峪、清化等5个管理站和灌区灌溉试验站购置安装土壤墒情检测仪6套、在灌区灌溉试验站和汤峪管理站购置安装自动气象站设备2套，购置墒情信息模块增加及数据整合1套，接入省级旱情监测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采购包1（陕西省石头河水库灌区2025年度省级水利发展资金应急抗旱水利救灾项目）：属于专门面向中小企业采购。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1、中小企业声明：本项目专门面向中小企业，供应商需在项目电子化交易系统中按要求上传中小企业声明函并进行电子签章。</w:t>
      </w:r>
    </w:p>
    <w:p>
      <w:pPr>
        <w:pStyle w:val="null3"/>
      </w:pPr>
      <w:r>
        <w:rPr>
          <w:rFonts w:ascii="仿宋_GB2312" w:hAnsi="仿宋_GB2312" w:cs="仿宋_GB2312" w:eastAsia="仿宋_GB2312"/>
        </w:rPr>
        <w:t>2、供应商应为具有独立承担民事责任能力的企业法人、事业法人、其他组织或自然人：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pPr>
        <w:pStyle w:val="null3"/>
      </w:pPr>
      <w:r>
        <w:rPr>
          <w:rFonts w:ascii="仿宋_GB2312" w:hAnsi="仿宋_GB2312" w:cs="仿宋_GB2312" w:eastAsia="仿宋_GB2312"/>
        </w:rPr>
        <w:t>3、供应商应授权合法的人员参加投标：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p>
    <w:p>
      <w:pPr>
        <w:pStyle w:val="null3"/>
      </w:pPr>
      <w:r>
        <w:rPr>
          <w:rFonts w:ascii="仿宋_GB2312" w:hAnsi="仿宋_GB2312" w:cs="仿宋_GB2312" w:eastAsia="仿宋_GB2312"/>
        </w:rPr>
        <w:t>4、财务报告：供应商应提供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p>
      <w:pPr>
        <w:pStyle w:val="null3"/>
      </w:pPr>
      <w:r>
        <w:rPr>
          <w:rFonts w:ascii="仿宋_GB2312" w:hAnsi="仿宋_GB2312" w:cs="仿宋_GB2312" w:eastAsia="仿宋_GB2312"/>
        </w:rPr>
        <w:t>5、税收缴纳证明：供应商提供响应文件递交截止时间前六个月内任意一月已缴纳的纳税证明或完税证明，依法免税的供应商应提供相关证明文件。</w:t>
      </w:r>
    </w:p>
    <w:p>
      <w:pPr>
        <w:pStyle w:val="null3"/>
      </w:pPr>
      <w:r>
        <w:rPr>
          <w:rFonts w:ascii="仿宋_GB2312" w:hAnsi="仿宋_GB2312" w:cs="仿宋_GB2312" w:eastAsia="仿宋_GB2312"/>
        </w:rPr>
        <w:t>6、社保缴纳证明：供应商提供响应文件递交截止时间前六个月内任意一月已缴存的社会保障资金缴费证明或参保证明，依法不需要缴纳社会保障资金的供应商应提供相关证明文件。</w:t>
      </w:r>
    </w:p>
    <w:p>
      <w:pPr>
        <w:pStyle w:val="null3"/>
      </w:pPr>
      <w:r>
        <w:rPr>
          <w:rFonts w:ascii="仿宋_GB2312" w:hAnsi="仿宋_GB2312" w:cs="仿宋_GB2312" w:eastAsia="仿宋_GB2312"/>
        </w:rPr>
        <w:t>7、供应商资质条件：供应商须具备水利水电工程施工总承包三级（含三级）以上资质，建设行政主管部门颁发的有效的安全生产许可证。</w:t>
      </w:r>
    </w:p>
    <w:p>
      <w:pPr>
        <w:pStyle w:val="null3"/>
      </w:pPr>
      <w:r>
        <w:rPr>
          <w:rFonts w:ascii="仿宋_GB2312" w:hAnsi="仿宋_GB2312" w:cs="仿宋_GB2312" w:eastAsia="仿宋_GB2312"/>
        </w:rPr>
        <w:t>8、拟派项目经理：供应商拟派项目经理须为本单位注册人员，持有水利水电工程二级（含二级）以上注册建造师证书，具有水行政主管部门颁发的安全生产考核合格证，且无在建项目（提供无在建项目承诺书）。</w:t>
      </w:r>
    </w:p>
    <w:p>
      <w:pPr>
        <w:pStyle w:val="null3"/>
      </w:pPr>
      <w:r>
        <w:rPr>
          <w:rFonts w:ascii="仿宋_GB2312" w:hAnsi="仿宋_GB2312" w:cs="仿宋_GB2312" w:eastAsia="仿宋_GB2312"/>
        </w:rPr>
        <w:t>9、企业负责人、专职安全员：供应商的企业负责人、专职安全员须具有水行政主管部门颁发的安全生产考核合格证。</w:t>
      </w:r>
    </w:p>
    <w:p>
      <w:pPr>
        <w:pStyle w:val="null3"/>
      </w:pPr>
      <w:r>
        <w:rPr>
          <w:rFonts w:ascii="仿宋_GB2312" w:hAnsi="仿宋_GB2312" w:cs="仿宋_GB2312" w:eastAsia="仿宋_GB2312"/>
        </w:rPr>
        <w:t>10、无重大违法记录：参加政府采购活动前3年内，在经营活动中没有重大违法记录的书面声明。</w:t>
      </w:r>
    </w:p>
    <w:p>
      <w:pPr>
        <w:pStyle w:val="null3"/>
      </w:pPr>
      <w:r>
        <w:rPr>
          <w:rFonts w:ascii="仿宋_GB2312" w:hAnsi="仿宋_GB2312" w:cs="仿宋_GB2312" w:eastAsia="仿宋_GB2312"/>
        </w:rPr>
        <w:t>11、具有履行合同所必需的设备和专业技术能力：供应商应具有履行合同所必需的设备和专业技术能力，提供承诺书。</w:t>
      </w:r>
    </w:p>
    <w:p>
      <w:pPr>
        <w:pStyle w:val="null3"/>
      </w:pPr>
      <w:r>
        <w:rPr>
          <w:rFonts w:ascii="仿宋_GB2312" w:hAnsi="仿宋_GB2312" w:cs="仿宋_GB2312" w:eastAsia="仿宋_GB2312"/>
        </w:rPr>
        <w:t>12、信用查询：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13、单位负责人为同一人或者存在直接控股、管理关系的不同投标人，不得同时参加同一合同项下的政府采购活动：单位负责人为同一人或者存在直接控股、管理关系的不同供应商，不得同时参加同一合同项下的政府采购活动，提供书面声明。</w:t>
      </w:r>
    </w:p>
    <w:p>
      <w:pPr>
        <w:pStyle w:val="null3"/>
      </w:pPr>
      <w:r>
        <w:rPr>
          <w:rFonts w:ascii="仿宋_GB2312" w:hAnsi="仿宋_GB2312" w:cs="仿宋_GB2312" w:eastAsia="仿宋_GB2312"/>
        </w:rPr>
        <w:t>14、非联合体投标声明：本项目不接受联合体，提供非联合体投标声明。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陕西省石头河水库灌溉中心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陕西省咸阳市秦都区扶苏南路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陕西省石头河水库灌溉管理局经办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18629405239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陕西金岸工程项目管理有限公司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陕西省西咸新区沣东新城扶苏路民善雅居商业楼A座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029-33819311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代理服务费收费标准：本次采购代理服务费参考国家计委关于印发《招标代理服务收费管理暂行办法》的通知（计价格【2002】1980号文）收费标准、造价咨询费参考陕西省物价局陕西省住房和城乡建设厅 《关于我省工程造价咨询服务收费标准有关问题的通知》 （陕价行发〔2014〕88号）文件，确定共计人民币大写：贰万元整（￥20000.00元），由中标（或成交）供应商在领取中标（或成交）通知书时一次性支付给采购代理人。</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陕西省石头河水库灌溉中心</w:t>
      </w:r>
      <w:r>
        <w:rPr>
          <w:rFonts w:ascii="仿宋_GB2312" w:hAnsi="仿宋_GB2312" w:cs="仿宋_GB2312" w:eastAsia="仿宋_GB2312"/>
        </w:rPr>
        <w:t>和</w:t>
      </w:r>
      <w:r>
        <w:rPr>
          <w:rFonts w:ascii="仿宋_GB2312" w:hAnsi="仿宋_GB2312" w:cs="仿宋_GB2312" w:eastAsia="仿宋_GB2312"/>
        </w:rPr>
        <w:t>陕西金岸工程项目管理有限公司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陕西省石头河水库灌溉中心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陕西金岸工程项目管理有限公司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陕西省石头河水库灌溉中心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陕西金岸工程项目管理有限公司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联系人：王幸</w:t>
      </w:r>
    </w:p>
    <w:p>
      <w:pPr>
        <w:pStyle w:val="null3"/>
      </w:pPr>
      <w:r>
        <w:rPr>
          <w:rFonts w:ascii="仿宋_GB2312" w:hAnsi="仿宋_GB2312" w:cs="仿宋_GB2312" w:eastAsia="仿宋_GB2312"/>
        </w:rPr>
        <w:t>联系电话：029-33819311</w:t>
      </w:r>
    </w:p>
    <w:p>
      <w:pPr>
        <w:pStyle w:val="null3"/>
      </w:pPr>
      <w:r>
        <w:rPr>
          <w:rFonts w:ascii="仿宋_GB2312" w:hAnsi="仿宋_GB2312" w:cs="仿宋_GB2312" w:eastAsia="仿宋_GB2312"/>
        </w:rPr>
        <w:t>地址：陕西省西咸新区沣东新城扶苏路民善雅居商业楼A座</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2,199,911.00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陕西省石头河水库灌区2025年度省级水利发展资金应急抗旱水利救灾项目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标的名称：陕西省石头河水库灌区2025年度省级水利发展资金应急抗旱水利救灾项目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一、本项目主要建设内容包括：</w:t>
            </w:r>
            <w:r>
              <w:br/>
            </w:r>
            <w:r>
              <w:rPr>
                <w:rFonts w:ascii="仿宋_GB2312" w:hAnsi="仿宋_GB2312" w:cs="仿宋_GB2312" w:eastAsia="仿宋_GB2312"/>
              </w:rPr>
              <w:t xml:space="preserve"> 1.抗旱引水水源应急修复。(1)泥峪河滚水坝引水枢纽应急修复。上游河道开挖长25m、深度约1m;滚水坝溢流面现浇 C25 钢筋砼修复;下游护坦拆除破损处砼，采用现浇C25 堆石砼进行维修，表面现浇20cm厚C25钢筋混凝土;下游海漫修复铺设格宾石笼长20m、宽5m。(2)泥峪河截渗池水源工程应急修复。截渗池南侧砖围墙加高、砂浆抹面;引水渠破损部分拆除重新衬砌，渠底现浇10cm厚C20混凝土，渠两侧M10砂浆抹面处理;截渗池临边采用浸塑网进行防护;购置并安装200KVA 变压器1台、8寸抽水泵2台、配电箱1套及配件。(3)斜峪关原枢纽管理站院内修建直径3m、深9m人饮水井1口，配套安装4寸水泵、铺设管材。(4)落星村原石头河水产站院内修建抗旱应急深水井1口，配套安装配电箱1套、2寸水泵、60m 输水管道。(5)太白县水源检查站原人饮水井加深改造，在原尺寸基础上加深3m，配套管材、电缆。</w:t>
            </w:r>
            <w:r>
              <w:br/>
            </w:r>
            <w:r>
              <w:rPr>
                <w:rFonts w:ascii="仿宋_GB2312" w:hAnsi="仿宋_GB2312" w:cs="仿宋_GB2312" w:eastAsia="仿宋_GB2312"/>
              </w:rPr>
              <w:t xml:space="preserve"> 2.设置灌区抗旱保供应急取水点。在枢纽、安乐、齐镇、金渠、汤峪、清化等6个管理站设置16处抗旱保供应急取水点，购置8寸泵及配套设备28套、6寸22kw抽水泵1台、3寸5.5kw抽水泵3台、3寸4.4kw抽水泵15台、2寸2.2kw抽水泵4台及配套管材、电缆、照明配电设备等抗旱应急物资。</w:t>
            </w:r>
            <w:r>
              <w:br/>
            </w:r>
            <w:r>
              <w:rPr>
                <w:rFonts w:ascii="仿宋_GB2312" w:hAnsi="仿宋_GB2312" w:cs="仿宋_GB2312" w:eastAsia="仿宋_GB2312"/>
              </w:rPr>
              <w:t xml:space="preserve"> 3.土壤墒情监测设备购置。在安乐、齐镇、金渠、汤峪、清化等5个管理站和灌区灌溉试验站购置安装土壤墒情检测仪6套、在灌区灌溉试验站和汤峪管理站购置安装自动气象站设备2套，购置墒情信息模块增加及数据整合1套，接入省级旱情监测平台。</w:t>
            </w:r>
          </w:p>
          <w:p>
            <w:pPr>
              <w:pStyle w:val="null3"/>
            </w:pPr>
            <w:r>
              <w:rPr>
                <w:rFonts w:ascii="仿宋_GB2312" w:hAnsi="仿宋_GB2312" w:cs="仿宋_GB2312" w:eastAsia="仿宋_GB2312"/>
              </w:rPr>
              <w:t>二、</w:t>
            </w:r>
            <w:r>
              <w:rPr>
                <w:rFonts w:ascii="仿宋_GB2312" w:hAnsi="仿宋_GB2312" w:cs="仿宋_GB2312" w:eastAsia="仿宋_GB2312"/>
                <w:sz w:val="21"/>
              </w:rPr>
              <w:t>质量要求：符合国家及行业验收合格标准。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响应文件正本壹份、副本贰份、电子版壹份（U盘1个，包含word及PDF格式响应文件所有内容）。 2.纸质响应文件建议A4纸双面打印，正、副本分别各自装订成册并编制目录和页码，单独密封并加盖公章。若正本和副本不符，以正本为准；若电子响应文件与纸质响应文件不一致的，以电子响应文件为准。 2.线下递交文件时间截止：响应文件提交截止时间前； 3.线下递交文件地点：陕西省西咸新区沣东新城扶苏路民善雅居商业楼A座三楼会议室。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本项目专门面向中小企业，供应商需在项目电子化交易系统中按要求上传中小企业声明函并进行电子签章。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供应商应为具有独立承担民事责任能力的企业法人、事业法人、其他组织或自然人</w:t>
            </w:r>
          </w:p>
        </w:tc>
        <w:tc>
          <w:tcPr>
            <w:tcW w:type="dxa" w:w="3322"/>
          </w:tcPr>
          <w:p>
            <w:pPr>
              <w:pStyle w:val="null3"/>
            </w:pPr>
            <w:r>
              <w:rPr>
                <w:rFonts w:ascii="仿宋_GB2312" w:hAnsi="仿宋_GB2312" w:cs="仿宋_GB2312" w:eastAsia="仿宋_GB2312"/>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供应商应授权合法的人员参加投标</w:t>
            </w:r>
          </w:p>
        </w:tc>
        <w:tc>
          <w:tcPr>
            <w:tcW w:type="dxa" w:w="3322"/>
          </w:tcPr>
          <w:p>
            <w:pPr>
              <w:pStyle w:val="null3"/>
            </w:pPr>
            <w:r>
              <w:rPr>
                <w:rFonts w:ascii="仿宋_GB2312" w:hAnsi="仿宋_GB2312" w:cs="仿宋_GB2312" w:eastAsia="仿宋_GB2312"/>
              </w:rPr>
              <w:t>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应提供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供应商提供响应文件递交截止时间前六个月内任意一月已缴纳的纳税证明或完税证明，依法免税的供应商应提供相关证明文件。</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供应商提供响应文件递交截止时间前六个月内任意一月已缴存的社会保障资金缴费证明或参保证明，依法不需要缴纳社会保障资金的供应商应提供相关证明文件。</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供应商资质条件</w:t>
            </w:r>
          </w:p>
        </w:tc>
        <w:tc>
          <w:tcPr>
            <w:tcW w:type="dxa" w:w="3322"/>
          </w:tcPr>
          <w:p>
            <w:pPr>
              <w:pStyle w:val="null3"/>
            </w:pPr>
            <w:r>
              <w:rPr>
                <w:rFonts w:ascii="仿宋_GB2312" w:hAnsi="仿宋_GB2312" w:cs="仿宋_GB2312" w:eastAsia="仿宋_GB2312"/>
              </w:rPr>
              <w:t>供应商须具备水利水电工程施工总承包三级（含三级）以上资质，建设行政主管部门颁发的有效的安全生产许可证。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供应商拟派项目经理须为本单位注册人员，持有水利水电工程二级（含二级）以上注册建造师证书，具有水行政主管部门颁发的安全生产考核合格证，且无在建项目（提供无在建项目承诺书）。</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企业负责人、专职安全员</w:t>
            </w:r>
          </w:p>
        </w:tc>
        <w:tc>
          <w:tcPr>
            <w:tcW w:type="dxa" w:w="3322"/>
          </w:tcPr>
          <w:p>
            <w:pPr>
              <w:pStyle w:val="null3"/>
            </w:pPr>
            <w:r>
              <w:rPr>
                <w:rFonts w:ascii="仿宋_GB2312" w:hAnsi="仿宋_GB2312" w:cs="仿宋_GB2312" w:eastAsia="仿宋_GB2312"/>
              </w:rPr>
              <w:t>供应商的企业负责人、专职安全员须具有水行政主管部门颁发的安全生产考核合格证。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供应商应具有履行合同所必需的设备和专业技术能力，提供承诺书。</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单位负责人为同一人或者存在直接控股、管理关系的不同投标人，不得同时参加同一合同项下的政府采购活动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单位负责人为同一人或者存在直接控股、管理关系的不同供应商，不得同时参加同一合同项下的政府采购活动，提供书面声明。</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本项目不接受联合体，提供非联合体投标声明。</w:t>
            </w:r>
          </w:p>
        </w:tc>
        <w:tc>
          <w:tcPr>
            <w:tcW w:type="dxa" w:w="1661"/>
          </w:tcPr>
          <w:p>
            <w:pPr>
              <w:pStyle w:val="null3"/>
            </w:pPr>
            <w:r>
              <w:rPr>
                <w:rFonts w:ascii="仿宋_GB2312" w:hAnsi="仿宋_GB2312" w:cs="仿宋_GB2312" w:eastAsia="仿宋_GB2312"/>
              </w:rPr>
              <w:t>特定资格证明材料.docx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符合国家及行业验收合格标准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首次响应报价</w:t>
            </w:r>
          </w:p>
        </w:tc>
        <w:tc>
          <w:tcPr>
            <w:tcW w:type="dxa" w:w="3322"/>
          </w:tcPr>
          <w:p>
            <w:pPr>
              <w:pStyle w:val="null3"/>
            </w:pPr>
            <w:r>
              <w:rPr>
                <w:rFonts w:ascii="仿宋_GB2312" w:hAnsi="仿宋_GB2312" w:cs="仿宋_GB2312" w:eastAsia="仿宋_GB2312"/>
              </w:rPr>
              <w:t>响应报价不超过最高限价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响应文件格式中要求法定代表人或被授权人的签字处，签字齐全，响应文件加盖电子印章。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特定资格证明材料.docx 其他.docx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特定资格证明材料.docx 其他.docx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对本项目了解透彻，制定的施工方案、方法与技术措施内容全面，施工工艺先进，对施工具有高度指导性，得10-15分；施工方案基本可行，方法、措施基本得当，得5-10分；可行性、指导性较低的得0-5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质量管理体系及保证措施</w:t>
            </w:r>
          </w:p>
        </w:tc>
        <w:tc>
          <w:tcPr>
            <w:tcW w:type="dxa" w:w="2492"/>
          </w:tcPr>
          <w:p>
            <w:pPr>
              <w:pStyle w:val="null3"/>
            </w:pPr>
            <w:r>
              <w:rPr>
                <w:rFonts w:ascii="仿宋_GB2312" w:hAnsi="仿宋_GB2312" w:cs="仿宋_GB2312" w:eastAsia="仿宋_GB2312"/>
              </w:rPr>
              <w:t>质量目标明确，管理体系健全，控制措施完整的得4-8分；质量目标基本明确，管理体系基本健全，控制措施较完整的得0-4分；不合理或未叙述者不得分。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安全生产目标明确，预防和动态控制措施及制度完整、到位，管理体系和组织措施功能完善，安全经费投入明确的得4-8分；安全生产目标基本明确，控制措施及制度基本完整的得0-4分；不合理或未叙述不得分。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水土保持、环境保护管理体系及保证措施</w:t>
            </w:r>
          </w:p>
        </w:tc>
        <w:tc>
          <w:tcPr>
            <w:tcW w:type="dxa" w:w="2492"/>
          </w:tcPr>
          <w:p>
            <w:pPr>
              <w:pStyle w:val="null3"/>
            </w:pPr>
            <w:r>
              <w:rPr>
                <w:rFonts w:ascii="仿宋_GB2312" w:hAnsi="仿宋_GB2312" w:cs="仿宋_GB2312" w:eastAsia="仿宋_GB2312"/>
              </w:rPr>
              <w:t>水土保持、环境保护管理体系健全、完整得3-6分；水土保持、环境保护管理体系基本健全、完整得0-3分；不合理或未叙述者不得分。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工期满足磋商文件要求，施工进度、节点安排合理，进度计划横道图或网络图安排合理的得3-5分；工期满足磋商文件要求，施工进度、节点安排基本合理，进度计划横道图或网络图较完善的得0-3分；不合理或未叙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主要施工机械设备及劳动力配备</w:t>
            </w:r>
          </w:p>
        </w:tc>
        <w:tc>
          <w:tcPr>
            <w:tcW w:type="dxa" w:w="2492"/>
          </w:tcPr>
          <w:p>
            <w:pPr>
              <w:pStyle w:val="null3"/>
            </w:pPr>
            <w:r>
              <w:rPr>
                <w:rFonts w:ascii="仿宋_GB2312" w:hAnsi="仿宋_GB2312" w:cs="仿宋_GB2312" w:eastAsia="仿宋_GB2312"/>
              </w:rPr>
              <w:t>施工机械设备配备合理、资源充足，劳动力计划合理分配安排并具有较强的实施性。满足施工要求得3-5分；基本可行得0-3分；不合理或不满足不得。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项目风险预测与防范、事故应急预案考虑全面，切实可行，操作性强，经济合理得3-5分；项目风险预测与防范、事故应急预案考虑操作性不强得0-3分；不合理或未叙述者不得分。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近3年（2022年7月至响应文件递交截止时间）每承建过1项水利工程施工业绩得2分，最高得6分。注：业绩以中标通知书或合同协议书、陕西省水利建设市场主体信用信息管理平台网页查询结果截图（若有）复印 件/扫描件为准。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项目经理职称及业绩</w:t>
            </w:r>
          </w:p>
        </w:tc>
        <w:tc>
          <w:tcPr>
            <w:tcW w:type="dxa" w:w="2492"/>
          </w:tcPr>
          <w:p>
            <w:pPr>
              <w:pStyle w:val="null3"/>
            </w:pPr>
            <w:r>
              <w:rPr>
                <w:rFonts w:ascii="仿宋_GB2312" w:hAnsi="仿宋_GB2312" w:cs="仿宋_GB2312" w:eastAsia="仿宋_GB2312"/>
              </w:rPr>
              <w:t>1、具有水利相关专业中级及以上技术职称得1分，无职称得0分。 2、近3年内（2022年7月至响应文件递交截止时间）具有担任水利工程施工项目经理业绩得2分，无业绩得0分。（业绩以中标通知书或合同协议书、陕西省水利建设市场主体信用信息管理平台业绩信息查询结果截图（若有）等证明材料里体现其担任项目经理，否则不予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技术负责人职称及业绩</w:t>
            </w:r>
          </w:p>
        </w:tc>
        <w:tc>
          <w:tcPr>
            <w:tcW w:type="dxa" w:w="2492"/>
          </w:tcPr>
          <w:p>
            <w:pPr>
              <w:pStyle w:val="null3"/>
            </w:pPr>
            <w:r>
              <w:rPr>
                <w:rFonts w:ascii="仿宋_GB2312" w:hAnsi="仿宋_GB2312" w:cs="仿宋_GB2312" w:eastAsia="仿宋_GB2312"/>
              </w:rPr>
              <w:t>1、具有水利相关专业中级及以上技术职称得1分； 2、近3年内（2022年7月至响应文件递交截止时间）具有担任水利工程施工技术负责人业绩得2分，无业绩得0分。 （业绩以中标通知书或合同协议书、陕西省水利建设市场主体信用信息管理平台业绩信息查询结果截图（若有）等证明材料里体现其担任技术负责人，否则不予认定。）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其他人员配备</w:t>
            </w:r>
          </w:p>
        </w:tc>
        <w:tc>
          <w:tcPr>
            <w:tcW w:type="dxa" w:w="2492"/>
          </w:tcPr>
          <w:p>
            <w:pPr>
              <w:pStyle w:val="null3"/>
            </w:pPr>
            <w:r>
              <w:rPr>
                <w:rFonts w:ascii="仿宋_GB2312" w:hAnsi="仿宋_GB2312" w:cs="仿宋_GB2312" w:eastAsia="仿宋_GB2312"/>
              </w:rPr>
              <w:t>项目管理机构配备有专职安全员、质量（检）员、施工员、材料员、资料员、造价员均具有相应的从业资格证件的得6分，每有一项岗位不满足要求的扣1分，扣完6分为止。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按照财政部《政府采购竞争性磋商采购方式管理暂行办法》的有关规定，将满足磋商文件要求且最终报价最低的供应商的价格作为磋商基准价，其价格得分为满分。其他供应商的价格分统一按照下列公式计算： 磋商报价得分=(磋商基准价／最终磋商评审价)×30（价格权值）×100 ，磋商委员会认为供应商的报价明显低于其他通过符合性审查供应商的报价，有可能影响产品质量或者不能诚信履约的，应当要求其在评审现场合理的时间内提供书面说明，必要时提交相关证明材料；供应商不能证明其报价合理性的，磋商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详见附件：特定资格证明材料.docx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详见附件：抗旱应急合同条款.docx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