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81B2D">
      <w:pPr>
        <w:pStyle w:val="2"/>
      </w:pPr>
      <w:bookmarkStart w:id="57" w:name="_GoBack"/>
      <w:r>
        <w:rPr>
          <w:rFonts w:hint="eastAsia"/>
        </w:rPr>
        <w:t>拟签订采购合同文本</w:t>
      </w:r>
    </w:p>
    <w:bookmarkEnd w:id="57"/>
    <w:p w14:paraId="69B08193">
      <w:pPr>
        <w:pStyle w:val="6"/>
        <w:widowControl/>
        <w:shd w:val="clear" w:color="auto" w:fill="FFFFFF"/>
        <w:spacing w:beforeAutospacing="0" w:afterAutospacing="0" w:line="360" w:lineRule="auto"/>
        <w:ind w:firstLine="420"/>
        <w:rPr>
          <w:rFonts w:ascii="宋体" w:hAnsi="宋体" w:eastAsia="宋体" w:cs="宋体"/>
          <w:sz w:val="19"/>
          <w:szCs w:val="19"/>
          <w:shd w:val="clear" w:color="auto" w:fill="FFFFFF"/>
        </w:rPr>
      </w:pPr>
    </w:p>
    <w:p w14:paraId="0F954B2C">
      <w:pPr>
        <w:pStyle w:val="2"/>
        <w:spacing w:line="360" w:lineRule="auto"/>
        <w:ind w:left="0"/>
        <w:rPr>
          <w:rFonts w:hint="eastAsia" w:ascii="黑体" w:eastAsia="黑体"/>
          <w:sz w:val="32"/>
        </w:rPr>
      </w:pPr>
      <w:bookmarkStart w:id="0" w:name="_Toc17338"/>
      <w:bookmarkStart w:id="1" w:name="_Toc14376"/>
      <w:bookmarkStart w:id="2" w:name="_Toc7708"/>
      <w:bookmarkStart w:id="3" w:name="_Toc11509"/>
      <w:bookmarkStart w:id="4" w:name="_Toc18384"/>
      <w:r>
        <w:rPr>
          <w:rFonts w:hint="eastAsia" w:ascii="宋体" w:hAnsi="宋体" w:eastAsia="宋体" w:cs="宋体"/>
          <w:b w:val="0"/>
          <w:sz w:val="21"/>
          <w:szCs w:val="21"/>
        </w:rPr>
        <w:t>（合同签订时采购人有权根据供应商竞争性谈判响应文件中的内容及承诺对合同内容进行补充和完善）</w:t>
      </w:r>
      <w:bookmarkEnd w:id="0"/>
      <w:bookmarkEnd w:id="1"/>
      <w:bookmarkEnd w:id="2"/>
      <w:bookmarkEnd w:id="3"/>
      <w:bookmarkEnd w:id="4"/>
    </w:p>
    <w:p w14:paraId="6CE18F4B">
      <w:pPr>
        <w:spacing w:line="360" w:lineRule="auto"/>
        <w:ind w:left="29" w:right="56"/>
        <w:jc w:val="center"/>
        <w:rPr>
          <w:rFonts w:ascii="宋体" w:hAnsi="宋体" w:eastAsia="宋体" w:cs="宋体"/>
          <w:b/>
          <w:sz w:val="19"/>
          <w:szCs w:val="19"/>
        </w:rPr>
      </w:pPr>
    </w:p>
    <w:p w14:paraId="78D9F979">
      <w:pPr>
        <w:spacing w:line="360" w:lineRule="auto"/>
        <w:ind w:left="29" w:right="56"/>
        <w:jc w:val="center"/>
        <w:rPr>
          <w:rFonts w:ascii="宋体" w:hAnsi="宋体" w:eastAsia="宋体" w:cs="宋体"/>
          <w:b/>
          <w:sz w:val="19"/>
          <w:szCs w:val="19"/>
        </w:rPr>
      </w:pPr>
    </w:p>
    <w:p w14:paraId="65B0F022">
      <w:pPr>
        <w:spacing w:line="360" w:lineRule="auto"/>
        <w:ind w:left="29" w:right="56"/>
        <w:jc w:val="center"/>
        <w:rPr>
          <w:rFonts w:ascii="宋体" w:hAnsi="宋体" w:eastAsia="宋体" w:cs="宋体"/>
          <w:b/>
          <w:sz w:val="19"/>
          <w:szCs w:val="19"/>
        </w:rPr>
      </w:pPr>
    </w:p>
    <w:p w14:paraId="2E391202">
      <w:pPr>
        <w:spacing w:line="360" w:lineRule="auto"/>
        <w:ind w:left="29" w:right="56"/>
        <w:jc w:val="center"/>
        <w:rPr>
          <w:rFonts w:ascii="宋体" w:hAnsi="宋体" w:eastAsia="宋体" w:cs="宋体"/>
          <w:b/>
          <w:sz w:val="19"/>
          <w:szCs w:val="19"/>
        </w:rPr>
      </w:pPr>
    </w:p>
    <w:p w14:paraId="698F7619">
      <w:pPr>
        <w:spacing w:line="360" w:lineRule="auto"/>
        <w:jc w:val="center"/>
        <w:rPr>
          <w:rFonts w:ascii="宋体" w:hAnsi="宋体" w:eastAsia="宋体" w:cs="宋体"/>
          <w:b/>
          <w:color w:val="000000"/>
          <w:sz w:val="36"/>
          <w:szCs w:val="36"/>
        </w:rPr>
      </w:pPr>
      <w:r>
        <w:rPr>
          <w:rFonts w:hint="eastAsia" w:ascii="宋体" w:hAnsi="宋体" w:eastAsia="宋体" w:cs="宋体"/>
          <w:b/>
          <w:color w:val="000000"/>
          <w:sz w:val="36"/>
          <w:szCs w:val="36"/>
        </w:rPr>
        <w:t>西安科技大学面向复杂应急情境仿真的脑机</w:t>
      </w:r>
    </w:p>
    <w:p w14:paraId="25D09DB8">
      <w:pPr>
        <w:spacing w:line="360" w:lineRule="auto"/>
        <w:jc w:val="center"/>
        <w:rPr>
          <w:rFonts w:ascii="宋体" w:hAnsi="宋体" w:eastAsia="宋体" w:cs="宋体"/>
          <w:b/>
          <w:color w:val="000000"/>
          <w:sz w:val="36"/>
          <w:szCs w:val="36"/>
        </w:rPr>
      </w:pPr>
      <w:r>
        <w:rPr>
          <w:rFonts w:hint="eastAsia" w:ascii="宋体" w:hAnsi="宋体" w:eastAsia="宋体" w:cs="宋体"/>
          <w:b/>
          <w:color w:val="000000"/>
          <w:sz w:val="36"/>
          <w:szCs w:val="36"/>
        </w:rPr>
        <w:t>协同风险认知实验平台采购项目</w:t>
      </w:r>
    </w:p>
    <w:p w14:paraId="45D216E2">
      <w:pPr>
        <w:spacing w:line="360" w:lineRule="auto"/>
        <w:rPr>
          <w:rFonts w:ascii="宋体" w:hAnsi="宋体" w:eastAsia="宋体" w:cs="宋体"/>
          <w:b/>
          <w:color w:val="000000"/>
          <w:sz w:val="36"/>
          <w:szCs w:val="36"/>
        </w:rPr>
      </w:pPr>
    </w:p>
    <w:p w14:paraId="78C22A81">
      <w:pPr>
        <w:spacing w:line="360" w:lineRule="auto"/>
        <w:rPr>
          <w:rFonts w:ascii="宋体" w:hAnsi="宋体" w:eastAsia="宋体" w:cs="宋体"/>
          <w:b/>
          <w:color w:val="000000"/>
          <w:sz w:val="36"/>
          <w:szCs w:val="36"/>
        </w:rPr>
      </w:pPr>
    </w:p>
    <w:p w14:paraId="512249F4">
      <w:pPr>
        <w:spacing w:line="360" w:lineRule="auto"/>
        <w:jc w:val="center"/>
        <w:rPr>
          <w:rFonts w:ascii="宋体" w:hAnsi="宋体"/>
          <w:b/>
          <w:bCs/>
          <w:color w:val="000000"/>
          <w:sz w:val="84"/>
          <w:szCs w:val="84"/>
        </w:rPr>
      </w:pPr>
      <w:r>
        <w:rPr>
          <w:rFonts w:hint="eastAsia" w:ascii="宋体" w:hAnsi="宋体"/>
          <w:b/>
          <w:bCs/>
          <w:color w:val="000000"/>
          <w:sz w:val="84"/>
          <w:szCs w:val="84"/>
        </w:rPr>
        <w:t>供货合同</w:t>
      </w:r>
    </w:p>
    <w:p w14:paraId="74D44D1A">
      <w:pPr>
        <w:spacing w:line="360" w:lineRule="auto"/>
        <w:ind w:firstLine="2570" w:firstLineChars="800"/>
        <w:rPr>
          <w:rFonts w:ascii="宋体" w:hAnsi="宋体"/>
          <w:b/>
          <w:bCs/>
          <w:color w:val="000000"/>
          <w:sz w:val="32"/>
          <w:szCs w:val="32"/>
          <w:u w:val="single"/>
        </w:rPr>
      </w:pPr>
      <w:r>
        <w:rPr>
          <w:rFonts w:hint="eastAsia" w:ascii="宋体" w:hAnsi="宋体"/>
          <w:b/>
          <w:bCs/>
          <w:color w:val="000000"/>
          <w:sz w:val="32"/>
          <w:szCs w:val="32"/>
        </w:rPr>
        <w:t>项目编号：</w:t>
      </w:r>
      <w:r>
        <w:rPr>
          <w:rFonts w:hint="eastAsia" w:ascii="宋体" w:hAnsi="宋体"/>
          <w:b/>
          <w:bCs/>
          <w:color w:val="000000"/>
          <w:sz w:val="32"/>
          <w:szCs w:val="32"/>
          <w:u w:val="single"/>
        </w:rPr>
        <w:t xml:space="preserve">           </w:t>
      </w:r>
    </w:p>
    <w:p w14:paraId="35782198">
      <w:pPr>
        <w:spacing w:line="360" w:lineRule="auto"/>
        <w:jc w:val="center"/>
        <w:rPr>
          <w:rFonts w:ascii="宋体" w:hAnsi="宋体" w:cs="宋体"/>
          <w:b/>
          <w:bCs/>
          <w:color w:val="000000"/>
          <w:spacing w:val="26"/>
          <w:sz w:val="36"/>
          <w:szCs w:val="36"/>
        </w:rPr>
      </w:pPr>
    </w:p>
    <w:p w14:paraId="70F5FD37">
      <w:pPr>
        <w:spacing w:line="360" w:lineRule="auto"/>
        <w:rPr>
          <w:rFonts w:ascii="宋体" w:hAnsi="宋体"/>
          <w:b/>
          <w:color w:val="000000"/>
          <w:sz w:val="32"/>
          <w:szCs w:val="32"/>
        </w:rPr>
      </w:pPr>
    </w:p>
    <w:p w14:paraId="623A49C6">
      <w:pPr>
        <w:spacing w:line="360" w:lineRule="auto"/>
        <w:rPr>
          <w:rFonts w:ascii="宋体" w:hAnsi="宋体"/>
          <w:b/>
          <w:color w:val="000000"/>
          <w:sz w:val="32"/>
          <w:szCs w:val="32"/>
        </w:rPr>
      </w:pPr>
    </w:p>
    <w:p w14:paraId="72BCD72C">
      <w:pPr>
        <w:spacing w:line="360" w:lineRule="auto"/>
        <w:rPr>
          <w:rFonts w:ascii="宋体" w:hAnsi="宋体"/>
          <w:b/>
          <w:color w:val="000000"/>
          <w:sz w:val="32"/>
          <w:szCs w:val="32"/>
        </w:rPr>
      </w:pPr>
    </w:p>
    <w:p w14:paraId="7106FBA2">
      <w:pPr>
        <w:spacing w:line="360" w:lineRule="auto"/>
        <w:rPr>
          <w:rFonts w:ascii="宋体" w:hAnsi="宋体"/>
          <w:b/>
          <w:color w:val="000000"/>
          <w:sz w:val="32"/>
          <w:szCs w:val="32"/>
        </w:rPr>
      </w:pPr>
    </w:p>
    <w:p w14:paraId="48B69F29">
      <w:pPr>
        <w:spacing w:line="360" w:lineRule="auto"/>
        <w:jc w:val="center"/>
        <w:rPr>
          <w:rFonts w:ascii="宋体" w:hAnsi="宋体" w:eastAsia="宋体" w:cs="宋体"/>
          <w:b/>
          <w:bCs/>
          <w:color w:val="000000"/>
          <w:sz w:val="32"/>
          <w:szCs w:val="32"/>
        </w:rPr>
      </w:pPr>
      <w:r>
        <w:rPr>
          <w:rFonts w:hint="eastAsia" w:ascii="宋体" w:hAnsi="宋体" w:cs="宋体"/>
          <w:b/>
          <w:bCs/>
          <w:color w:val="000000"/>
          <w:sz w:val="32"/>
          <w:szCs w:val="32"/>
        </w:rPr>
        <w:t>甲方：西安科技大学</w:t>
      </w:r>
    </w:p>
    <w:p w14:paraId="4191ED30">
      <w:pPr>
        <w:ind w:firstLine="2891" w:firstLineChars="900"/>
        <w:rPr>
          <w:rFonts w:ascii="宋体" w:hAnsi="宋体"/>
          <w:b/>
          <w:bCs/>
          <w:color w:val="000000"/>
          <w:sz w:val="32"/>
          <w:szCs w:val="32"/>
        </w:rPr>
      </w:pPr>
      <w:r>
        <w:rPr>
          <w:rFonts w:hint="eastAsia" w:ascii="宋体" w:hAnsi="宋体" w:cs="宋体"/>
          <w:b/>
          <w:bCs/>
          <w:color w:val="000000"/>
          <w:sz w:val="32"/>
          <w:szCs w:val="32"/>
        </w:rPr>
        <w:t>乙方：</w:t>
      </w:r>
      <w:r>
        <w:rPr>
          <w:rFonts w:hint="eastAsia" w:ascii="宋体" w:hAnsi="宋体"/>
          <w:b/>
          <w:bCs/>
          <w:color w:val="000000"/>
          <w:sz w:val="32"/>
          <w:szCs w:val="32"/>
          <w:u w:val="single"/>
        </w:rPr>
        <w:t xml:space="preserve">            </w:t>
      </w:r>
    </w:p>
    <w:p w14:paraId="59B5DD4B">
      <w:pPr>
        <w:spacing w:line="360" w:lineRule="auto"/>
        <w:jc w:val="center"/>
        <w:rPr>
          <w:rFonts w:ascii="宋体" w:hAnsi="宋体" w:cs="宋体"/>
          <w:b/>
          <w:bCs/>
          <w:color w:val="000000"/>
          <w:spacing w:val="26"/>
          <w:sz w:val="30"/>
          <w:szCs w:val="30"/>
        </w:rPr>
      </w:pPr>
    </w:p>
    <w:p w14:paraId="564CBA17">
      <w:pPr>
        <w:spacing w:line="360" w:lineRule="auto"/>
        <w:jc w:val="center"/>
        <w:rPr>
          <w:rFonts w:ascii="宋体" w:hAnsi="宋体" w:cs="宋体"/>
          <w:b/>
          <w:bCs/>
          <w:color w:val="000000"/>
          <w:spacing w:val="26"/>
          <w:sz w:val="30"/>
          <w:szCs w:val="30"/>
        </w:rPr>
      </w:pPr>
      <w:r>
        <w:rPr>
          <w:rFonts w:hint="eastAsia" w:ascii="宋体" w:hAnsi="宋体" w:cs="宋体"/>
          <w:b/>
          <w:bCs/>
          <w:color w:val="000000"/>
          <w:spacing w:val="26"/>
          <w:sz w:val="30"/>
          <w:szCs w:val="30"/>
        </w:rPr>
        <w:t>二〇二五年</w:t>
      </w:r>
      <w:r>
        <w:rPr>
          <w:rFonts w:hint="eastAsia" w:ascii="宋体" w:hAnsi="宋体" w:cs="宋体"/>
          <w:b/>
          <w:bCs/>
          <w:color w:val="000000"/>
          <w:spacing w:val="26"/>
          <w:sz w:val="30"/>
          <w:szCs w:val="30"/>
          <w:u w:val="single"/>
        </w:rPr>
        <w:t xml:space="preserve">  </w:t>
      </w:r>
      <w:r>
        <w:rPr>
          <w:rFonts w:hint="eastAsia" w:ascii="宋体" w:hAnsi="宋体" w:cs="宋体"/>
          <w:b/>
          <w:bCs/>
          <w:color w:val="000000"/>
          <w:spacing w:val="26"/>
          <w:sz w:val="30"/>
          <w:szCs w:val="30"/>
        </w:rPr>
        <w:t>月</w:t>
      </w:r>
      <w:r>
        <w:rPr>
          <w:rFonts w:hint="eastAsia" w:ascii="宋体" w:hAnsi="宋体" w:cs="宋体"/>
          <w:b/>
          <w:bCs/>
          <w:color w:val="000000"/>
          <w:spacing w:val="26"/>
          <w:sz w:val="30"/>
          <w:szCs w:val="30"/>
          <w:u w:val="single"/>
        </w:rPr>
        <w:t xml:space="preserve">  </w:t>
      </w:r>
      <w:r>
        <w:rPr>
          <w:rFonts w:hint="eastAsia" w:ascii="宋体" w:hAnsi="宋体" w:cs="宋体"/>
          <w:b/>
          <w:bCs/>
          <w:color w:val="000000"/>
          <w:spacing w:val="26"/>
          <w:sz w:val="30"/>
          <w:szCs w:val="30"/>
        </w:rPr>
        <w:t>日</w:t>
      </w:r>
    </w:p>
    <w:p w14:paraId="724E26B3">
      <w:pPr>
        <w:spacing w:line="360" w:lineRule="auto"/>
        <w:jc w:val="center"/>
        <w:rPr>
          <w:rFonts w:ascii="宋体" w:hAnsi="宋体"/>
          <w:b/>
          <w:color w:val="000000"/>
          <w:sz w:val="44"/>
          <w:szCs w:val="44"/>
        </w:rPr>
        <w:sectPr>
          <w:footerReference r:id="rId5" w:type="first"/>
          <w:headerReference r:id="rId3" w:type="default"/>
          <w:footerReference r:id="rId4" w:type="default"/>
          <w:pgSz w:w="11906" w:h="16838"/>
          <w:pgMar w:top="1440" w:right="1576" w:bottom="1440" w:left="1576" w:header="851" w:footer="992" w:gutter="0"/>
          <w:pgNumType w:start="63"/>
          <w:cols w:space="720" w:num="1"/>
          <w:titlePg/>
          <w:docGrid w:type="lines" w:linePitch="312" w:charSpace="0"/>
        </w:sectPr>
      </w:pPr>
    </w:p>
    <w:p w14:paraId="1F5E3C63">
      <w:pPr>
        <w:shd w:val="clear" w:color="auto" w:fill="FFFFFF"/>
        <w:adjustRightInd w:val="0"/>
        <w:snapToGrid w:val="0"/>
        <w:spacing w:line="360" w:lineRule="auto"/>
        <w:ind w:firstLine="482" w:firstLineChars="200"/>
        <w:rPr>
          <w:rFonts w:ascii="宋体" w:hAnsi="宋体" w:eastAsia="宋体" w:cs="宋体"/>
          <w:b/>
          <w:color w:val="000000"/>
          <w:sz w:val="24"/>
        </w:rPr>
      </w:pPr>
      <w:r>
        <w:rPr>
          <w:rFonts w:hint="eastAsia" w:ascii="宋体" w:hAnsi="宋体" w:eastAsia="宋体" w:cs="宋体"/>
          <w:b/>
          <w:bCs/>
          <w:color w:val="000000"/>
          <w:sz w:val="24"/>
        </w:rPr>
        <w:t>甲方：西安科技大学</w:t>
      </w:r>
    </w:p>
    <w:p w14:paraId="1D4C0179">
      <w:pPr>
        <w:shd w:val="clear" w:color="auto" w:fill="FFFFFF"/>
        <w:adjustRightInd w:val="0"/>
        <w:snapToGrid w:val="0"/>
        <w:spacing w:line="360" w:lineRule="auto"/>
        <w:ind w:firstLine="482" w:firstLineChars="200"/>
        <w:rPr>
          <w:rFonts w:ascii="宋体" w:hAnsi="宋体" w:eastAsia="宋体" w:cs="宋体"/>
          <w:b/>
          <w:bCs/>
          <w:color w:val="000000"/>
          <w:sz w:val="24"/>
        </w:rPr>
      </w:pPr>
      <w:r>
        <w:rPr>
          <w:rFonts w:hint="eastAsia" w:ascii="宋体" w:hAnsi="宋体" w:eastAsia="宋体" w:cs="宋体"/>
          <w:b/>
          <w:bCs/>
          <w:color w:val="000000"/>
          <w:sz w:val="24"/>
        </w:rPr>
        <w:t>乙方：</w:t>
      </w:r>
      <w:r>
        <w:rPr>
          <w:rFonts w:hint="eastAsia" w:ascii="宋体" w:hAnsi="宋体" w:eastAsia="宋体" w:cs="宋体"/>
          <w:bCs/>
          <w:color w:val="000000"/>
          <w:sz w:val="24"/>
          <w:u w:val="single"/>
        </w:rPr>
        <w:t xml:space="preserve">            </w:t>
      </w:r>
    </w:p>
    <w:p w14:paraId="65BDAAA1">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依据《中华人民共和国民法典》与项目行业有关的法律法规，以及</w:t>
      </w:r>
      <w:r>
        <w:rPr>
          <w:rFonts w:hint="eastAsia" w:ascii="宋体" w:hAnsi="宋体" w:eastAsia="宋体" w:cs="宋体"/>
          <w:color w:val="000000"/>
          <w:sz w:val="24"/>
          <w:u w:val="single"/>
        </w:rPr>
        <w:t>西安科技大学面向复杂应急情境仿真的脑机协同风险认知实验平台采购项目</w:t>
      </w:r>
      <w:r>
        <w:rPr>
          <w:rFonts w:hint="eastAsia" w:ascii="宋体" w:hAnsi="宋体" w:eastAsia="宋体" w:cs="宋体"/>
          <w:color w:val="000000"/>
          <w:sz w:val="24"/>
        </w:rPr>
        <w:t>（项目编号：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）的《</w:t>
      </w:r>
      <w:r>
        <w:rPr>
          <w:rFonts w:hint="eastAsia" w:ascii="宋体" w:hAnsi="宋体" w:cs="宋体"/>
          <w:color w:val="000000"/>
          <w:sz w:val="24"/>
        </w:rPr>
        <w:t>谈判文件</w:t>
      </w:r>
      <w:r>
        <w:rPr>
          <w:rFonts w:hint="eastAsia" w:ascii="宋体" w:hAnsi="宋体" w:eastAsia="宋体" w:cs="宋体"/>
          <w:color w:val="000000"/>
          <w:sz w:val="24"/>
        </w:rPr>
        <w:t>》，乙方的《</w:t>
      </w:r>
      <w:r>
        <w:rPr>
          <w:rFonts w:hint="eastAsia" w:ascii="宋体" w:hAnsi="宋体" w:cs="宋体"/>
          <w:color w:val="000000"/>
          <w:sz w:val="24"/>
        </w:rPr>
        <w:t>响应文件</w:t>
      </w:r>
      <w:r>
        <w:rPr>
          <w:rFonts w:hint="eastAsia" w:ascii="宋体" w:hAnsi="宋体" w:eastAsia="宋体" w:cs="宋体"/>
          <w:color w:val="000000"/>
          <w:sz w:val="24"/>
        </w:rPr>
        <w:t>》及《</w:t>
      </w:r>
      <w:r>
        <w:rPr>
          <w:rFonts w:hint="eastAsia" w:ascii="宋体" w:hAnsi="宋体" w:cs="宋体"/>
          <w:color w:val="000000"/>
          <w:sz w:val="24"/>
        </w:rPr>
        <w:t>成交通知书</w:t>
      </w:r>
      <w:r>
        <w:rPr>
          <w:rFonts w:hint="eastAsia" w:ascii="宋体" w:hAnsi="宋体" w:eastAsia="宋体" w:cs="宋体"/>
          <w:color w:val="000000"/>
          <w:sz w:val="24"/>
        </w:rPr>
        <w:t>》，甲、乙双方同意签订本合同。详细技术说明及其他有关合同项目的特定信息由合同附件予以说明，合同附件及本项目的《</w:t>
      </w:r>
      <w:r>
        <w:rPr>
          <w:rFonts w:hint="eastAsia" w:ascii="宋体" w:hAnsi="宋体" w:cs="宋体"/>
          <w:color w:val="000000"/>
          <w:sz w:val="24"/>
        </w:rPr>
        <w:t>谈判文件》《响应文件》《成交通知书</w:t>
      </w:r>
      <w:r>
        <w:rPr>
          <w:rFonts w:hint="eastAsia" w:ascii="宋体" w:hAnsi="宋体" w:eastAsia="宋体" w:cs="宋体"/>
          <w:color w:val="000000"/>
          <w:sz w:val="24"/>
        </w:rPr>
        <w:t>》等均为本合同的组成部分。</w:t>
      </w:r>
    </w:p>
    <w:p w14:paraId="58616D28">
      <w:pPr>
        <w:numPr>
          <w:ilvl w:val="0"/>
          <w:numId w:val="1"/>
        </w:numPr>
        <w:spacing w:line="360" w:lineRule="auto"/>
        <w:rPr>
          <w:rFonts w:ascii="宋体" w:hAnsi="宋体" w:eastAsia="宋体" w:cs="宋体"/>
          <w:b/>
          <w:color w:val="000000"/>
          <w:sz w:val="24"/>
        </w:rPr>
      </w:pPr>
      <w:r>
        <w:rPr>
          <w:rFonts w:hint="eastAsia" w:ascii="宋体" w:hAnsi="宋体" w:eastAsia="宋体" w:cs="宋体"/>
          <w:b/>
          <w:color w:val="000000"/>
          <w:sz w:val="24"/>
        </w:rPr>
        <w:t>项目基本情况</w:t>
      </w:r>
    </w:p>
    <w:p w14:paraId="2F604AE0">
      <w:pPr>
        <w:spacing w:line="360" w:lineRule="auto"/>
        <w:ind w:firstLine="480" w:firstLineChars="200"/>
        <w:rPr>
          <w:rFonts w:ascii="宋体" w:hAnsi="宋体" w:eastAsia="宋体" w:cs="宋体"/>
          <w:b/>
          <w:color w:val="000000"/>
          <w:sz w:val="24"/>
          <w:u w:val="single"/>
        </w:rPr>
      </w:pPr>
      <w:r>
        <w:rPr>
          <w:rFonts w:hint="eastAsia" w:ascii="宋体" w:hAnsi="宋体" w:cs="宋体"/>
          <w:color w:val="000000"/>
          <w:sz w:val="24"/>
        </w:rPr>
        <w:t>本项目拟采购1套多场耦合复合致裂增透三轴实验系统。</w:t>
      </w:r>
    </w:p>
    <w:p w14:paraId="3241BA33">
      <w:pPr>
        <w:numPr>
          <w:ilvl w:val="0"/>
          <w:numId w:val="1"/>
        </w:numPr>
        <w:spacing w:line="360" w:lineRule="auto"/>
        <w:rPr>
          <w:rFonts w:ascii="宋体" w:hAnsi="宋体" w:eastAsia="宋体" w:cs="宋体"/>
          <w:b/>
          <w:color w:val="000000"/>
          <w:sz w:val="24"/>
        </w:rPr>
      </w:pPr>
      <w:bookmarkStart w:id="5" w:name="_Toc283019214"/>
      <w:bookmarkStart w:id="6" w:name="_Toc239233914"/>
      <w:bookmarkStart w:id="7" w:name="_Toc225654644"/>
      <w:bookmarkStart w:id="8" w:name="_Toc211854449"/>
      <w:bookmarkStart w:id="9" w:name="_Toc212019594"/>
      <w:bookmarkStart w:id="10" w:name="_Toc225670751"/>
      <w:bookmarkStart w:id="11" w:name="_Toc225244852"/>
      <w:bookmarkStart w:id="12" w:name="_Toc237145406"/>
      <w:bookmarkStart w:id="13" w:name="_Toc239568418"/>
      <w:bookmarkStart w:id="14" w:name="_Toc241833903"/>
      <w:bookmarkStart w:id="15" w:name="_Toc185395249"/>
      <w:bookmarkStart w:id="16" w:name="_Toc251768862"/>
      <w:bookmarkStart w:id="17" w:name="_Toc282696226"/>
      <w:bookmarkStart w:id="18" w:name="_Toc232492928"/>
      <w:bookmarkStart w:id="19" w:name="_Toc238984975"/>
      <w:bookmarkStart w:id="20" w:name="_Toc211911348"/>
      <w:bookmarkStart w:id="21" w:name="_Toc247334841"/>
      <w:bookmarkStart w:id="22" w:name="_Toc286993786"/>
      <w:r>
        <w:rPr>
          <w:rFonts w:hint="eastAsia" w:ascii="宋体" w:hAnsi="宋体" w:eastAsia="宋体" w:cs="宋体"/>
          <w:b/>
          <w:color w:val="000000"/>
          <w:sz w:val="24"/>
        </w:rPr>
        <w:t>合同内容</w:t>
      </w:r>
    </w:p>
    <w:tbl>
      <w:tblPr>
        <w:tblStyle w:val="7"/>
        <w:tblW w:w="87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
        <w:gridCol w:w="1030"/>
        <w:gridCol w:w="1100"/>
        <w:gridCol w:w="1129"/>
        <w:gridCol w:w="1121"/>
        <w:gridCol w:w="980"/>
        <w:gridCol w:w="1584"/>
        <w:gridCol w:w="1235"/>
      </w:tblGrid>
      <w:tr w14:paraId="5D51A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jc w:val="center"/>
        </w:trPr>
        <w:tc>
          <w:tcPr>
            <w:tcW w:w="535" w:type="dxa"/>
            <w:tcBorders>
              <w:top w:val="single" w:color="auto" w:sz="4" w:space="0"/>
              <w:left w:val="single" w:color="auto" w:sz="4" w:space="0"/>
              <w:bottom w:val="single" w:color="auto" w:sz="4" w:space="0"/>
              <w:right w:val="single" w:color="auto" w:sz="4" w:space="0"/>
            </w:tcBorders>
            <w:vAlign w:val="center"/>
          </w:tcPr>
          <w:p w14:paraId="387B463D">
            <w:pPr>
              <w:pStyle w:val="3"/>
              <w:spacing w:line="348" w:lineRule="auto"/>
              <w:jc w:val="center"/>
              <w:rPr>
                <w:rFonts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序号</w:t>
            </w:r>
          </w:p>
        </w:tc>
        <w:tc>
          <w:tcPr>
            <w:tcW w:w="1030" w:type="dxa"/>
            <w:tcBorders>
              <w:top w:val="single" w:color="auto" w:sz="4" w:space="0"/>
              <w:left w:val="single" w:color="auto" w:sz="4" w:space="0"/>
              <w:bottom w:val="single" w:color="auto" w:sz="4" w:space="0"/>
              <w:right w:val="single" w:color="auto" w:sz="4" w:space="0"/>
            </w:tcBorders>
            <w:vAlign w:val="center"/>
          </w:tcPr>
          <w:p w14:paraId="70E7F5E4">
            <w:pPr>
              <w:pStyle w:val="3"/>
              <w:spacing w:line="348" w:lineRule="auto"/>
              <w:jc w:val="center"/>
              <w:rPr>
                <w:rFonts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品目</w:t>
            </w:r>
          </w:p>
          <w:p w14:paraId="21AA9475">
            <w:pPr>
              <w:pStyle w:val="3"/>
              <w:spacing w:line="348" w:lineRule="auto"/>
              <w:jc w:val="center"/>
              <w:rPr>
                <w:rFonts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名称</w:t>
            </w:r>
          </w:p>
        </w:tc>
        <w:tc>
          <w:tcPr>
            <w:tcW w:w="1100" w:type="dxa"/>
            <w:tcBorders>
              <w:top w:val="single" w:color="auto" w:sz="4" w:space="0"/>
              <w:left w:val="single" w:color="auto" w:sz="4" w:space="0"/>
              <w:bottom w:val="single" w:color="auto" w:sz="4" w:space="0"/>
              <w:right w:val="single" w:color="auto" w:sz="4" w:space="0"/>
            </w:tcBorders>
            <w:vAlign w:val="center"/>
          </w:tcPr>
          <w:p w14:paraId="1D2185AE">
            <w:pPr>
              <w:pStyle w:val="3"/>
              <w:spacing w:line="348" w:lineRule="auto"/>
              <w:jc w:val="center"/>
              <w:rPr>
                <w:rFonts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品牌、</w:t>
            </w:r>
          </w:p>
          <w:p w14:paraId="1614A0B5">
            <w:pPr>
              <w:pStyle w:val="3"/>
              <w:spacing w:line="348" w:lineRule="auto"/>
              <w:jc w:val="center"/>
              <w:rPr>
                <w:rFonts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型号</w:t>
            </w:r>
          </w:p>
        </w:tc>
        <w:tc>
          <w:tcPr>
            <w:tcW w:w="1129" w:type="dxa"/>
            <w:tcBorders>
              <w:top w:val="single" w:color="auto" w:sz="4" w:space="0"/>
              <w:left w:val="single" w:color="auto" w:sz="4" w:space="0"/>
              <w:bottom w:val="single" w:color="auto" w:sz="4" w:space="0"/>
              <w:right w:val="single" w:color="auto" w:sz="4" w:space="0"/>
            </w:tcBorders>
            <w:vAlign w:val="center"/>
          </w:tcPr>
          <w:p w14:paraId="0DE73917">
            <w:pPr>
              <w:spacing w:line="348" w:lineRule="auto"/>
              <w:jc w:val="center"/>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配置</w:t>
            </w:r>
          </w:p>
          <w:p w14:paraId="6E7298CB">
            <w:pPr>
              <w:spacing w:line="348" w:lineRule="auto"/>
              <w:jc w:val="center"/>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清单</w:t>
            </w:r>
          </w:p>
        </w:tc>
        <w:tc>
          <w:tcPr>
            <w:tcW w:w="1121" w:type="dxa"/>
            <w:tcBorders>
              <w:top w:val="single" w:color="auto" w:sz="4" w:space="0"/>
              <w:left w:val="single" w:color="auto" w:sz="4" w:space="0"/>
              <w:bottom w:val="single" w:color="auto" w:sz="4" w:space="0"/>
              <w:right w:val="single" w:color="auto" w:sz="4" w:space="0"/>
            </w:tcBorders>
            <w:vAlign w:val="center"/>
          </w:tcPr>
          <w:p w14:paraId="00C829A1">
            <w:pPr>
              <w:spacing w:line="348" w:lineRule="auto"/>
              <w:jc w:val="center"/>
              <w:rPr>
                <w:rFonts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品牌、</w:t>
            </w:r>
          </w:p>
          <w:p w14:paraId="29890443">
            <w:pPr>
              <w:spacing w:line="348" w:lineRule="auto"/>
              <w:jc w:val="center"/>
              <w:rPr>
                <w:rFonts w:ascii="宋体"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型号</w:t>
            </w:r>
          </w:p>
        </w:tc>
        <w:tc>
          <w:tcPr>
            <w:tcW w:w="980" w:type="dxa"/>
            <w:tcBorders>
              <w:top w:val="single" w:color="auto" w:sz="4" w:space="0"/>
              <w:left w:val="single" w:color="auto" w:sz="4" w:space="0"/>
              <w:bottom w:val="single" w:color="auto" w:sz="4" w:space="0"/>
              <w:right w:val="single" w:color="auto" w:sz="4" w:space="0"/>
            </w:tcBorders>
            <w:vAlign w:val="center"/>
          </w:tcPr>
          <w:p w14:paraId="5D30986A">
            <w:pPr>
              <w:spacing w:line="348" w:lineRule="auto"/>
              <w:jc w:val="center"/>
              <w:rPr>
                <w:rFonts w:ascii="宋体" w:hAnsi="宋体" w:cs="宋体"/>
                <w:b/>
                <w:bCs/>
                <w:color w:val="000000" w:themeColor="text1"/>
                <w:sz w:val="24"/>
                <w14:textFill>
                  <w14:solidFill>
                    <w14:schemeClr w14:val="tx1"/>
                  </w14:solidFill>
                </w14:textFill>
              </w:rPr>
            </w:pPr>
            <w:r>
              <w:rPr>
                <w:rFonts w:hint="eastAsia" w:ascii="宋体" w:hAnsi="宋体" w:cs="宋体"/>
                <w:b/>
                <w:bCs/>
                <w:color w:val="000000" w:themeColor="text1"/>
                <w:sz w:val="24"/>
                <w14:textFill>
                  <w14:solidFill>
                    <w14:schemeClr w14:val="tx1"/>
                  </w14:solidFill>
                </w14:textFill>
              </w:rPr>
              <w:t>数量/单位</w:t>
            </w:r>
          </w:p>
        </w:tc>
        <w:tc>
          <w:tcPr>
            <w:tcW w:w="1584" w:type="dxa"/>
            <w:tcBorders>
              <w:top w:val="single" w:color="auto" w:sz="4" w:space="0"/>
              <w:left w:val="single" w:color="auto" w:sz="4" w:space="0"/>
              <w:bottom w:val="single" w:color="auto" w:sz="4" w:space="0"/>
              <w:right w:val="single" w:color="auto" w:sz="4" w:space="0"/>
            </w:tcBorders>
            <w:vAlign w:val="center"/>
          </w:tcPr>
          <w:p w14:paraId="64F0CA12">
            <w:pPr>
              <w:pStyle w:val="3"/>
              <w:spacing w:line="348" w:lineRule="auto"/>
              <w:jc w:val="center"/>
              <w:rPr>
                <w:rFonts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总价（元）</w:t>
            </w:r>
          </w:p>
        </w:tc>
        <w:tc>
          <w:tcPr>
            <w:tcW w:w="1235" w:type="dxa"/>
            <w:tcBorders>
              <w:top w:val="single" w:color="auto" w:sz="4" w:space="0"/>
              <w:left w:val="single" w:color="auto" w:sz="4" w:space="0"/>
              <w:bottom w:val="single" w:color="auto" w:sz="4" w:space="0"/>
              <w:right w:val="single" w:color="auto" w:sz="4" w:space="0"/>
            </w:tcBorders>
            <w:vAlign w:val="center"/>
          </w:tcPr>
          <w:p w14:paraId="3EFB4C84">
            <w:pPr>
              <w:pStyle w:val="3"/>
              <w:spacing w:line="348" w:lineRule="auto"/>
              <w:jc w:val="center"/>
              <w:rPr>
                <w:rFonts w:hAnsi="宋体" w:cs="宋体"/>
                <w:b/>
                <w:bCs/>
                <w:color w:val="000000" w:themeColor="text1"/>
                <w:sz w:val="24"/>
                <w14:textFill>
                  <w14:solidFill>
                    <w14:schemeClr w14:val="tx1"/>
                  </w14:solidFill>
                </w14:textFill>
              </w:rPr>
            </w:pPr>
            <w:r>
              <w:rPr>
                <w:rFonts w:hint="eastAsia" w:hAnsi="宋体" w:cs="宋体"/>
                <w:b/>
                <w:bCs/>
                <w:color w:val="000000" w:themeColor="text1"/>
                <w:sz w:val="24"/>
                <w14:textFill>
                  <w14:solidFill>
                    <w14:schemeClr w14:val="tx1"/>
                  </w14:solidFill>
                </w14:textFill>
              </w:rPr>
              <w:t>备注</w:t>
            </w:r>
          </w:p>
        </w:tc>
      </w:tr>
      <w:tr w14:paraId="6857E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35" w:type="dxa"/>
            <w:vMerge w:val="restart"/>
            <w:tcBorders>
              <w:top w:val="single" w:color="auto" w:sz="4" w:space="0"/>
              <w:left w:val="single" w:color="auto" w:sz="4" w:space="0"/>
              <w:right w:val="single" w:color="auto" w:sz="4" w:space="0"/>
            </w:tcBorders>
            <w:vAlign w:val="center"/>
          </w:tcPr>
          <w:p w14:paraId="7F896E4A">
            <w:pPr>
              <w:adjustRightInd w:val="0"/>
              <w:snapToGrid w:val="0"/>
              <w:spacing w:line="348" w:lineRule="auto"/>
              <w:jc w:val="center"/>
              <w:rPr>
                <w:rFonts w:ascii="宋体" w:hAnsi="宋体" w:cs="宋体"/>
                <w:color w:val="000000" w:themeColor="text1"/>
                <w:sz w:val="24"/>
                <w14:textFill>
                  <w14:solidFill>
                    <w14:schemeClr w14:val="tx1"/>
                  </w14:solidFill>
                </w14:textFill>
              </w:rPr>
            </w:pPr>
            <w:r>
              <w:rPr>
                <w:rFonts w:hint="eastAsia" w:ascii="宋体" w:hAnsi="宋体" w:eastAsia="宋体" w:cs="宋体"/>
                <w:color w:val="000000" w:themeColor="text1"/>
                <w:sz w:val="24"/>
                <w:shd w:val="clear" w:color="auto" w:fill="FFFFFF"/>
                <w14:textFill>
                  <w14:solidFill>
                    <w14:schemeClr w14:val="tx1"/>
                  </w14:solidFill>
                </w14:textFill>
              </w:rPr>
              <w:t>1</w:t>
            </w:r>
          </w:p>
        </w:tc>
        <w:tc>
          <w:tcPr>
            <w:tcW w:w="1030" w:type="dxa"/>
            <w:vMerge w:val="restart"/>
            <w:tcBorders>
              <w:top w:val="single" w:color="auto" w:sz="4" w:space="0"/>
              <w:left w:val="single" w:color="auto" w:sz="4" w:space="0"/>
              <w:right w:val="single" w:color="auto" w:sz="4" w:space="0"/>
            </w:tcBorders>
            <w:vAlign w:val="center"/>
          </w:tcPr>
          <w:p w14:paraId="4C3AEA98">
            <w:pPr>
              <w:adjustRightInd w:val="0"/>
              <w:snapToGrid w:val="0"/>
              <w:spacing w:line="348" w:lineRule="auto"/>
              <w:jc w:val="center"/>
              <w:rPr>
                <w:rFonts w:ascii="宋体" w:hAnsi="宋体" w:cs="宋体"/>
                <w:color w:val="000000" w:themeColor="text1"/>
                <w:sz w:val="24"/>
                <w14:textFill>
                  <w14:solidFill>
                    <w14:schemeClr w14:val="tx1"/>
                  </w14:solidFill>
                </w14:textFill>
              </w:rPr>
            </w:pPr>
            <w:r>
              <w:rPr>
                <w:rFonts w:hint="eastAsia" w:ascii="宋体" w:hAnsi="宋体" w:cs="宋体"/>
                <w:color w:val="000000"/>
                <w:sz w:val="24"/>
              </w:rPr>
              <w:t>多场耦合复合致裂增透三轴实验系统</w:t>
            </w:r>
          </w:p>
        </w:tc>
        <w:tc>
          <w:tcPr>
            <w:tcW w:w="1100" w:type="dxa"/>
            <w:vMerge w:val="restart"/>
            <w:tcBorders>
              <w:top w:val="single" w:color="auto" w:sz="4" w:space="0"/>
              <w:left w:val="single" w:color="auto" w:sz="4" w:space="0"/>
              <w:right w:val="single" w:color="auto" w:sz="4" w:space="0"/>
            </w:tcBorders>
            <w:vAlign w:val="center"/>
          </w:tcPr>
          <w:p w14:paraId="3A5302BC">
            <w:pPr>
              <w:widowControl/>
              <w:spacing w:line="348" w:lineRule="auto"/>
              <w:jc w:val="center"/>
              <w:rPr>
                <w:rFonts w:ascii="宋体" w:hAnsi="宋体" w:cs="宋体"/>
                <w:color w:val="000000" w:themeColor="text1"/>
                <w:sz w:val="24"/>
                <w14:textFill>
                  <w14:solidFill>
                    <w14:schemeClr w14:val="tx1"/>
                  </w14:solidFill>
                </w14:textFill>
              </w:rPr>
            </w:pPr>
          </w:p>
        </w:tc>
        <w:tc>
          <w:tcPr>
            <w:tcW w:w="1129" w:type="dxa"/>
            <w:tcBorders>
              <w:top w:val="single" w:color="auto" w:sz="4" w:space="0"/>
              <w:left w:val="single" w:color="auto" w:sz="4" w:space="0"/>
              <w:bottom w:val="single" w:color="auto" w:sz="4" w:space="0"/>
              <w:right w:val="single" w:color="auto" w:sz="4" w:space="0"/>
            </w:tcBorders>
            <w:vAlign w:val="center"/>
          </w:tcPr>
          <w:p w14:paraId="54A79A06">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121" w:type="dxa"/>
            <w:tcBorders>
              <w:top w:val="single" w:color="auto" w:sz="4" w:space="0"/>
              <w:left w:val="single" w:color="auto" w:sz="4" w:space="0"/>
              <w:bottom w:val="single" w:color="auto" w:sz="4" w:space="0"/>
              <w:right w:val="single" w:color="auto" w:sz="4" w:space="0"/>
            </w:tcBorders>
            <w:vAlign w:val="center"/>
          </w:tcPr>
          <w:p w14:paraId="7D5E9E7D">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980" w:type="dxa"/>
            <w:tcBorders>
              <w:top w:val="single" w:color="auto" w:sz="4" w:space="0"/>
              <w:left w:val="single" w:color="auto" w:sz="4" w:space="0"/>
              <w:bottom w:val="single" w:color="auto" w:sz="4" w:space="0"/>
              <w:right w:val="single" w:color="auto" w:sz="4" w:space="0"/>
            </w:tcBorders>
            <w:vAlign w:val="center"/>
          </w:tcPr>
          <w:p w14:paraId="33887AB7">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584" w:type="dxa"/>
            <w:tcBorders>
              <w:top w:val="single" w:color="auto" w:sz="4" w:space="0"/>
              <w:left w:val="single" w:color="auto" w:sz="4" w:space="0"/>
              <w:bottom w:val="single" w:color="auto" w:sz="4" w:space="0"/>
              <w:right w:val="single" w:color="auto" w:sz="4" w:space="0"/>
            </w:tcBorders>
            <w:vAlign w:val="center"/>
          </w:tcPr>
          <w:p w14:paraId="65FF78E5">
            <w:pPr>
              <w:widowControl/>
              <w:spacing w:line="348" w:lineRule="auto"/>
              <w:jc w:val="center"/>
              <w:rPr>
                <w:rFonts w:ascii="宋体" w:hAnsi="宋体" w:cs="宋体"/>
                <w:color w:val="000000" w:themeColor="text1"/>
                <w:sz w:val="24"/>
                <w14:textFill>
                  <w14:solidFill>
                    <w14:schemeClr w14:val="tx1"/>
                  </w14:solidFill>
                </w14:textFill>
              </w:rPr>
            </w:pPr>
          </w:p>
        </w:tc>
        <w:tc>
          <w:tcPr>
            <w:tcW w:w="1235" w:type="dxa"/>
            <w:tcBorders>
              <w:top w:val="single" w:color="auto" w:sz="4" w:space="0"/>
              <w:left w:val="single" w:color="auto" w:sz="4" w:space="0"/>
              <w:bottom w:val="single" w:color="auto" w:sz="4" w:space="0"/>
              <w:right w:val="single" w:color="auto" w:sz="4" w:space="0"/>
            </w:tcBorders>
            <w:vAlign w:val="center"/>
          </w:tcPr>
          <w:p w14:paraId="575971C4">
            <w:pPr>
              <w:widowControl/>
              <w:spacing w:line="348" w:lineRule="auto"/>
              <w:jc w:val="center"/>
              <w:rPr>
                <w:rFonts w:ascii="宋体" w:hAnsi="宋体" w:cs="宋体"/>
                <w:color w:val="000000" w:themeColor="text1"/>
                <w:sz w:val="24"/>
                <w14:textFill>
                  <w14:solidFill>
                    <w14:schemeClr w14:val="tx1"/>
                  </w14:solidFill>
                </w14:textFill>
              </w:rPr>
            </w:pPr>
          </w:p>
        </w:tc>
      </w:tr>
      <w:tr w14:paraId="32CC1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35" w:type="dxa"/>
            <w:vMerge w:val="continue"/>
            <w:tcBorders>
              <w:left w:val="single" w:color="auto" w:sz="4" w:space="0"/>
              <w:right w:val="single" w:color="auto" w:sz="4" w:space="0"/>
            </w:tcBorders>
            <w:vAlign w:val="center"/>
          </w:tcPr>
          <w:p w14:paraId="3598B317">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030" w:type="dxa"/>
            <w:vMerge w:val="continue"/>
            <w:tcBorders>
              <w:left w:val="single" w:color="auto" w:sz="4" w:space="0"/>
              <w:right w:val="single" w:color="auto" w:sz="4" w:space="0"/>
            </w:tcBorders>
            <w:vAlign w:val="center"/>
          </w:tcPr>
          <w:p w14:paraId="569EE139">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100" w:type="dxa"/>
            <w:vMerge w:val="continue"/>
            <w:tcBorders>
              <w:left w:val="single" w:color="auto" w:sz="4" w:space="0"/>
              <w:right w:val="single" w:color="auto" w:sz="4" w:space="0"/>
            </w:tcBorders>
            <w:vAlign w:val="center"/>
          </w:tcPr>
          <w:p w14:paraId="38BE1C77">
            <w:pPr>
              <w:widowControl/>
              <w:spacing w:line="348" w:lineRule="auto"/>
              <w:jc w:val="center"/>
              <w:rPr>
                <w:rFonts w:ascii="宋体" w:hAnsi="宋体" w:cs="宋体"/>
                <w:color w:val="000000" w:themeColor="text1"/>
                <w:sz w:val="24"/>
                <w14:textFill>
                  <w14:solidFill>
                    <w14:schemeClr w14:val="tx1"/>
                  </w14:solidFill>
                </w14:textFill>
              </w:rPr>
            </w:pPr>
          </w:p>
        </w:tc>
        <w:tc>
          <w:tcPr>
            <w:tcW w:w="1129" w:type="dxa"/>
            <w:tcBorders>
              <w:top w:val="single" w:color="auto" w:sz="4" w:space="0"/>
              <w:left w:val="single" w:color="auto" w:sz="4" w:space="0"/>
              <w:bottom w:val="single" w:color="auto" w:sz="4" w:space="0"/>
              <w:right w:val="single" w:color="auto" w:sz="4" w:space="0"/>
            </w:tcBorders>
            <w:vAlign w:val="center"/>
          </w:tcPr>
          <w:p w14:paraId="1563F8FB">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121" w:type="dxa"/>
            <w:tcBorders>
              <w:top w:val="single" w:color="auto" w:sz="4" w:space="0"/>
              <w:left w:val="single" w:color="auto" w:sz="4" w:space="0"/>
              <w:bottom w:val="single" w:color="auto" w:sz="4" w:space="0"/>
              <w:right w:val="single" w:color="auto" w:sz="4" w:space="0"/>
            </w:tcBorders>
            <w:vAlign w:val="center"/>
          </w:tcPr>
          <w:p w14:paraId="658D1857">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980" w:type="dxa"/>
            <w:tcBorders>
              <w:top w:val="single" w:color="auto" w:sz="4" w:space="0"/>
              <w:left w:val="single" w:color="auto" w:sz="4" w:space="0"/>
              <w:bottom w:val="single" w:color="auto" w:sz="4" w:space="0"/>
              <w:right w:val="single" w:color="auto" w:sz="4" w:space="0"/>
            </w:tcBorders>
            <w:vAlign w:val="center"/>
          </w:tcPr>
          <w:p w14:paraId="1EF18A99">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584" w:type="dxa"/>
            <w:tcBorders>
              <w:top w:val="single" w:color="auto" w:sz="4" w:space="0"/>
              <w:left w:val="single" w:color="auto" w:sz="4" w:space="0"/>
              <w:bottom w:val="single" w:color="auto" w:sz="4" w:space="0"/>
              <w:right w:val="single" w:color="auto" w:sz="4" w:space="0"/>
            </w:tcBorders>
            <w:vAlign w:val="center"/>
          </w:tcPr>
          <w:p w14:paraId="0CE2BC73">
            <w:pPr>
              <w:widowControl/>
              <w:spacing w:line="348" w:lineRule="auto"/>
              <w:jc w:val="center"/>
              <w:rPr>
                <w:rFonts w:ascii="宋体" w:hAnsi="宋体" w:eastAsia="宋体" w:cs="宋体"/>
                <w:color w:val="000000" w:themeColor="text1"/>
                <w:sz w:val="24"/>
                <w14:textFill>
                  <w14:solidFill>
                    <w14:schemeClr w14:val="tx1"/>
                  </w14:solidFill>
                </w14:textFill>
              </w:rPr>
            </w:pPr>
          </w:p>
        </w:tc>
        <w:tc>
          <w:tcPr>
            <w:tcW w:w="1235" w:type="dxa"/>
            <w:tcBorders>
              <w:top w:val="single" w:color="auto" w:sz="4" w:space="0"/>
              <w:left w:val="single" w:color="auto" w:sz="4" w:space="0"/>
              <w:bottom w:val="single" w:color="auto" w:sz="4" w:space="0"/>
              <w:right w:val="single" w:color="auto" w:sz="4" w:space="0"/>
            </w:tcBorders>
            <w:vAlign w:val="center"/>
          </w:tcPr>
          <w:p w14:paraId="6C74DF1D">
            <w:pPr>
              <w:widowControl/>
              <w:spacing w:line="348" w:lineRule="auto"/>
              <w:jc w:val="center"/>
              <w:rPr>
                <w:rFonts w:ascii="宋体" w:hAnsi="宋体" w:cs="宋体"/>
                <w:color w:val="000000" w:themeColor="text1"/>
                <w:sz w:val="24"/>
                <w14:textFill>
                  <w14:solidFill>
                    <w14:schemeClr w14:val="tx1"/>
                  </w14:solidFill>
                </w14:textFill>
              </w:rPr>
            </w:pPr>
          </w:p>
        </w:tc>
      </w:tr>
      <w:tr w14:paraId="32D09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535" w:type="dxa"/>
            <w:vMerge w:val="continue"/>
            <w:tcBorders>
              <w:left w:val="single" w:color="auto" w:sz="4" w:space="0"/>
              <w:right w:val="single" w:color="auto" w:sz="4" w:space="0"/>
            </w:tcBorders>
            <w:vAlign w:val="center"/>
          </w:tcPr>
          <w:p w14:paraId="1B0F6C42">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030" w:type="dxa"/>
            <w:vMerge w:val="continue"/>
            <w:tcBorders>
              <w:left w:val="single" w:color="auto" w:sz="4" w:space="0"/>
              <w:right w:val="single" w:color="auto" w:sz="4" w:space="0"/>
            </w:tcBorders>
            <w:vAlign w:val="center"/>
          </w:tcPr>
          <w:p w14:paraId="4F299EB5">
            <w:pPr>
              <w:adjustRightInd w:val="0"/>
              <w:snapToGrid w:val="0"/>
              <w:spacing w:line="348" w:lineRule="auto"/>
              <w:jc w:val="center"/>
              <w:rPr>
                <w:rFonts w:ascii="宋体" w:hAnsi="宋体" w:eastAsia="宋体" w:cs="宋体"/>
                <w:color w:val="000000" w:themeColor="text1"/>
                <w:sz w:val="24"/>
                <w:shd w:val="clear" w:color="auto" w:fill="FFFFFF"/>
                <w14:textFill>
                  <w14:solidFill>
                    <w14:schemeClr w14:val="tx1"/>
                  </w14:solidFill>
                </w14:textFill>
              </w:rPr>
            </w:pPr>
          </w:p>
        </w:tc>
        <w:tc>
          <w:tcPr>
            <w:tcW w:w="1100" w:type="dxa"/>
            <w:vMerge w:val="continue"/>
            <w:tcBorders>
              <w:left w:val="single" w:color="auto" w:sz="4" w:space="0"/>
              <w:right w:val="single" w:color="auto" w:sz="4" w:space="0"/>
            </w:tcBorders>
            <w:vAlign w:val="center"/>
          </w:tcPr>
          <w:p w14:paraId="1583FCDA">
            <w:pPr>
              <w:widowControl/>
              <w:spacing w:line="348" w:lineRule="auto"/>
              <w:jc w:val="center"/>
              <w:rPr>
                <w:rFonts w:ascii="宋体" w:hAnsi="宋体" w:cs="宋体"/>
                <w:color w:val="000000" w:themeColor="text1"/>
                <w:sz w:val="24"/>
                <w14:textFill>
                  <w14:solidFill>
                    <w14:schemeClr w14:val="tx1"/>
                  </w14:solidFill>
                </w14:textFill>
              </w:rPr>
            </w:pPr>
          </w:p>
        </w:tc>
        <w:tc>
          <w:tcPr>
            <w:tcW w:w="1129" w:type="dxa"/>
            <w:tcBorders>
              <w:top w:val="single" w:color="auto" w:sz="4" w:space="0"/>
              <w:left w:val="single" w:color="auto" w:sz="4" w:space="0"/>
              <w:bottom w:val="single" w:color="auto" w:sz="4" w:space="0"/>
              <w:right w:val="single" w:color="auto" w:sz="4" w:space="0"/>
            </w:tcBorders>
            <w:vAlign w:val="center"/>
          </w:tcPr>
          <w:p w14:paraId="6009B62E">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121" w:type="dxa"/>
            <w:tcBorders>
              <w:top w:val="single" w:color="auto" w:sz="4" w:space="0"/>
              <w:left w:val="single" w:color="auto" w:sz="4" w:space="0"/>
              <w:bottom w:val="single" w:color="auto" w:sz="4" w:space="0"/>
              <w:right w:val="single" w:color="auto" w:sz="4" w:space="0"/>
            </w:tcBorders>
            <w:vAlign w:val="center"/>
          </w:tcPr>
          <w:p w14:paraId="41D1B9D0">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980" w:type="dxa"/>
            <w:tcBorders>
              <w:top w:val="single" w:color="auto" w:sz="4" w:space="0"/>
              <w:left w:val="single" w:color="auto" w:sz="4" w:space="0"/>
              <w:bottom w:val="single" w:color="auto" w:sz="4" w:space="0"/>
              <w:right w:val="single" w:color="auto" w:sz="4" w:space="0"/>
            </w:tcBorders>
            <w:vAlign w:val="center"/>
          </w:tcPr>
          <w:p w14:paraId="342798BB">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584" w:type="dxa"/>
            <w:tcBorders>
              <w:top w:val="single" w:color="auto" w:sz="4" w:space="0"/>
              <w:left w:val="single" w:color="auto" w:sz="4" w:space="0"/>
              <w:bottom w:val="single" w:color="auto" w:sz="4" w:space="0"/>
              <w:right w:val="single" w:color="auto" w:sz="4" w:space="0"/>
            </w:tcBorders>
            <w:vAlign w:val="center"/>
          </w:tcPr>
          <w:p w14:paraId="6009BE7F">
            <w:pPr>
              <w:widowControl/>
              <w:spacing w:line="348" w:lineRule="auto"/>
              <w:jc w:val="center"/>
              <w:rPr>
                <w:rFonts w:ascii="宋体" w:hAnsi="宋体" w:eastAsia="宋体" w:cs="宋体"/>
                <w:color w:val="000000" w:themeColor="text1"/>
                <w:sz w:val="24"/>
                <w14:textFill>
                  <w14:solidFill>
                    <w14:schemeClr w14:val="tx1"/>
                  </w14:solidFill>
                </w14:textFill>
              </w:rPr>
            </w:pPr>
          </w:p>
        </w:tc>
        <w:tc>
          <w:tcPr>
            <w:tcW w:w="1235" w:type="dxa"/>
            <w:tcBorders>
              <w:top w:val="single" w:color="auto" w:sz="4" w:space="0"/>
              <w:left w:val="single" w:color="auto" w:sz="4" w:space="0"/>
              <w:bottom w:val="single" w:color="auto" w:sz="4" w:space="0"/>
              <w:right w:val="single" w:color="auto" w:sz="4" w:space="0"/>
            </w:tcBorders>
            <w:vAlign w:val="center"/>
          </w:tcPr>
          <w:p w14:paraId="296F516A">
            <w:pPr>
              <w:widowControl/>
              <w:spacing w:line="348" w:lineRule="auto"/>
              <w:jc w:val="center"/>
              <w:rPr>
                <w:rFonts w:ascii="宋体" w:hAnsi="宋体" w:cs="宋体"/>
                <w:color w:val="000000" w:themeColor="text1"/>
                <w:sz w:val="24"/>
                <w14:textFill>
                  <w14:solidFill>
                    <w14:schemeClr w14:val="tx1"/>
                  </w14:solidFill>
                </w14:textFill>
              </w:rPr>
            </w:pPr>
          </w:p>
        </w:tc>
      </w:tr>
      <w:tr w14:paraId="05FA7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35" w:type="dxa"/>
            <w:vMerge w:val="continue"/>
            <w:tcBorders>
              <w:left w:val="single" w:color="auto" w:sz="4" w:space="0"/>
              <w:right w:val="single" w:color="auto" w:sz="4" w:space="0"/>
            </w:tcBorders>
            <w:vAlign w:val="center"/>
          </w:tcPr>
          <w:p w14:paraId="53C65FDE">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030" w:type="dxa"/>
            <w:vMerge w:val="continue"/>
            <w:tcBorders>
              <w:left w:val="single" w:color="auto" w:sz="4" w:space="0"/>
              <w:right w:val="single" w:color="auto" w:sz="4" w:space="0"/>
            </w:tcBorders>
            <w:vAlign w:val="center"/>
          </w:tcPr>
          <w:p w14:paraId="2CB7C134">
            <w:pPr>
              <w:adjustRightInd w:val="0"/>
              <w:snapToGrid w:val="0"/>
              <w:spacing w:line="348" w:lineRule="auto"/>
              <w:jc w:val="center"/>
              <w:rPr>
                <w:rFonts w:ascii="宋体" w:hAnsi="宋体" w:eastAsia="宋体" w:cs="宋体"/>
                <w:color w:val="000000" w:themeColor="text1"/>
                <w:sz w:val="24"/>
                <w:shd w:val="clear" w:color="auto" w:fill="FFFFFF"/>
                <w14:textFill>
                  <w14:solidFill>
                    <w14:schemeClr w14:val="tx1"/>
                  </w14:solidFill>
                </w14:textFill>
              </w:rPr>
            </w:pPr>
          </w:p>
        </w:tc>
        <w:tc>
          <w:tcPr>
            <w:tcW w:w="1100" w:type="dxa"/>
            <w:vMerge w:val="continue"/>
            <w:tcBorders>
              <w:left w:val="single" w:color="auto" w:sz="4" w:space="0"/>
              <w:right w:val="single" w:color="auto" w:sz="4" w:space="0"/>
            </w:tcBorders>
            <w:vAlign w:val="center"/>
          </w:tcPr>
          <w:p w14:paraId="39D14824">
            <w:pPr>
              <w:widowControl/>
              <w:spacing w:line="348" w:lineRule="auto"/>
              <w:jc w:val="center"/>
              <w:rPr>
                <w:rFonts w:ascii="宋体" w:hAnsi="宋体" w:cs="宋体"/>
                <w:color w:val="000000" w:themeColor="text1"/>
                <w:sz w:val="24"/>
                <w14:textFill>
                  <w14:solidFill>
                    <w14:schemeClr w14:val="tx1"/>
                  </w14:solidFill>
                </w14:textFill>
              </w:rPr>
            </w:pPr>
          </w:p>
        </w:tc>
        <w:tc>
          <w:tcPr>
            <w:tcW w:w="1129" w:type="dxa"/>
            <w:tcBorders>
              <w:top w:val="single" w:color="auto" w:sz="4" w:space="0"/>
              <w:left w:val="single" w:color="auto" w:sz="4" w:space="0"/>
              <w:bottom w:val="single" w:color="auto" w:sz="4" w:space="0"/>
              <w:right w:val="single" w:color="auto" w:sz="4" w:space="0"/>
            </w:tcBorders>
            <w:vAlign w:val="center"/>
          </w:tcPr>
          <w:p w14:paraId="5BF3A7C7">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121" w:type="dxa"/>
            <w:tcBorders>
              <w:top w:val="single" w:color="auto" w:sz="4" w:space="0"/>
              <w:left w:val="single" w:color="auto" w:sz="4" w:space="0"/>
              <w:bottom w:val="single" w:color="auto" w:sz="4" w:space="0"/>
              <w:right w:val="single" w:color="auto" w:sz="4" w:space="0"/>
            </w:tcBorders>
            <w:vAlign w:val="center"/>
          </w:tcPr>
          <w:p w14:paraId="4B1353B0">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980" w:type="dxa"/>
            <w:tcBorders>
              <w:top w:val="single" w:color="auto" w:sz="4" w:space="0"/>
              <w:left w:val="single" w:color="auto" w:sz="4" w:space="0"/>
              <w:bottom w:val="single" w:color="auto" w:sz="4" w:space="0"/>
              <w:right w:val="single" w:color="auto" w:sz="4" w:space="0"/>
            </w:tcBorders>
            <w:vAlign w:val="center"/>
          </w:tcPr>
          <w:p w14:paraId="2761B3BD">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584" w:type="dxa"/>
            <w:tcBorders>
              <w:top w:val="single" w:color="auto" w:sz="4" w:space="0"/>
              <w:left w:val="single" w:color="auto" w:sz="4" w:space="0"/>
              <w:bottom w:val="single" w:color="auto" w:sz="4" w:space="0"/>
              <w:right w:val="single" w:color="auto" w:sz="4" w:space="0"/>
            </w:tcBorders>
            <w:vAlign w:val="center"/>
          </w:tcPr>
          <w:p w14:paraId="12ADC6D2">
            <w:pPr>
              <w:widowControl/>
              <w:spacing w:line="348" w:lineRule="auto"/>
              <w:jc w:val="center"/>
              <w:rPr>
                <w:rFonts w:ascii="宋体" w:hAnsi="宋体" w:eastAsia="宋体" w:cs="宋体"/>
                <w:color w:val="000000" w:themeColor="text1"/>
                <w:sz w:val="24"/>
                <w14:textFill>
                  <w14:solidFill>
                    <w14:schemeClr w14:val="tx1"/>
                  </w14:solidFill>
                </w14:textFill>
              </w:rPr>
            </w:pPr>
          </w:p>
        </w:tc>
        <w:tc>
          <w:tcPr>
            <w:tcW w:w="1235" w:type="dxa"/>
            <w:tcBorders>
              <w:top w:val="single" w:color="auto" w:sz="4" w:space="0"/>
              <w:left w:val="single" w:color="auto" w:sz="4" w:space="0"/>
              <w:bottom w:val="single" w:color="auto" w:sz="4" w:space="0"/>
              <w:right w:val="single" w:color="auto" w:sz="4" w:space="0"/>
            </w:tcBorders>
            <w:vAlign w:val="center"/>
          </w:tcPr>
          <w:p w14:paraId="39A1EA8E">
            <w:pPr>
              <w:widowControl/>
              <w:spacing w:line="348" w:lineRule="auto"/>
              <w:jc w:val="center"/>
              <w:rPr>
                <w:rFonts w:ascii="宋体" w:hAnsi="宋体" w:cs="宋体"/>
                <w:color w:val="000000" w:themeColor="text1"/>
                <w:sz w:val="24"/>
                <w14:textFill>
                  <w14:solidFill>
                    <w14:schemeClr w14:val="tx1"/>
                  </w14:solidFill>
                </w14:textFill>
              </w:rPr>
            </w:pPr>
          </w:p>
        </w:tc>
      </w:tr>
      <w:tr w14:paraId="6FB9B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35" w:type="dxa"/>
            <w:vMerge w:val="continue"/>
            <w:tcBorders>
              <w:left w:val="single" w:color="auto" w:sz="4" w:space="0"/>
              <w:right w:val="single" w:color="auto" w:sz="4" w:space="0"/>
            </w:tcBorders>
            <w:vAlign w:val="center"/>
          </w:tcPr>
          <w:p w14:paraId="15CE4A6A">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030" w:type="dxa"/>
            <w:vMerge w:val="continue"/>
            <w:tcBorders>
              <w:left w:val="single" w:color="auto" w:sz="4" w:space="0"/>
              <w:right w:val="single" w:color="auto" w:sz="4" w:space="0"/>
            </w:tcBorders>
            <w:vAlign w:val="center"/>
          </w:tcPr>
          <w:p w14:paraId="400A5D1D">
            <w:pPr>
              <w:adjustRightInd w:val="0"/>
              <w:snapToGrid w:val="0"/>
              <w:spacing w:line="348" w:lineRule="auto"/>
              <w:jc w:val="center"/>
              <w:rPr>
                <w:rFonts w:ascii="宋体" w:hAnsi="宋体" w:eastAsia="宋体" w:cs="宋体"/>
                <w:color w:val="000000" w:themeColor="text1"/>
                <w:sz w:val="24"/>
                <w:shd w:val="clear" w:color="auto" w:fill="FFFFFF"/>
                <w14:textFill>
                  <w14:solidFill>
                    <w14:schemeClr w14:val="tx1"/>
                  </w14:solidFill>
                </w14:textFill>
              </w:rPr>
            </w:pPr>
          </w:p>
        </w:tc>
        <w:tc>
          <w:tcPr>
            <w:tcW w:w="1100" w:type="dxa"/>
            <w:vMerge w:val="continue"/>
            <w:tcBorders>
              <w:left w:val="single" w:color="auto" w:sz="4" w:space="0"/>
              <w:right w:val="single" w:color="auto" w:sz="4" w:space="0"/>
            </w:tcBorders>
            <w:vAlign w:val="center"/>
          </w:tcPr>
          <w:p w14:paraId="0A17EE9D">
            <w:pPr>
              <w:widowControl/>
              <w:spacing w:line="348" w:lineRule="auto"/>
              <w:jc w:val="center"/>
              <w:rPr>
                <w:rFonts w:ascii="宋体" w:hAnsi="宋体" w:cs="宋体"/>
                <w:color w:val="000000" w:themeColor="text1"/>
                <w:sz w:val="24"/>
                <w14:textFill>
                  <w14:solidFill>
                    <w14:schemeClr w14:val="tx1"/>
                  </w14:solidFill>
                </w14:textFill>
              </w:rPr>
            </w:pPr>
          </w:p>
        </w:tc>
        <w:tc>
          <w:tcPr>
            <w:tcW w:w="1129" w:type="dxa"/>
            <w:tcBorders>
              <w:top w:val="single" w:color="auto" w:sz="4" w:space="0"/>
              <w:left w:val="single" w:color="auto" w:sz="4" w:space="0"/>
              <w:bottom w:val="single" w:color="auto" w:sz="4" w:space="0"/>
              <w:right w:val="single" w:color="auto" w:sz="4" w:space="0"/>
            </w:tcBorders>
            <w:vAlign w:val="center"/>
          </w:tcPr>
          <w:p w14:paraId="7B576093">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121" w:type="dxa"/>
            <w:tcBorders>
              <w:top w:val="single" w:color="auto" w:sz="4" w:space="0"/>
              <w:left w:val="single" w:color="auto" w:sz="4" w:space="0"/>
              <w:bottom w:val="single" w:color="auto" w:sz="4" w:space="0"/>
              <w:right w:val="single" w:color="auto" w:sz="4" w:space="0"/>
            </w:tcBorders>
            <w:vAlign w:val="center"/>
          </w:tcPr>
          <w:p w14:paraId="4B443A1F">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980" w:type="dxa"/>
            <w:tcBorders>
              <w:top w:val="single" w:color="auto" w:sz="4" w:space="0"/>
              <w:left w:val="single" w:color="auto" w:sz="4" w:space="0"/>
              <w:bottom w:val="single" w:color="auto" w:sz="4" w:space="0"/>
              <w:right w:val="single" w:color="auto" w:sz="4" w:space="0"/>
            </w:tcBorders>
            <w:vAlign w:val="center"/>
          </w:tcPr>
          <w:p w14:paraId="4A892D70">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584" w:type="dxa"/>
            <w:tcBorders>
              <w:top w:val="single" w:color="auto" w:sz="4" w:space="0"/>
              <w:left w:val="single" w:color="auto" w:sz="4" w:space="0"/>
              <w:bottom w:val="single" w:color="auto" w:sz="4" w:space="0"/>
              <w:right w:val="single" w:color="auto" w:sz="4" w:space="0"/>
            </w:tcBorders>
            <w:vAlign w:val="center"/>
          </w:tcPr>
          <w:p w14:paraId="769F607A">
            <w:pPr>
              <w:widowControl/>
              <w:spacing w:line="348" w:lineRule="auto"/>
              <w:jc w:val="center"/>
              <w:rPr>
                <w:rFonts w:ascii="宋体" w:hAnsi="宋体" w:eastAsia="宋体" w:cs="宋体"/>
                <w:color w:val="000000" w:themeColor="text1"/>
                <w:sz w:val="24"/>
                <w14:textFill>
                  <w14:solidFill>
                    <w14:schemeClr w14:val="tx1"/>
                  </w14:solidFill>
                </w14:textFill>
              </w:rPr>
            </w:pPr>
          </w:p>
        </w:tc>
        <w:tc>
          <w:tcPr>
            <w:tcW w:w="1235" w:type="dxa"/>
            <w:tcBorders>
              <w:top w:val="single" w:color="auto" w:sz="4" w:space="0"/>
              <w:left w:val="single" w:color="auto" w:sz="4" w:space="0"/>
              <w:bottom w:val="single" w:color="auto" w:sz="4" w:space="0"/>
              <w:right w:val="single" w:color="auto" w:sz="4" w:space="0"/>
            </w:tcBorders>
            <w:vAlign w:val="center"/>
          </w:tcPr>
          <w:p w14:paraId="7A1E311D">
            <w:pPr>
              <w:widowControl/>
              <w:spacing w:line="348" w:lineRule="auto"/>
              <w:jc w:val="center"/>
              <w:rPr>
                <w:rFonts w:ascii="宋体" w:hAnsi="宋体" w:cs="宋体"/>
                <w:color w:val="000000" w:themeColor="text1"/>
                <w:sz w:val="24"/>
                <w14:textFill>
                  <w14:solidFill>
                    <w14:schemeClr w14:val="tx1"/>
                  </w14:solidFill>
                </w14:textFill>
              </w:rPr>
            </w:pPr>
          </w:p>
        </w:tc>
      </w:tr>
      <w:tr w14:paraId="2557A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535" w:type="dxa"/>
            <w:vMerge w:val="continue"/>
            <w:tcBorders>
              <w:left w:val="single" w:color="auto" w:sz="4" w:space="0"/>
              <w:right w:val="single" w:color="auto" w:sz="4" w:space="0"/>
            </w:tcBorders>
            <w:vAlign w:val="center"/>
          </w:tcPr>
          <w:p w14:paraId="43657E57">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030" w:type="dxa"/>
            <w:vMerge w:val="continue"/>
            <w:tcBorders>
              <w:left w:val="single" w:color="auto" w:sz="4" w:space="0"/>
              <w:right w:val="single" w:color="auto" w:sz="4" w:space="0"/>
            </w:tcBorders>
            <w:vAlign w:val="center"/>
          </w:tcPr>
          <w:p w14:paraId="51099CB8">
            <w:pPr>
              <w:adjustRightInd w:val="0"/>
              <w:snapToGrid w:val="0"/>
              <w:spacing w:line="348" w:lineRule="auto"/>
              <w:jc w:val="center"/>
              <w:rPr>
                <w:rFonts w:ascii="宋体" w:hAnsi="宋体" w:eastAsia="宋体" w:cs="宋体"/>
                <w:color w:val="000000" w:themeColor="text1"/>
                <w:sz w:val="24"/>
                <w:shd w:val="clear" w:color="auto" w:fill="FFFFFF"/>
                <w14:textFill>
                  <w14:solidFill>
                    <w14:schemeClr w14:val="tx1"/>
                  </w14:solidFill>
                </w14:textFill>
              </w:rPr>
            </w:pPr>
          </w:p>
        </w:tc>
        <w:tc>
          <w:tcPr>
            <w:tcW w:w="1100" w:type="dxa"/>
            <w:vMerge w:val="continue"/>
            <w:tcBorders>
              <w:left w:val="single" w:color="auto" w:sz="4" w:space="0"/>
              <w:right w:val="single" w:color="auto" w:sz="4" w:space="0"/>
            </w:tcBorders>
            <w:vAlign w:val="center"/>
          </w:tcPr>
          <w:p w14:paraId="563BD900">
            <w:pPr>
              <w:widowControl/>
              <w:spacing w:line="348" w:lineRule="auto"/>
              <w:jc w:val="center"/>
              <w:rPr>
                <w:rFonts w:ascii="宋体" w:hAnsi="宋体" w:cs="宋体"/>
                <w:color w:val="000000" w:themeColor="text1"/>
                <w:sz w:val="24"/>
                <w14:textFill>
                  <w14:solidFill>
                    <w14:schemeClr w14:val="tx1"/>
                  </w14:solidFill>
                </w14:textFill>
              </w:rPr>
            </w:pPr>
          </w:p>
        </w:tc>
        <w:tc>
          <w:tcPr>
            <w:tcW w:w="1129" w:type="dxa"/>
            <w:tcBorders>
              <w:top w:val="single" w:color="auto" w:sz="4" w:space="0"/>
              <w:left w:val="single" w:color="auto" w:sz="4" w:space="0"/>
              <w:bottom w:val="single" w:color="auto" w:sz="4" w:space="0"/>
              <w:right w:val="single" w:color="auto" w:sz="4" w:space="0"/>
            </w:tcBorders>
            <w:vAlign w:val="center"/>
          </w:tcPr>
          <w:p w14:paraId="52715C38">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121" w:type="dxa"/>
            <w:tcBorders>
              <w:top w:val="single" w:color="auto" w:sz="4" w:space="0"/>
              <w:left w:val="single" w:color="auto" w:sz="4" w:space="0"/>
              <w:bottom w:val="single" w:color="auto" w:sz="4" w:space="0"/>
              <w:right w:val="single" w:color="auto" w:sz="4" w:space="0"/>
            </w:tcBorders>
            <w:vAlign w:val="center"/>
          </w:tcPr>
          <w:p w14:paraId="25459410">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980" w:type="dxa"/>
            <w:tcBorders>
              <w:top w:val="single" w:color="auto" w:sz="4" w:space="0"/>
              <w:left w:val="single" w:color="auto" w:sz="4" w:space="0"/>
              <w:bottom w:val="single" w:color="auto" w:sz="4" w:space="0"/>
              <w:right w:val="single" w:color="auto" w:sz="4" w:space="0"/>
            </w:tcBorders>
            <w:vAlign w:val="center"/>
          </w:tcPr>
          <w:p w14:paraId="23C07528">
            <w:pPr>
              <w:adjustRightInd w:val="0"/>
              <w:snapToGrid w:val="0"/>
              <w:spacing w:line="348" w:lineRule="auto"/>
              <w:jc w:val="center"/>
              <w:rPr>
                <w:rFonts w:ascii="宋体" w:hAnsi="宋体" w:cs="宋体"/>
                <w:color w:val="000000" w:themeColor="text1"/>
                <w:sz w:val="24"/>
                <w14:textFill>
                  <w14:solidFill>
                    <w14:schemeClr w14:val="tx1"/>
                  </w14:solidFill>
                </w14:textFill>
              </w:rPr>
            </w:pPr>
          </w:p>
        </w:tc>
        <w:tc>
          <w:tcPr>
            <w:tcW w:w="1584" w:type="dxa"/>
            <w:tcBorders>
              <w:top w:val="single" w:color="auto" w:sz="4" w:space="0"/>
              <w:left w:val="single" w:color="auto" w:sz="4" w:space="0"/>
              <w:bottom w:val="single" w:color="auto" w:sz="4" w:space="0"/>
              <w:right w:val="single" w:color="auto" w:sz="4" w:space="0"/>
            </w:tcBorders>
            <w:vAlign w:val="center"/>
          </w:tcPr>
          <w:p w14:paraId="4E08AF5C">
            <w:pPr>
              <w:widowControl/>
              <w:spacing w:line="348" w:lineRule="auto"/>
              <w:jc w:val="center"/>
              <w:rPr>
                <w:rFonts w:ascii="宋体" w:hAnsi="宋体" w:eastAsia="宋体" w:cs="宋体"/>
                <w:color w:val="000000" w:themeColor="text1"/>
                <w:sz w:val="24"/>
                <w14:textFill>
                  <w14:solidFill>
                    <w14:schemeClr w14:val="tx1"/>
                  </w14:solidFill>
                </w14:textFill>
              </w:rPr>
            </w:pPr>
          </w:p>
        </w:tc>
        <w:tc>
          <w:tcPr>
            <w:tcW w:w="1235" w:type="dxa"/>
            <w:tcBorders>
              <w:top w:val="single" w:color="auto" w:sz="4" w:space="0"/>
              <w:left w:val="single" w:color="auto" w:sz="4" w:space="0"/>
              <w:bottom w:val="single" w:color="auto" w:sz="4" w:space="0"/>
              <w:right w:val="single" w:color="auto" w:sz="4" w:space="0"/>
            </w:tcBorders>
            <w:vAlign w:val="center"/>
          </w:tcPr>
          <w:p w14:paraId="244A1351">
            <w:pPr>
              <w:widowControl/>
              <w:spacing w:line="348" w:lineRule="auto"/>
              <w:jc w:val="center"/>
              <w:rPr>
                <w:rFonts w:ascii="宋体" w:hAnsi="宋体" w:cs="宋体"/>
                <w:color w:val="000000" w:themeColor="text1"/>
                <w:sz w:val="24"/>
                <w14:textFill>
                  <w14:solidFill>
                    <w14:schemeClr w14:val="tx1"/>
                  </w14:solidFill>
                </w14:textFill>
              </w:rPr>
            </w:pPr>
          </w:p>
        </w:tc>
      </w:tr>
      <w:tr w14:paraId="4BAD2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3" w:hRule="atLeast"/>
          <w:jc w:val="center"/>
        </w:trPr>
        <w:tc>
          <w:tcPr>
            <w:tcW w:w="5895" w:type="dxa"/>
            <w:gridSpan w:val="6"/>
            <w:tcBorders>
              <w:top w:val="single" w:color="auto" w:sz="4" w:space="0"/>
              <w:left w:val="single" w:color="auto" w:sz="4" w:space="0"/>
              <w:bottom w:val="single" w:color="auto" w:sz="4" w:space="0"/>
              <w:right w:val="single" w:color="auto" w:sz="4" w:space="0"/>
            </w:tcBorders>
            <w:vAlign w:val="center"/>
          </w:tcPr>
          <w:p w14:paraId="12B71489">
            <w:pPr>
              <w:widowControl/>
              <w:spacing w:line="348" w:lineRule="auto"/>
              <w:jc w:val="righ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合计</w:t>
            </w:r>
          </w:p>
        </w:tc>
        <w:tc>
          <w:tcPr>
            <w:tcW w:w="2819" w:type="dxa"/>
            <w:gridSpan w:val="2"/>
            <w:tcBorders>
              <w:top w:val="single" w:color="auto" w:sz="4" w:space="0"/>
              <w:left w:val="single" w:color="auto" w:sz="4" w:space="0"/>
              <w:bottom w:val="single" w:color="auto" w:sz="4" w:space="0"/>
              <w:right w:val="single" w:color="auto" w:sz="4" w:space="0"/>
            </w:tcBorders>
            <w:vAlign w:val="center"/>
          </w:tcPr>
          <w:p w14:paraId="50608727">
            <w:pPr>
              <w:widowControl/>
              <w:spacing w:line="348" w:lineRule="auto"/>
              <w:rPr>
                <w:rFonts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大写：</w:t>
            </w:r>
            <w:r>
              <w:rPr>
                <w:rFonts w:hint="eastAsia" w:ascii="宋体" w:hAnsi="宋体" w:cs="宋体"/>
                <w:color w:val="000000" w:themeColor="text1"/>
                <w:sz w:val="24"/>
                <w:u w:val="single"/>
                <w14:textFill>
                  <w14:solidFill>
                    <w14:schemeClr w14:val="tx1"/>
                  </w14:solidFill>
                </w14:textFill>
              </w:rPr>
              <w:t xml:space="preserve">                    </w:t>
            </w:r>
          </w:p>
          <w:p w14:paraId="51BB67CB">
            <w:pPr>
              <w:widowControl/>
              <w:spacing w:line="348" w:lineRule="auto"/>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小写：</w:t>
            </w:r>
            <w:r>
              <w:rPr>
                <w:rFonts w:hint="eastAsia" w:ascii="宋体" w:hAnsi="宋体" w:cs="宋体"/>
                <w:color w:val="000000" w:themeColor="text1"/>
                <w:sz w:val="24"/>
                <w:u w:val="single"/>
                <w14:textFill>
                  <w14:solidFill>
                    <w14:schemeClr w14:val="tx1"/>
                  </w14:solidFill>
                </w14:textFill>
              </w:rPr>
              <w:t xml:space="preserve">                    </w:t>
            </w:r>
          </w:p>
        </w:tc>
      </w:tr>
    </w:tbl>
    <w:p w14:paraId="5708D570">
      <w:pPr>
        <w:spacing w:line="360" w:lineRule="auto"/>
        <w:rPr>
          <w:rFonts w:ascii="宋体" w:hAnsi="宋体" w:eastAsia="宋体" w:cs="宋体"/>
          <w:b/>
          <w:color w:val="000000" w:themeColor="text1"/>
          <w:sz w:val="24"/>
          <w14:textFill>
            <w14:solidFill>
              <w14:schemeClr w14:val="tx1"/>
            </w14:solidFill>
          </w14:textFill>
        </w:rPr>
      </w:pPr>
    </w:p>
    <w:p w14:paraId="458D2FFE">
      <w:pPr>
        <w:spacing w:line="360" w:lineRule="auto"/>
        <w:rPr>
          <w:rFonts w:ascii="宋体" w:hAnsi="宋体" w:eastAsia="宋体" w:cs="宋体"/>
          <w:b/>
          <w:color w:val="000000" w:themeColor="text1"/>
          <w:sz w:val="24"/>
          <w14:textFill>
            <w14:solidFill>
              <w14:schemeClr w14:val="tx1"/>
            </w14:solidFill>
          </w14:textFill>
        </w:rPr>
      </w:pPr>
    </w:p>
    <w:p w14:paraId="7BB3E247">
      <w:pPr>
        <w:numPr>
          <w:ilvl w:val="0"/>
          <w:numId w:val="1"/>
        </w:numPr>
        <w:spacing w:line="360" w:lineRule="auto"/>
        <w:rPr>
          <w:rFonts w:ascii="宋体" w:hAnsi="宋体" w:eastAsia="宋体" w:cs="宋体"/>
          <w:b/>
          <w:color w:val="000000"/>
          <w:sz w:val="24"/>
        </w:rPr>
      </w:pPr>
      <w:r>
        <w:rPr>
          <w:rFonts w:hint="eastAsia" w:ascii="宋体" w:hAnsi="宋体" w:eastAsia="宋体" w:cs="宋体"/>
          <w:b/>
          <w:bCs/>
          <w:color w:val="000000"/>
          <w:sz w:val="24"/>
        </w:rPr>
        <w:t>交货期、交货地点</w:t>
      </w:r>
    </w:p>
    <w:p w14:paraId="10F70321">
      <w:pPr>
        <w:tabs>
          <w:tab w:val="left" w:pos="1521"/>
        </w:tabs>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1.交货期（包含安装、调试时间）：自合同签订之日起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日历日完成供货、安装及调试</w:t>
      </w:r>
      <w:r>
        <w:rPr>
          <w:rFonts w:hint="eastAsia" w:ascii="宋体" w:hAnsi="宋体" w:cs="宋体"/>
          <w:color w:val="000000"/>
          <w:sz w:val="24"/>
        </w:rPr>
        <w:t>。</w:t>
      </w:r>
    </w:p>
    <w:p w14:paraId="24D2E24B">
      <w:pPr>
        <w:tabs>
          <w:tab w:val="left" w:pos="1521"/>
        </w:tabs>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2.交付地点：甲方指定地点。</w:t>
      </w:r>
    </w:p>
    <w:p w14:paraId="13BDFB73">
      <w:pPr>
        <w:numPr>
          <w:ilvl w:val="0"/>
          <w:numId w:val="1"/>
        </w:numPr>
        <w:spacing w:line="360" w:lineRule="auto"/>
        <w:rPr>
          <w:rFonts w:ascii="宋体" w:hAnsi="宋体" w:eastAsia="宋体" w:cs="宋体"/>
          <w:b/>
          <w:color w:val="000000"/>
          <w:sz w:val="24"/>
        </w:rPr>
      </w:pPr>
      <w:r>
        <w:rPr>
          <w:rFonts w:hint="eastAsia" w:ascii="宋体" w:hAnsi="宋体" w:eastAsia="宋体" w:cs="宋体"/>
          <w:b/>
          <w:bCs/>
          <w:color w:val="000000"/>
          <w:sz w:val="24"/>
        </w:rPr>
        <w:t>合同价款</w:t>
      </w:r>
    </w:p>
    <w:p w14:paraId="1A5979B5">
      <w:pPr>
        <w:adjustRightInd w:val="0"/>
        <w:snapToGrid w:val="0"/>
        <w:spacing w:line="360" w:lineRule="auto"/>
        <w:ind w:firstLine="480" w:firstLineChars="200"/>
        <w:rPr>
          <w:rFonts w:ascii="宋体" w:hAnsi="宋体" w:eastAsia="宋体" w:cs="宋体"/>
          <w:color w:val="000000"/>
          <w:kern w:val="28"/>
          <w:sz w:val="24"/>
        </w:rPr>
      </w:pPr>
      <w:r>
        <w:rPr>
          <w:rFonts w:hint="eastAsia" w:ascii="宋体" w:hAnsi="宋体" w:eastAsia="宋体" w:cs="宋体"/>
          <w:color w:val="000000"/>
          <w:sz w:val="24"/>
        </w:rPr>
        <w:t>1.合同总价款为：人民币（大写）</w:t>
      </w:r>
      <w:r>
        <w:rPr>
          <w:rFonts w:hint="eastAsia" w:ascii="宋体" w:hAnsi="宋体" w:eastAsia="宋体" w:cs="宋体"/>
          <w:color w:val="000000"/>
          <w:sz w:val="24"/>
          <w:u w:val="single"/>
        </w:rPr>
        <w:t xml:space="preserve">          元</w:t>
      </w:r>
      <w:r>
        <w:rPr>
          <w:rFonts w:hint="eastAsia" w:ascii="宋体" w:hAnsi="宋体" w:eastAsia="宋体" w:cs="宋体"/>
          <w:color w:val="000000"/>
          <w:sz w:val="24"/>
        </w:rPr>
        <w:t>整，（￥</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元）。</w:t>
      </w:r>
    </w:p>
    <w:p w14:paraId="1AC0C601">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2.合同总价含税。合同总价为完成本次项目所要求的货物、服务且验收合格的所有费用，包括与之相关的一切直接费、间接费。</w:t>
      </w:r>
    </w:p>
    <w:p w14:paraId="09AA17E2">
      <w:pPr>
        <w:numPr>
          <w:ilvl w:val="0"/>
          <w:numId w:val="1"/>
        </w:numPr>
        <w:spacing w:line="360" w:lineRule="auto"/>
        <w:rPr>
          <w:rFonts w:ascii="宋体" w:hAnsi="宋体" w:eastAsia="宋体" w:cs="宋体"/>
          <w:b/>
          <w:bCs/>
          <w:color w:val="000000"/>
          <w:sz w:val="24"/>
        </w:rPr>
      </w:pPr>
      <w:r>
        <w:rPr>
          <w:rFonts w:hint="eastAsia" w:ascii="宋体" w:hAnsi="宋体" w:eastAsia="宋体" w:cs="宋体"/>
          <w:b/>
          <w:bCs/>
          <w:color w:val="000000"/>
          <w:sz w:val="24"/>
        </w:rPr>
        <w:t>款项结算与支付方式</w:t>
      </w:r>
    </w:p>
    <w:p w14:paraId="29037D71">
      <w:pPr>
        <w:pStyle w:val="9"/>
        <w:spacing w:line="360" w:lineRule="auto"/>
        <w:ind w:firstLine="480" w:firstLineChars="200"/>
        <w:rPr>
          <w:rFonts w:ascii="宋体" w:hAnsi="宋体" w:cs="宋体"/>
          <w:color w:val="000000"/>
          <w:sz w:val="24"/>
          <w:lang w:val="zh-CN"/>
        </w:rPr>
      </w:pPr>
      <w:r>
        <w:rPr>
          <w:rFonts w:hint="eastAsia" w:ascii="宋体" w:hAnsi="宋体" w:cs="宋体"/>
          <w:color w:val="000000"/>
          <w:sz w:val="24"/>
          <w:lang w:val="zh-CN"/>
        </w:rPr>
        <w:t>1</w:t>
      </w:r>
      <w:r>
        <w:rPr>
          <w:rFonts w:hint="eastAsia" w:ascii="宋体" w:hAnsi="宋体" w:cs="宋体"/>
          <w:color w:val="000000"/>
          <w:sz w:val="24"/>
        </w:rPr>
        <w:t xml:space="preserve"> </w:t>
      </w:r>
      <w:r>
        <w:rPr>
          <w:rFonts w:hint="eastAsia" w:ascii="宋体" w:hAnsi="宋体" w:cs="宋体"/>
          <w:color w:val="000000"/>
          <w:sz w:val="24"/>
          <w:lang w:val="zh-CN"/>
        </w:rPr>
        <w:t>验收合格后结算</w:t>
      </w:r>
      <w:r>
        <w:rPr>
          <w:rFonts w:hint="eastAsia" w:ascii="宋体" w:hAnsi="宋体" w:cs="宋体"/>
          <w:color w:val="000000"/>
          <w:sz w:val="24"/>
        </w:rPr>
        <w:t>时</w:t>
      </w:r>
      <w:r>
        <w:rPr>
          <w:rFonts w:hint="eastAsia" w:ascii="宋体" w:hAnsi="宋体" w:cs="宋体"/>
          <w:color w:val="000000"/>
          <w:sz w:val="24"/>
          <w:lang w:val="zh-CN"/>
        </w:rPr>
        <w:t>，在付款前必须开具全额增值税发票给</w:t>
      </w:r>
      <w:r>
        <w:rPr>
          <w:rFonts w:hint="eastAsia" w:ascii="宋体" w:hAnsi="宋体" w:cs="宋体"/>
          <w:color w:val="000000"/>
          <w:sz w:val="24"/>
        </w:rPr>
        <w:t>甲方</w:t>
      </w:r>
      <w:r>
        <w:rPr>
          <w:rFonts w:hint="eastAsia" w:ascii="宋体" w:hAnsi="宋体" w:cs="宋体"/>
          <w:color w:val="000000"/>
          <w:sz w:val="24"/>
          <w:lang w:val="zh-CN"/>
        </w:rPr>
        <w:t>。</w:t>
      </w:r>
    </w:p>
    <w:p w14:paraId="4F1467E2">
      <w:pPr>
        <w:pStyle w:val="9"/>
        <w:spacing w:line="360" w:lineRule="auto"/>
        <w:ind w:firstLine="480" w:firstLineChars="200"/>
        <w:rPr>
          <w:rFonts w:ascii="宋体" w:hAnsi="宋体" w:eastAsia="宋体" w:cs="宋体"/>
          <w:b/>
          <w:color w:val="000000"/>
          <w:sz w:val="24"/>
          <w:u w:val="single"/>
        </w:rPr>
      </w:pPr>
      <w:r>
        <w:rPr>
          <w:rFonts w:hint="eastAsia" w:ascii="宋体" w:hAnsi="宋体" w:cs="宋体"/>
          <w:color w:val="000000"/>
          <w:sz w:val="24"/>
        </w:rPr>
        <w:t>2.</w:t>
      </w:r>
      <w:r>
        <w:rPr>
          <w:rFonts w:hint="eastAsia" w:ascii="宋体" w:hAnsi="宋体" w:cs="宋体"/>
          <w:color w:val="000000"/>
          <w:sz w:val="24"/>
          <w:lang w:val="zh-CN"/>
        </w:rPr>
        <w:t>签订合同前向学校缴纳5%的履约保证金，合同签订后</w:t>
      </w:r>
      <w:r>
        <w:rPr>
          <w:rFonts w:hint="eastAsia" w:ascii="宋体" w:hAnsi="宋体" w:cs="宋体"/>
          <w:color w:val="000000"/>
          <w:sz w:val="24"/>
        </w:rPr>
        <w:t>甲方</w:t>
      </w:r>
      <w:r>
        <w:rPr>
          <w:rFonts w:hint="eastAsia" w:ascii="宋体" w:hAnsi="宋体" w:cs="宋体"/>
          <w:color w:val="000000"/>
          <w:sz w:val="24"/>
          <w:lang w:val="zh-CN"/>
        </w:rPr>
        <w:t>支付40%合同金额的预付款。国内产品安装调试经学校验收合格后一次性支付60%合同金额的余款，同时缴纳的5%履约保证金无质量问题一次性无息退还</w:t>
      </w:r>
      <w:r>
        <w:rPr>
          <w:rFonts w:hint="eastAsia" w:ascii="宋体" w:hAnsi="宋体" w:cs="宋体"/>
          <w:color w:val="000000"/>
          <w:sz w:val="24"/>
        </w:rPr>
        <w:t>。</w:t>
      </w:r>
    </w:p>
    <w:p w14:paraId="539DDC27">
      <w:pPr>
        <w:numPr>
          <w:ilvl w:val="0"/>
          <w:numId w:val="1"/>
        </w:numPr>
        <w:spacing w:line="360" w:lineRule="auto"/>
        <w:rPr>
          <w:rFonts w:ascii="宋体" w:hAnsi="宋体" w:eastAsia="宋体" w:cs="宋体"/>
          <w:b/>
          <w:color w:val="000000"/>
          <w:sz w:val="24"/>
        </w:rPr>
      </w:pPr>
      <w:r>
        <w:rPr>
          <w:rFonts w:hint="eastAsia" w:ascii="宋体" w:hAnsi="宋体" w:eastAsia="宋体" w:cs="宋体"/>
          <w:b/>
          <w:color w:val="000000"/>
          <w:sz w:val="24"/>
        </w:rPr>
        <w:t>知识产权</w:t>
      </w:r>
    </w:p>
    <w:p w14:paraId="36CBD79D">
      <w:pPr>
        <w:tabs>
          <w:tab w:val="left" w:pos="1440"/>
        </w:tabs>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乙方应保证所提供的服务或其任何一部分均不会侵犯任何第三方的专利权、商标权或著作权。</w:t>
      </w:r>
    </w:p>
    <w:p w14:paraId="3DF69042">
      <w:pPr>
        <w:numPr>
          <w:ilvl w:val="0"/>
          <w:numId w:val="1"/>
        </w:numPr>
        <w:spacing w:line="360" w:lineRule="auto"/>
        <w:rPr>
          <w:rFonts w:ascii="宋体" w:hAnsi="宋体" w:eastAsia="宋体" w:cs="宋体"/>
          <w:b/>
          <w:color w:val="000000"/>
          <w:sz w:val="24"/>
        </w:rPr>
      </w:pPr>
      <w:r>
        <w:rPr>
          <w:rFonts w:hint="eastAsia" w:ascii="宋体" w:hAnsi="宋体" w:eastAsia="宋体" w:cs="宋体"/>
          <w:b/>
          <w:color w:val="000000"/>
          <w:sz w:val="24"/>
        </w:rPr>
        <w:t>无产权瑕疵条款</w:t>
      </w:r>
    </w:p>
    <w:p w14:paraId="3C34E831">
      <w:pPr>
        <w:tabs>
          <w:tab w:val="left" w:pos="1440"/>
        </w:tabs>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乙方保证所提供的服务的所有权完全属于乙方且无任何抵押、查封等产权瑕疵。如有产权瑕疵的，视为乙方违约。乙方应负担由此而产生的一切损失。</w:t>
      </w:r>
    </w:p>
    <w:p w14:paraId="3F536B48">
      <w:pPr>
        <w:numPr>
          <w:ilvl w:val="0"/>
          <w:numId w:val="1"/>
        </w:numPr>
        <w:spacing w:line="360" w:lineRule="auto"/>
        <w:rPr>
          <w:rFonts w:ascii="宋体" w:hAnsi="宋体" w:eastAsia="宋体" w:cs="宋体"/>
          <w:b/>
          <w:color w:val="000000"/>
          <w:sz w:val="24"/>
        </w:rPr>
      </w:pPr>
      <w:r>
        <w:rPr>
          <w:rFonts w:hint="eastAsia" w:ascii="宋体" w:hAnsi="宋体" w:eastAsia="宋体" w:cs="宋体"/>
          <w:b/>
          <w:color w:val="000000"/>
          <w:sz w:val="24"/>
        </w:rPr>
        <w:t>履约保证金</w:t>
      </w:r>
    </w:p>
    <w:p w14:paraId="594416C8">
      <w:pPr>
        <w:adjustRightInd w:val="0"/>
        <w:spacing w:line="360" w:lineRule="auto"/>
        <w:ind w:firstLine="480" w:firstLineChars="200"/>
        <w:textAlignment w:val="baseline"/>
        <w:rPr>
          <w:rFonts w:ascii="宋体" w:hAnsi="宋体" w:eastAsia="宋体" w:cs="宋体"/>
          <w:bCs/>
          <w:color w:val="000000"/>
          <w:sz w:val="24"/>
        </w:rPr>
      </w:pPr>
      <w:r>
        <w:rPr>
          <w:rFonts w:hint="eastAsia" w:ascii="宋体" w:hAnsi="宋体" w:eastAsia="宋体" w:cs="宋体"/>
          <w:bCs/>
          <w:color w:val="000000"/>
          <w:sz w:val="24"/>
        </w:rPr>
        <w:t>1.乙方应缴纳合同金额5%的履约保证金，即人民币</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w:t>
      </w:r>
      <w:r>
        <w:rPr>
          <w:rFonts w:hint="eastAsia" w:ascii="宋体" w:hAnsi="宋体" w:eastAsia="宋体" w:cs="宋体"/>
          <w:bCs/>
          <w:color w:val="000000"/>
          <w:sz w:val="24"/>
        </w:rPr>
        <w:t>元。项目验收合格后，甲方一次性无息退还5%的履约保证金。</w:t>
      </w:r>
    </w:p>
    <w:p w14:paraId="6A5DC612">
      <w:pPr>
        <w:adjustRightInd w:val="0"/>
        <w:spacing w:line="360" w:lineRule="auto"/>
        <w:ind w:firstLine="480" w:firstLineChars="200"/>
        <w:textAlignment w:val="baseline"/>
        <w:rPr>
          <w:rFonts w:ascii="宋体" w:hAnsi="宋体" w:eastAsia="宋体" w:cs="宋体"/>
          <w:bCs/>
          <w:color w:val="000000"/>
          <w:sz w:val="24"/>
        </w:rPr>
      </w:pPr>
      <w:r>
        <w:rPr>
          <w:rFonts w:hint="eastAsia" w:ascii="宋体" w:hAnsi="宋体" w:eastAsia="宋体" w:cs="宋体"/>
          <w:bCs/>
          <w:color w:val="000000"/>
          <w:sz w:val="24"/>
        </w:rPr>
        <w:t>2.履约保证金作为违约金的一部分及用于补偿甲方因乙方不能履行合同义务而蒙受的损失。</w:t>
      </w:r>
    </w:p>
    <w:p w14:paraId="242CFB8A">
      <w:pPr>
        <w:numPr>
          <w:ilvl w:val="0"/>
          <w:numId w:val="1"/>
        </w:numPr>
        <w:spacing w:line="360" w:lineRule="auto"/>
        <w:rPr>
          <w:rFonts w:ascii="宋体" w:hAnsi="宋体" w:eastAsia="宋体" w:cs="宋体"/>
          <w:b/>
          <w:color w:val="000000"/>
          <w:sz w:val="24"/>
        </w:rPr>
      </w:pPr>
      <w:r>
        <w:rPr>
          <w:rFonts w:hint="eastAsia" w:ascii="宋体" w:hAnsi="宋体" w:eastAsia="宋体" w:cs="宋体"/>
          <w:b/>
          <w:color w:val="000000"/>
          <w:sz w:val="24"/>
        </w:rPr>
        <w:t>甲方的权利和义务</w:t>
      </w:r>
    </w:p>
    <w:p w14:paraId="557CB576">
      <w:pPr>
        <w:adjustRightInd w:val="0"/>
        <w:spacing w:line="360" w:lineRule="auto"/>
        <w:ind w:firstLine="480" w:firstLineChars="200"/>
        <w:textAlignment w:val="baseline"/>
        <w:rPr>
          <w:rFonts w:ascii="宋体" w:hAnsi="宋体" w:eastAsia="宋体" w:cs="宋体"/>
          <w:bCs/>
          <w:color w:val="000000"/>
          <w:sz w:val="24"/>
        </w:rPr>
      </w:pPr>
      <w:r>
        <w:rPr>
          <w:rFonts w:hint="eastAsia" w:ascii="宋体" w:hAnsi="宋体" w:eastAsia="宋体" w:cs="宋体"/>
          <w:bCs/>
          <w:color w:val="000000"/>
          <w:sz w:val="24"/>
        </w:rPr>
        <w:t>1.甲方有权对合同规定范围内乙方的服务行为进行监督和检查，拥有监管权。有权定期核对乙方提供服务所配备的人员数量。对甲方认为不合理的部分有权下达整改通知书，并要求乙方限期整改。</w:t>
      </w:r>
    </w:p>
    <w:p w14:paraId="238B955D">
      <w:pPr>
        <w:adjustRightInd w:val="0"/>
        <w:spacing w:line="360" w:lineRule="auto"/>
        <w:ind w:firstLine="480" w:firstLineChars="200"/>
        <w:textAlignment w:val="baseline"/>
        <w:rPr>
          <w:rFonts w:ascii="宋体" w:hAnsi="宋体" w:eastAsia="宋体" w:cs="宋体"/>
          <w:bCs/>
          <w:color w:val="000000"/>
          <w:sz w:val="24"/>
        </w:rPr>
      </w:pPr>
      <w:r>
        <w:rPr>
          <w:rFonts w:hint="eastAsia" w:ascii="宋体" w:hAnsi="宋体" w:eastAsia="宋体" w:cs="宋体"/>
          <w:bCs/>
          <w:color w:val="000000"/>
          <w:sz w:val="24"/>
        </w:rPr>
        <w:t>2.甲方有权依据双方签订的考评办法对乙方提供的服务进行定期考评。当考评结果未达到标准时，有权依据考评办法约定的数额扣除履约保证金。</w:t>
      </w:r>
    </w:p>
    <w:p w14:paraId="2798F084">
      <w:pPr>
        <w:adjustRightInd w:val="0"/>
        <w:spacing w:line="360" w:lineRule="auto"/>
        <w:ind w:firstLine="480" w:firstLineChars="200"/>
        <w:textAlignment w:val="baseline"/>
        <w:rPr>
          <w:rFonts w:ascii="宋体" w:hAnsi="宋体" w:eastAsia="宋体" w:cs="宋体"/>
          <w:bCs/>
          <w:color w:val="000000"/>
          <w:sz w:val="24"/>
        </w:rPr>
      </w:pPr>
      <w:r>
        <w:rPr>
          <w:rFonts w:hint="eastAsia" w:ascii="宋体" w:hAnsi="宋体" w:eastAsia="宋体" w:cs="宋体"/>
          <w:bCs/>
          <w:color w:val="000000"/>
          <w:sz w:val="24"/>
        </w:rPr>
        <w:t>3.负责检查监督乙方管理工作的实施及制度的执行情况。</w:t>
      </w:r>
    </w:p>
    <w:p w14:paraId="25D0FC24">
      <w:pPr>
        <w:adjustRightInd w:val="0"/>
        <w:spacing w:line="360" w:lineRule="auto"/>
        <w:ind w:firstLine="480" w:firstLineChars="200"/>
        <w:textAlignment w:val="baseline"/>
        <w:rPr>
          <w:rFonts w:ascii="宋体" w:hAnsi="宋体" w:eastAsia="宋体" w:cs="宋体"/>
          <w:bCs/>
          <w:color w:val="000000"/>
          <w:sz w:val="24"/>
        </w:rPr>
      </w:pPr>
      <w:r>
        <w:rPr>
          <w:rFonts w:hint="eastAsia" w:ascii="宋体" w:hAnsi="宋体" w:eastAsia="宋体" w:cs="宋体"/>
          <w:bCs/>
          <w:color w:val="000000"/>
          <w:sz w:val="24"/>
        </w:rPr>
        <w:t>4.根据本合同规定，按时向乙方支付应付服务费用。</w:t>
      </w:r>
    </w:p>
    <w:p w14:paraId="4ED1FF2E">
      <w:pPr>
        <w:adjustRightInd w:val="0"/>
        <w:spacing w:line="360" w:lineRule="auto"/>
        <w:ind w:firstLine="480" w:firstLineChars="200"/>
        <w:textAlignment w:val="baseline"/>
        <w:rPr>
          <w:rFonts w:ascii="宋体" w:hAnsi="宋体" w:eastAsia="宋体" w:cs="宋体"/>
          <w:bCs/>
          <w:color w:val="000000"/>
          <w:sz w:val="24"/>
        </w:rPr>
      </w:pPr>
      <w:r>
        <w:rPr>
          <w:rFonts w:hint="eastAsia" w:ascii="宋体" w:hAnsi="宋体" w:eastAsia="宋体" w:cs="宋体"/>
          <w:bCs/>
          <w:color w:val="000000"/>
          <w:sz w:val="24"/>
        </w:rPr>
        <w:t>5.国家法律、法规所规定由甲方承担的其他责任。</w:t>
      </w:r>
    </w:p>
    <w:p w14:paraId="42F0871F">
      <w:pPr>
        <w:numPr>
          <w:ilvl w:val="0"/>
          <w:numId w:val="1"/>
        </w:numPr>
        <w:spacing w:line="360" w:lineRule="auto"/>
        <w:rPr>
          <w:rFonts w:ascii="宋体" w:hAnsi="宋体" w:eastAsia="宋体" w:cs="宋体"/>
          <w:b/>
          <w:color w:val="000000"/>
          <w:sz w:val="24"/>
        </w:rPr>
      </w:pPr>
      <w:r>
        <w:rPr>
          <w:rFonts w:hint="eastAsia" w:ascii="宋体" w:hAnsi="宋体" w:eastAsia="宋体" w:cs="宋体"/>
          <w:b/>
          <w:color w:val="000000"/>
          <w:sz w:val="24"/>
        </w:rPr>
        <w:t>乙方的权利和义务</w:t>
      </w:r>
    </w:p>
    <w:p w14:paraId="33E3F3F7">
      <w:pPr>
        <w:adjustRightInd w:val="0"/>
        <w:spacing w:line="360" w:lineRule="auto"/>
        <w:ind w:firstLine="480" w:firstLineChars="200"/>
        <w:textAlignment w:val="baseline"/>
        <w:rPr>
          <w:rFonts w:ascii="宋体" w:hAnsi="宋体" w:eastAsia="宋体" w:cs="宋体"/>
          <w:bCs/>
          <w:color w:val="000000"/>
          <w:sz w:val="24"/>
        </w:rPr>
      </w:pPr>
      <w:r>
        <w:rPr>
          <w:rFonts w:hint="eastAsia" w:ascii="宋体" w:hAnsi="宋体" w:eastAsia="宋体" w:cs="宋体"/>
          <w:bCs/>
          <w:color w:val="000000"/>
          <w:sz w:val="24"/>
        </w:rPr>
        <w:t>1.对本合同规定的委托服务范围内的项目享有管理权及服务义务。</w:t>
      </w:r>
    </w:p>
    <w:p w14:paraId="72891C08">
      <w:pPr>
        <w:adjustRightInd w:val="0"/>
        <w:spacing w:line="360" w:lineRule="auto"/>
        <w:ind w:firstLine="480" w:firstLineChars="200"/>
        <w:textAlignment w:val="baseline"/>
        <w:rPr>
          <w:rFonts w:ascii="宋体" w:hAnsi="宋体" w:eastAsia="宋体" w:cs="宋体"/>
          <w:bCs/>
          <w:color w:val="000000"/>
          <w:sz w:val="24"/>
        </w:rPr>
      </w:pPr>
      <w:r>
        <w:rPr>
          <w:rFonts w:hint="eastAsia" w:ascii="宋体" w:hAnsi="宋体" w:eastAsia="宋体" w:cs="宋体"/>
          <w:bCs/>
          <w:color w:val="000000"/>
          <w:sz w:val="24"/>
        </w:rPr>
        <w:t>2.根据本合同的规定向甲方收取相关服务费用，并有权在本项目管理范围内管理及合理使用。</w:t>
      </w:r>
    </w:p>
    <w:p w14:paraId="5B2B40AA">
      <w:pPr>
        <w:adjustRightInd w:val="0"/>
        <w:spacing w:line="360" w:lineRule="auto"/>
        <w:ind w:firstLine="480" w:firstLineChars="200"/>
        <w:textAlignment w:val="baseline"/>
        <w:rPr>
          <w:rFonts w:ascii="宋体" w:hAnsi="宋体" w:eastAsia="宋体" w:cs="宋体"/>
          <w:color w:val="000000"/>
          <w:sz w:val="24"/>
        </w:rPr>
      </w:pPr>
      <w:r>
        <w:rPr>
          <w:rFonts w:hint="eastAsia" w:ascii="宋体" w:hAnsi="宋体" w:eastAsia="宋体" w:cs="宋体"/>
          <w:color w:val="000000"/>
          <w:sz w:val="24"/>
        </w:rPr>
        <w:t>3.及时向甲方通告本项目服务范围内有关服务的重大事项，及时配合处理投诉。</w:t>
      </w:r>
    </w:p>
    <w:p w14:paraId="2245FCE6">
      <w:pPr>
        <w:adjustRightInd w:val="0"/>
        <w:spacing w:line="360" w:lineRule="auto"/>
        <w:ind w:firstLine="480" w:firstLineChars="200"/>
        <w:textAlignment w:val="baseline"/>
        <w:rPr>
          <w:rFonts w:ascii="宋体" w:hAnsi="宋体" w:eastAsia="宋体" w:cs="宋体"/>
          <w:bCs/>
          <w:color w:val="000000"/>
          <w:sz w:val="24"/>
        </w:rPr>
      </w:pPr>
      <w:r>
        <w:rPr>
          <w:rFonts w:hint="eastAsia" w:ascii="宋体" w:hAnsi="宋体" w:eastAsia="宋体" w:cs="宋体"/>
          <w:color w:val="000000"/>
          <w:sz w:val="24"/>
        </w:rPr>
        <w:t>4.</w:t>
      </w:r>
      <w:r>
        <w:rPr>
          <w:rFonts w:hint="eastAsia" w:ascii="宋体" w:hAnsi="宋体" w:eastAsia="宋体" w:cs="宋体"/>
          <w:bCs/>
          <w:color w:val="000000"/>
          <w:sz w:val="24"/>
        </w:rPr>
        <w:t>接受项目行业管理部门及政府有关部门的指导，接受甲方的监督。</w:t>
      </w:r>
    </w:p>
    <w:p w14:paraId="6D854F67">
      <w:pPr>
        <w:adjustRightInd w:val="0"/>
        <w:spacing w:line="360" w:lineRule="auto"/>
        <w:ind w:firstLine="480" w:firstLineChars="200"/>
        <w:textAlignment w:val="baseline"/>
        <w:rPr>
          <w:rFonts w:ascii="宋体" w:hAnsi="宋体" w:eastAsia="宋体" w:cs="宋体"/>
          <w:bCs/>
          <w:color w:val="000000"/>
          <w:sz w:val="24"/>
        </w:rPr>
      </w:pPr>
      <w:r>
        <w:rPr>
          <w:rFonts w:hint="eastAsia" w:ascii="宋体" w:hAnsi="宋体" w:eastAsia="宋体" w:cs="宋体"/>
          <w:bCs/>
          <w:color w:val="000000"/>
          <w:sz w:val="24"/>
        </w:rPr>
        <w:t>5.国家法律、法规所规定由乙方承担的其他责任。</w:t>
      </w:r>
    </w:p>
    <w:p w14:paraId="4AEC57F3">
      <w:pPr>
        <w:numPr>
          <w:ilvl w:val="0"/>
          <w:numId w:val="1"/>
        </w:numPr>
        <w:spacing w:line="360" w:lineRule="auto"/>
        <w:rPr>
          <w:rFonts w:ascii="宋体" w:hAnsi="宋体" w:eastAsia="宋体" w:cs="宋体"/>
          <w:b/>
          <w:color w:val="000000"/>
          <w:sz w:val="24"/>
        </w:rPr>
      </w:pPr>
      <w:r>
        <w:rPr>
          <w:rFonts w:hint="eastAsia" w:ascii="宋体" w:hAnsi="宋体" w:eastAsia="宋体" w:cs="宋体"/>
          <w:b/>
          <w:color w:val="000000"/>
          <w:sz w:val="24"/>
        </w:rPr>
        <w:t>违约责任</w:t>
      </w:r>
    </w:p>
    <w:p w14:paraId="64BA5B56">
      <w:pPr>
        <w:adjustRightInd w:val="0"/>
        <w:spacing w:line="360" w:lineRule="auto"/>
        <w:ind w:firstLine="480" w:firstLineChars="200"/>
        <w:textAlignment w:val="baseline"/>
        <w:rPr>
          <w:rFonts w:ascii="宋体" w:hAnsi="宋体" w:eastAsia="宋体" w:cs="宋体"/>
          <w:bCs/>
          <w:color w:val="000000"/>
          <w:sz w:val="24"/>
        </w:rPr>
      </w:pPr>
      <w:r>
        <w:rPr>
          <w:rFonts w:hint="eastAsia" w:ascii="宋体" w:hAnsi="宋体" w:eastAsia="宋体" w:cs="宋体"/>
          <w:bCs/>
          <w:color w:val="000000"/>
          <w:sz w:val="24"/>
        </w:rPr>
        <w:t>1.甲乙双方必须遵守本合同并执行合同中的各项规定，保证本合同的正常履行。</w:t>
      </w:r>
    </w:p>
    <w:p w14:paraId="7F05B09D">
      <w:pPr>
        <w:adjustRightInd w:val="0"/>
        <w:spacing w:line="360" w:lineRule="auto"/>
        <w:ind w:firstLine="480" w:firstLineChars="200"/>
        <w:textAlignment w:val="baseline"/>
        <w:rPr>
          <w:rFonts w:ascii="宋体" w:hAnsi="宋体" w:eastAsia="宋体" w:cs="宋体"/>
          <w:bCs/>
          <w:color w:val="000000"/>
          <w:sz w:val="24"/>
        </w:rPr>
      </w:pPr>
      <w:r>
        <w:rPr>
          <w:rFonts w:hint="eastAsia" w:ascii="宋体" w:hAnsi="宋体" w:eastAsia="宋体" w:cs="宋体"/>
          <w:bCs/>
          <w:color w:val="000000"/>
          <w:sz w:val="24"/>
        </w:rPr>
        <w:t>2.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7B2E3951">
      <w:pPr>
        <w:numPr>
          <w:ilvl w:val="0"/>
          <w:numId w:val="1"/>
        </w:numPr>
        <w:spacing w:line="360" w:lineRule="auto"/>
        <w:rPr>
          <w:rFonts w:ascii="宋体" w:hAnsi="宋体" w:eastAsia="宋体" w:cs="宋体"/>
          <w:b/>
          <w:color w:val="000000"/>
          <w:sz w:val="24"/>
        </w:rPr>
      </w:pPr>
      <w:r>
        <w:rPr>
          <w:rFonts w:hint="eastAsia" w:ascii="宋体" w:hAnsi="宋体" w:eastAsia="宋体" w:cs="宋体"/>
          <w:b/>
          <w:color w:val="000000"/>
          <w:sz w:val="24"/>
        </w:rPr>
        <w:t>不可抗力事件处理</w:t>
      </w:r>
    </w:p>
    <w:p w14:paraId="20DE4211">
      <w:pPr>
        <w:tabs>
          <w:tab w:val="left" w:pos="0"/>
        </w:tabs>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1.在合同有效期内，任何一方因不可抗力事件导致不能履行合同，则合同履行期可延长，其延长期与不可抗力影响期相同。</w:t>
      </w:r>
    </w:p>
    <w:p w14:paraId="6958E98E">
      <w:pPr>
        <w:tabs>
          <w:tab w:val="left" w:pos="0"/>
        </w:tabs>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2.不可抗力事件发生后，应立即通知对方，并寄送有关权威机构出具的证明。</w:t>
      </w:r>
    </w:p>
    <w:p w14:paraId="6BC90B8C">
      <w:pPr>
        <w:tabs>
          <w:tab w:val="left" w:pos="0"/>
        </w:tabs>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3.不可抗力事件延续</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天以上，双方应通过友好协商，确定是否继续履行合同。</w:t>
      </w:r>
    </w:p>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14:paraId="7E115ABB">
      <w:pPr>
        <w:numPr>
          <w:ilvl w:val="0"/>
          <w:numId w:val="1"/>
        </w:numPr>
        <w:spacing w:line="360" w:lineRule="auto"/>
        <w:rPr>
          <w:rFonts w:ascii="宋体" w:hAnsi="宋体" w:eastAsia="宋体" w:cs="宋体"/>
          <w:b/>
          <w:color w:val="000000"/>
          <w:sz w:val="24"/>
        </w:rPr>
      </w:pPr>
      <w:bookmarkStart w:id="23" w:name="_Toc241833908"/>
      <w:bookmarkStart w:id="24" w:name="_Toc185395254"/>
      <w:bookmarkStart w:id="25" w:name="_Toc211854454"/>
      <w:bookmarkStart w:id="26" w:name="_Toc225670756"/>
      <w:bookmarkStart w:id="27" w:name="_Toc286993792"/>
      <w:bookmarkStart w:id="28" w:name="_Toc225654649"/>
      <w:bookmarkStart w:id="29" w:name="_Toc239568423"/>
      <w:bookmarkStart w:id="30" w:name="_Toc239233919"/>
      <w:bookmarkStart w:id="31" w:name="_Toc247334846"/>
      <w:bookmarkStart w:id="32" w:name="_Toc237145411"/>
      <w:bookmarkStart w:id="33" w:name="_Toc225244857"/>
      <w:bookmarkStart w:id="34" w:name="_Toc238984980"/>
      <w:bookmarkStart w:id="35" w:name="_Toc232492933"/>
      <w:bookmarkStart w:id="36" w:name="_Toc211911353"/>
      <w:bookmarkStart w:id="37" w:name="_Toc251768867"/>
      <w:bookmarkStart w:id="38" w:name="_Toc212019599"/>
      <w:r>
        <w:rPr>
          <w:rFonts w:hint="eastAsia" w:ascii="宋体" w:hAnsi="宋体" w:eastAsia="宋体" w:cs="宋体"/>
          <w:b/>
          <w:color w:val="000000"/>
          <w:sz w:val="24"/>
        </w:rPr>
        <w:t>解决合同纠纷的方式</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14:paraId="156A81C4">
      <w:pPr>
        <w:tabs>
          <w:tab w:val="left" w:pos="0"/>
        </w:tabs>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1.在执行本合同中发生的或与本合同有关的争端，双方应通过友好协商解决，经协商在</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天内不能达成协议时，应提交</w:t>
      </w:r>
      <w:r>
        <w:rPr>
          <w:rFonts w:hint="eastAsia" w:ascii="宋体" w:hAnsi="宋体" w:eastAsia="宋体" w:cs="宋体"/>
          <w:color w:val="000000"/>
          <w:sz w:val="24"/>
          <w:u w:val="single"/>
        </w:rPr>
        <w:t>仲裁委员会</w:t>
      </w:r>
      <w:r>
        <w:rPr>
          <w:rFonts w:hint="eastAsia" w:ascii="宋体" w:hAnsi="宋体" w:eastAsia="宋体" w:cs="宋体"/>
          <w:color w:val="000000"/>
          <w:sz w:val="24"/>
        </w:rPr>
        <w:t>予以进行仲裁。</w:t>
      </w:r>
    </w:p>
    <w:p w14:paraId="2C08DC69">
      <w:pPr>
        <w:tabs>
          <w:tab w:val="left" w:pos="0"/>
        </w:tabs>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2.仲裁裁决应为最终决定，并对双方具有约束力。</w:t>
      </w:r>
    </w:p>
    <w:p w14:paraId="56994772">
      <w:pPr>
        <w:tabs>
          <w:tab w:val="left" w:pos="0"/>
        </w:tabs>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 xml:space="preserve">3.除另有裁决外，仲裁费应由败诉方负担。 </w:t>
      </w:r>
    </w:p>
    <w:p w14:paraId="485C9727">
      <w:pPr>
        <w:tabs>
          <w:tab w:val="left" w:pos="0"/>
        </w:tabs>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 xml:space="preserve">4.在仲裁期间，除正在进行仲裁部分外，合同其他部分继续执行。  </w:t>
      </w:r>
    </w:p>
    <w:p w14:paraId="4C9312E0">
      <w:pPr>
        <w:numPr>
          <w:ilvl w:val="0"/>
          <w:numId w:val="1"/>
        </w:numPr>
        <w:spacing w:line="360" w:lineRule="auto"/>
        <w:rPr>
          <w:rFonts w:ascii="宋体" w:hAnsi="宋体" w:eastAsia="宋体" w:cs="宋体"/>
          <w:b/>
          <w:color w:val="000000"/>
          <w:sz w:val="24"/>
        </w:rPr>
      </w:pPr>
      <w:bookmarkStart w:id="39" w:name="_Toc232492934"/>
      <w:bookmarkStart w:id="40" w:name="_Toc212019600"/>
      <w:bookmarkStart w:id="41" w:name="_Toc282696231"/>
      <w:bookmarkStart w:id="42" w:name="_Toc225670757"/>
      <w:bookmarkStart w:id="43" w:name="_Toc237145412"/>
      <w:bookmarkStart w:id="44" w:name="_Toc211911354"/>
      <w:bookmarkStart w:id="45" w:name="_Toc225654650"/>
      <w:bookmarkStart w:id="46" w:name="_Toc283019219"/>
      <w:bookmarkStart w:id="47" w:name="_Toc185395255"/>
      <w:bookmarkStart w:id="48" w:name="_Toc247334847"/>
      <w:bookmarkStart w:id="49" w:name="_Toc251768868"/>
      <w:bookmarkStart w:id="50" w:name="_Toc286993793"/>
      <w:bookmarkStart w:id="51" w:name="_Toc239568424"/>
      <w:bookmarkStart w:id="52" w:name="_Toc211854455"/>
      <w:bookmarkStart w:id="53" w:name="_Toc238984981"/>
      <w:bookmarkStart w:id="54" w:name="_Toc225244858"/>
      <w:bookmarkStart w:id="55" w:name="_Toc241833909"/>
      <w:bookmarkStart w:id="56" w:name="_Toc239233920"/>
      <w:r>
        <w:rPr>
          <w:rFonts w:hint="eastAsia" w:ascii="宋体" w:hAnsi="宋体" w:eastAsia="宋体" w:cs="宋体"/>
          <w:b/>
          <w:color w:val="000000"/>
          <w:sz w:val="24"/>
        </w:rPr>
        <w:t>合同</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Pr>
          <w:rFonts w:hint="eastAsia" w:ascii="宋体" w:hAnsi="宋体" w:eastAsia="宋体" w:cs="宋体"/>
          <w:b/>
          <w:color w:val="000000"/>
          <w:sz w:val="24"/>
        </w:rPr>
        <w:t>生效及其他</w:t>
      </w:r>
    </w:p>
    <w:p w14:paraId="62B6BEDE">
      <w:pPr>
        <w:pStyle w:val="10"/>
        <w:spacing w:line="360" w:lineRule="auto"/>
        <w:ind w:firstLine="480"/>
        <w:rPr>
          <w:rFonts w:ascii="宋体" w:hAnsi="宋体" w:eastAsia="宋体" w:cs="宋体"/>
          <w:color w:val="000000"/>
          <w:sz w:val="24"/>
        </w:rPr>
      </w:pPr>
      <w:r>
        <w:rPr>
          <w:rFonts w:hint="eastAsia" w:ascii="宋体" w:hAnsi="宋体" w:eastAsia="宋体" w:cs="宋体"/>
          <w:color w:val="000000"/>
          <w:sz w:val="24"/>
        </w:rPr>
        <w:t>1.合同经双方法定代表人或授权委托代理人签字并加盖单位公章后生效。</w:t>
      </w:r>
    </w:p>
    <w:p w14:paraId="694C25C8">
      <w:pPr>
        <w:pStyle w:val="10"/>
        <w:spacing w:line="360" w:lineRule="auto"/>
        <w:ind w:firstLine="480"/>
        <w:rPr>
          <w:rFonts w:ascii="宋体" w:hAnsi="宋体" w:eastAsia="宋体" w:cs="宋体"/>
          <w:color w:val="000000"/>
          <w:sz w:val="24"/>
        </w:rPr>
      </w:pPr>
      <w:r>
        <w:rPr>
          <w:rFonts w:hint="eastAsia" w:ascii="宋体" w:hAnsi="宋体" w:eastAsia="宋体" w:cs="宋体"/>
          <w:color w:val="000000"/>
          <w:sz w:val="24"/>
        </w:rPr>
        <w:t>2.合同执行中涉及资金和采购内容修改或补充的，须经甲方监督部门审批，并签订书面补充协议报甲方相关行政部门备案，方可作为主合同不可分割的一部分。</w:t>
      </w:r>
    </w:p>
    <w:p w14:paraId="08B4F079">
      <w:pPr>
        <w:pStyle w:val="10"/>
        <w:spacing w:line="360" w:lineRule="auto"/>
        <w:ind w:firstLine="480"/>
        <w:rPr>
          <w:rFonts w:ascii="宋体" w:hAnsi="宋体" w:eastAsia="宋体" w:cs="宋体"/>
          <w:color w:val="000000"/>
          <w:sz w:val="24"/>
        </w:rPr>
      </w:pPr>
      <w:r>
        <w:rPr>
          <w:rFonts w:hint="eastAsia" w:ascii="宋体" w:hAnsi="宋体" w:eastAsia="宋体" w:cs="宋体"/>
          <w:color w:val="000000"/>
          <w:sz w:val="24"/>
        </w:rPr>
        <w:t>3.本合同一式</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份，自双方签章之日起生效。甲方</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份，乙方</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份，采购代理机构</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份，具有同等法律效力。</w:t>
      </w:r>
    </w:p>
    <w:p w14:paraId="4CF626FF">
      <w:pPr>
        <w:numPr>
          <w:ilvl w:val="0"/>
          <w:numId w:val="1"/>
        </w:numPr>
        <w:spacing w:line="360" w:lineRule="auto"/>
        <w:rPr>
          <w:rFonts w:ascii="宋体" w:hAnsi="宋体" w:eastAsia="宋体" w:cs="宋体"/>
          <w:b/>
          <w:color w:val="000000"/>
          <w:sz w:val="24"/>
        </w:rPr>
      </w:pPr>
      <w:r>
        <w:rPr>
          <w:rFonts w:hint="eastAsia" w:ascii="宋体" w:hAnsi="宋体" w:eastAsia="宋体" w:cs="宋体"/>
          <w:b/>
          <w:color w:val="000000"/>
          <w:sz w:val="24"/>
        </w:rPr>
        <w:t xml:space="preserve"> 附件</w:t>
      </w:r>
    </w:p>
    <w:p w14:paraId="5D289120">
      <w:pPr>
        <w:pStyle w:val="10"/>
        <w:spacing w:line="360" w:lineRule="auto"/>
        <w:ind w:firstLine="480"/>
        <w:rPr>
          <w:rFonts w:ascii="宋体" w:hAnsi="宋体" w:eastAsia="宋体" w:cs="宋体"/>
          <w:color w:val="000000"/>
          <w:sz w:val="24"/>
        </w:rPr>
      </w:pPr>
      <w:r>
        <w:rPr>
          <w:rFonts w:hint="eastAsia" w:ascii="宋体" w:hAnsi="宋体" w:eastAsia="宋体" w:cs="宋体"/>
          <w:color w:val="000000"/>
          <w:sz w:val="24"/>
        </w:rPr>
        <w:t>1.采购</w:t>
      </w:r>
      <w:r>
        <w:rPr>
          <w:rFonts w:hint="eastAsia" w:ascii="宋体" w:hAnsi="宋体" w:cs="宋体"/>
          <w:color w:val="000000"/>
          <w:sz w:val="24"/>
        </w:rPr>
        <w:t>文件</w:t>
      </w:r>
    </w:p>
    <w:p w14:paraId="7F1529F3">
      <w:pPr>
        <w:pStyle w:val="10"/>
        <w:spacing w:line="360" w:lineRule="auto"/>
        <w:ind w:firstLine="480"/>
        <w:rPr>
          <w:rFonts w:ascii="宋体" w:hAnsi="宋体" w:eastAsia="宋体" w:cs="宋体"/>
          <w:color w:val="000000"/>
          <w:sz w:val="24"/>
        </w:rPr>
      </w:pPr>
      <w:r>
        <w:rPr>
          <w:rFonts w:hint="eastAsia" w:ascii="宋体" w:hAnsi="宋体" w:eastAsia="宋体" w:cs="宋体"/>
          <w:color w:val="000000"/>
          <w:sz w:val="24"/>
        </w:rPr>
        <w:t>2.澄清（或答疑）文件</w:t>
      </w:r>
    </w:p>
    <w:p w14:paraId="5F9BF5D1">
      <w:pPr>
        <w:pStyle w:val="10"/>
        <w:spacing w:line="360" w:lineRule="auto"/>
        <w:ind w:firstLine="480"/>
        <w:rPr>
          <w:rFonts w:ascii="宋体" w:hAnsi="宋体" w:eastAsia="宋体" w:cs="宋体"/>
          <w:color w:val="000000"/>
          <w:sz w:val="24"/>
        </w:rPr>
      </w:pPr>
      <w:r>
        <w:rPr>
          <w:rFonts w:hint="eastAsia" w:ascii="宋体" w:hAnsi="宋体" w:eastAsia="宋体" w:cs="宋体"/>
          <w:color w:val="000000"/>
          <w:sz w:val="24"/>
        </w:rPr>
        <w:t>3.响应</w:t>
      </w:r>
      <w:r>
        <w:rPr>
          <w:rFonts w:hint="eastAsia" w:ascii="宋体" w:hAnsi="宋体" w:cs="宋体"/>
          <w:color w:val="000000"/>
          <w:sz w:val="24"/>
        </w:rPr>
        <w:t>文件</w:t>
      </w:r>
    </w:p>
    <w:p w14:paraId="303D0A19">
      <w:pPr>
        <w:pStyle w:val="10"/>
        <w:spacing w:line="360" w:lineRule="auto"/>
        <w:ind w:firstLine="480"/>
        <w:rPr>
          <w:rFonts w:ascii="宋体" w:hAnsi="宋体" w:eastAsia="宋体" w:cs="宋体"/>
          <w:color w:val="000000"/>
          <w:sz w:val="24"/>
        </w:rPr>
      </w:pPr>
      <w:r>
        <w:rPr>
          <w:rFonts w:hint="eastAsia" w:ascii="宋体" w:hAnsi="宋体" w:eastAsia="宋体" w:cs="宋体"/>
          <w:color w:val="000000"/>
          <w:sz w:val="24"/>
        </w:rPr>
        <w:t>4.</w:t>
      </w:r>
      <w:r>
        <w:rPr>
          <w:rFonts w:hint="eastAsia" w:ascii="宋体" w:hAnsi="宋体" w:cs="宋体"/>
          <w:color w:val="000000"/>
          <w:sz w:val="24"/>
        </w:rPr>
        <w:t>中标通知书</w:t>
      </w:r>
    </w:p>
    <w:p w14:paraId="076D1686">
      <w:pPr>
        <w:pStyle w:val="10"/>
        <w:spacing w:line="360" w:lineRule="auto"/>
        <w:ind w:firstLine="480"/>
        <w:rPr>
          <w:rFonts w:ascii="宋体" w:hAnsi="宋体" w:eastAsia="宋体" w:cs="宋体"/>
          <w:color w:val="000000"/>
          <w:sz w:val="24"/>
        </w:rPr>
      </w:pPr>
      <w:r>
        <w:rPr>
          <w:rFonts w:hint="eastAsia" w:ascii="宋体" w:hAnsi="宋体" w:eastAsia="宋体" w:cs="宋体"/>
          <w:color w:val="000000"/>
          <w:sz w:val="24"/>
        </w:rPr>
        <w:t>5.其他</w:t>
      </w:r>
    </w:p>
    <w:p w14:paraId="5277B842">
      <w:pPr>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（以下无正文）</w:t>
      </w:r>
    </w:p>
    <w:p w14:paraId="3906F5A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甲方：</w:t>
      </w:r>
      <w:r>
        <w:rPr>
          <w:rFonts w:hint="eastAsia" w:ascii="宋体" w:hAnsi="宋体" w:eastAsia="宋体" w:cs="宋体"/>
          <w:color w:val="000000"/>
          <w:sz w:val="24"/>
          <w:u w:val="single"/>
        </w:rPr>
        <w:t>西安科技大学</w:t>
      </w:r>
      <w:r>
        <w:rPr>
          <w:rFonts w:hint="eastAsia" w:ascii="宋体" w:hAnsi="宋体" w:eastAsia="宋体" w:cs="宋体"/>
          <w:color w:val="000000"/>
          <w:sz w:val="24"/>
        </w:rPr>
        <w:t xml:space="preserve">（盖章）   </w:t>
      </w:r>
      <w:r>
        <w:rPr>
          <w:rFonts w:hint="eastAsia" w:ascii="宋体" w:hAnsi="宋体" w:eastAsia="宋体" w:cs="宋体"/>
          <w:color w:val="000000"/>
          <w:sz w:val="24"/>
        </w:rPr>
        <w:tab/>
      </w:r>
      <w:r>
        <w:rPr>
          <w:rFonts w:hint="eastAsia" w:ascii="宋体" w:hAnsi="宋体" w:eastAsia="宋体" w:cs="宋体"/>
          <w:color w:val="000000"/>
          <w:sz w:val="24"/>
        </w:rPr>
        <w:t xml:space="preserve">     乙方：</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（盖章） </w:t>
      </w:r>
    </w:p>
    <w:p w14:paraId="1863F9B6">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法定代表人（授权代表）：</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法定代表人（授权代表）：</w:t>
      </w:r>
      <w:r>
        <w:rPr>
          <w:rFonts w:hint="eastAsia" w:ascii="宋体" w:hAnsi="宋体" w:eastAsia="宋体" w:cs="宋体"/>
          <w:color w:val="000000"/>
          <w:sz w:val="24"/>
          <w:u w:val="single"/>
        </w:rPr>
        <w:t xml:space="preserve">     </w:t>
      </w:r>
    </w:p>
    <w:p w14:paraId="4FDF0785">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地址：</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地    址：</w:t>
      </w:r>
      <w:r>
        <w:rPr>
          <w:rFonts w:hint="eastAsia" w:ascii="宋体" w:hAnsi="宋体" w:eastAsia="宋体" w:cs="宋体"/>
          <w:color w:val="000000"/>
          <w:sz w:val="24"/>
          <w:u w:val="single"/>
        </w:rPr>
        <w:t xml:space="preserve">                 </w:t>
      </w:r>
    </w:p>
    <w:p w14:paraId="5F8591BC">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开户银行：</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开户银行：</w:t>
      </w:r>
      <w:r>
        <w:rPr>
          <w:rFonts w:hint="eastAsia" w:ascii="宋体" w:hAnsi="宋体" w:eastAsia="宋体" w:cs="宋体"/>
          <w:color w:val="000000"/>
          <w:sz w:val="24"/>
          <w:u w:val="single"/>
        </w:rPr>
        <w:t xml:space="preserve">                 </w:t>
      </w:r>
    </w:p>
    <w:p w14:paraId="39EC0AEA">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账号：</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账号：</w:t>
      </w:r>
      <w:r>
        <w:rPr>
          <w:rFonts w:hint="eastAsia" w:ascii="宋体" w:hAnsi="宋体" w:eastAsia="宋体" w:cs="宋体"/>
          <w:color w:val="000000"/>
          <w:sz w:val="24"/>
          <w:u w:val="single"/>
        </w:rPr>
        <w:t xml:space="preserve">                    </w:t>
      </w:r>
    </w:p>
    <w:p w14:paraId="78304ACD">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电话：</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电话：</w:t>
      </w:r>
      <w:r>
        <w:rPr>
          <w:rFonts w:hint="eastAsia" w:ascii="宋体" w:hAnsi="宋体" w:eastAsia="宋体" w:cs="宋体"/>
          <w:color w:val="000000"/>
          <w:sz w:val="24"/>
          <w:u w:val="single"/>
        </w:rPr>
        <w:t xml:space="preserve">                    </w:t>
      </w:r>
    </w:p>
    <w:p w14:paraId="37AD6D37">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传真：</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 xml:space="preserve">             传真：</w:t>
      </w:r>
      <w:r>
        <w:rPr>
          <w:rFonts w:hint="eastAsia" w:ascii="宋体" w:hAnsi="宋体" w:eastAsia="宋体" w:cs="宋体"/>
          <w:color w:val="000000"/>
          <w:sz w:val="24"/>
          <w:u w:val="single"/>
        </w:rPr>
        <w:t xml:space="preserve">                     </w:t>
      </w:r>
    </w:p>
    <w:p w14:paraId="3601D414">
      <w:pPr>
        <w:pStyle w:val="3"/>
        <w:adjustRightInd w:val="0"/>
        <w:snapToGrid w:val="0"/>
        <w:spacing w:line="360" w:lineRule="auto"/>
        <w:ind w:firstLine="480" w:firstLineChars="200"/>
        <w:jc w:val="center"/>
        <w:rPr>
          <w:rFonts w:hAnsi="宋体" w:eastAsia="宋体" w:cs="宋体"/>
          <w:b/>
          <w:bCs/>
          <w:color w:val="000000"/>
          <w:sz w:val="24"/>
        </w:rPr>
      </w:pPr>
      <w:r>
        <w:rPr>
          <w:rFonts w:hint="eastAsia" w:hAnsi="宋体" w:eastAsia="宋体" w:cs="宋体"/>
          <w:color w:val="000000"/>
          <w:sz w:val="24"/>
        </w:rPr>
        <w:t>签约日期：2025年</w:t>
      </w:r>
      <w:r>
        <w:rPr>
          <w:rFonts w:hint="eastAsia" w:hAnsi="宋体" w:eastAsia="宋体" w:cs="宋体"/>
          <w:color w:val="000000"/>
          <w:sz w:val="24"/>
          <w:u w:val="single"/>
        </w:rPr>
        <w:t xml:space="preserve">    </w:t>
      </w:r>
      <w:r>
        <w:rPr>
          <w:rFonts w:hint="eastAsia" w:hAnsi="宋体" w:eastAsia="宋体" w:cs="宋体"/>
          <w:color w:val="000000"/>
          <w:sz w:val="24"/>
        </w:rPr>
        <w:t>月</w:t>
      </w:r>
      <w:r>
        <w:rPr>
          <w:rFonts w:hint="eastAsia" w:hAnsi="宋体" w:eastAsia="宋体" w:cs="宋体"/>
          <w:color w:val="000000"/>
          <w:sz w:val="24"/>
          <w:u w:val="single"/>
        </w:rPr>
        <w:t xml:space="preserve">    </w:t>
      </w:r>
      <w:r>
        <w:rPr>
          <w:rFonts w:hint="eastAsia" w:hAnsi="宋体" w:eastAsia="宋体" w:cs="宋体"/>
          <w:color w:val="000000"/>
          <w:sz w:val="24"/>
        </w:rPr>
        <w:t>日      签约日期：2025年</w:t>
      </w:r>
      <w:r>
        <w:rPr>
          <w:rFonts w:hint="eastAsia" w:hAnsi="宋体" w:eastAsia="宋体" w:cs="宋体"/>
          <w:color w:val="000000"/>
          <w:sz w:val="24"/>
          <w:u w:val="single"/>
        </w:rPr>
        <w:t xml:space="preserve">    </w:t>
      </w:r>
      <w:r>
        <w:rPr>
          <w:rFonts w:hint="eastAsia" w:hAnsi="宋体" w:eastAsia="宋体" w:cs="宋体"/>
          <w:color w:val="000000"/>
          <w:sz w:val="24"/>
        </w:rPr>
        <w:t>月</w:t>
      </w:r>
      <w:r>
        <w:rPr>
          <w:rFonts w:hint="eastAsia" w:hAnsi="宋体" w:eastAsia="宋体" w:cs="宋体"/>
          <w:color w:val="000000"/>
          <w:sz w:val="24"/>
          <w:u w:val="single"/>
        </w:rPr>
        <w:t xml:space="preserve">    </w:t>
      </w:r>
      <w:r>
        <w:rPr>
          <w:rFonts w:hint="eastAsia" w:hAnsi="宋体" w:eastAsia="宋体" w:cs="宋体"/>
          <w:color w:val="000000"/>
          <w:sz w:val="24"/>
        </w:rPr>
        <w:t xml:space="preserve">日 </w:t>
      </w:r>
    </w:p>
    <w:p w14:paraId="2770D7FD">
      <w:pPr>
        <w:adjustRightInd w:val="0"/>
        <w:snapToGrid w:val="0"/>
        <w:spacing w:line="360" w:lineRule="auto"/>
        <w:rPr>
          <w:rFonts w:ascii="宋体" w:hAnsi="宋体" w:eastAsia="宋体" w:cs="宋体"/>
          <w:bCs/>
          <w:color w:val="000000"/>
          <w:szCs w:val="44"/>
        </w:rPr>
      </w:pPr>
      <w:r>
        <w:rPr>
          <w:rFonts w:hint="eastAsia" w:ascii="宋体" w:hAnsi="宋体" w:eastAsia="宋体" w:cs="宋体"/>
          <w:b/>
          <w:color w:val="000000"/>
          <w:sz w:val="24"/>
        </w:rPr>
        <w:t xml:space="preserve"> </w:t>
      </w:r>
    </w:p>
    <w:p w14:paraId="73109F0B">
      <w:pPr>
        <w:adjustRightInd w:val="0"/>
        <w:snapToGrid w:val="0"/>
        <w:spacing w:line="360" w:lineRule="auto"/>
        <w:ind w:firstLine="480" w:firstLineChars="200"/>
        <w:rPr>
          <w:rFonts w:ascii="宋体" w:hAnsi="宋体" w:cs="宋体"/>
          <w:b/>
          <w:color w:val="000000"/>
          <w:sz w:val="48"/>
          <w:szCs w:val="48"/>
        </w:rPr>
      </w:pPr>
      <w:r>
        <w:rPr>
          <w:rFonts w:hint="eastAsia" w:ascii="宋体" w:hAnsi="宋体" w:eastAsia="宋体" w:cs="宋体"/>
          <w:color w:val="000000"/>
          <w:sz w:val="24"/>
        </w:rPr>
        <w:t>签订地点：</w:t>
      </w:r>
      <w:r>
        <w:rPr>
          <w:rFonts w:hint="eastAsia" w:ascii="宋体" w:hAnsi="宋体" w:eastAsia="宋体" w:cs="宋体"/>
          <w:color w:val="000000"/>
          <w:sz w:val="24"/>
          <w:u w:val="single"/>
        </w:rPr>
        <w:t xml:space="preserve">                       </w:t>
      </w:r>
    </w:p>
    <w:p w14:paraId="79A32D65">
      <w:pPr>
        <w:adjustRightInd w:val="0"/>
        <w:snapToGrid w:val="0"/>
        <w:spacing w:line="360" w:lineRule="auto"/>
        <w:ind w:firstLine="482" w:firstLineChars="200"/>
        <w:jc w:val="both"/>
        <w:rPr>
          <w:rFonts w:ascii="方正小标宋简体" w:hAnsi="宋体" w:eastAsia="宋体" w:cs="仿宋"/>
          <w:b/>
          <w:sz w:val="24"/>
          <w:szCs w:val="32"/>
          <w:bdr w:val="single" w:color="auto" w:sz="4" w:space="0"/>
          <w:shd w:val="pct10" w:color="auto" w:fill="FFFFFF"/>
        </w:rPr>
      </w:pPr>
    </w:p>
    <w:p w14:paraId="78CF4248"/>
    <w:sectPr>
      <w:headerReference r:id="rId6" w:type="default"/>
      <w:footerReference r:id="rId7" w:type="default"/>
      <w:pgSz w:w="11900" w:h="16840"/>
      <w:pgMar w:top="1440" w:right="1800" w:bottom="1440" w:left="1800" w:header="992"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AFF" w:usb1="C0007841" w:usb2="00000009" w:usb3="00000000" w:csb0="400001FF" w:csb1="FFFF0000"/>
  </w:font>
  <w:font w:name="宋体">
    <w:panose1 w:val="02010600030101010101"/>
    <w:charset w:val="0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Fallback">
    <w:altName w:val="宋体"/>
    <w:panose1 w:val="00000000000000000000"/>
    <w:charset w:val="86"/>
    <w:family w:val="swiss"/>
    <w:pitch w:val="default"/>
    <w:sig w:usb0="00000000" w:usb1="00000000" w:usb2="00000016" w:usb3="00000000" w:csb0="203F01FF" w:csb1="D7FF0000"/>
  </w:font>
  <w:font w:name="Noto Sans CJK HK">
    <w:altName w:val="Segoe Print"/>
    <w:panose1 w:val="00000000000000000000"/>
    <w:charset w:val="00"/>
    <w:family w:val="swiss"/>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4F35C">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24A3AC">
                          <w:pPr>
                            <w:pStyle w:val="4"/>
                          </w:pPr>
                          <w:r>
                            <w:t xml:space="preserve">第 </w:t>
                          </w:r>
                          <w:r>
                            <w:fldChar w:fldCharType="begin"/>
                          </w:r>
                          <w:r>
                            <w:instrText xml:space="preserve"> PAGE  \* MERGEFORMAT </w:instrText>
                          </w:r>
                          <w:r>
                            <w:fldChar w:fldCharType="separate"/>
                          </w:r>
                          <w:r>
                            <w:t>10</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8zq8sIBAACN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GfM6vLCAQAAjQMAAA4AAAAAAAAAAQAgAAAAHgEAAGRycy9lMm9Eb2MueG1sUEsF&#10;BgAAAAAGAAYAWQEAAFIFAAAAAA==&#10;">
              <v:fill on="f" focussize="0,0"/>
              <v:stroke on="f"/>
              <v:imagedata o:title=""/>
              <o:lock v:ext="edit" aspectratio="f"/>
              <v:textbox inset="0mm,0mm,0mm,0mm" style="mso-fit-shape-to-text:t;">
                <w:txbxContent>
                  <w:p w14:paraId="6324A3AC">
                    <w:pPr>
                      <w:pStyle w:val="4"/>
                    </w:pPr>
                    <w:r>
                      <w:t xml:space="preserve">第 </w:t>
                    </w:r>
                    <w:r>
                      <w:fldChar w:fldCharType="begin"/>
                    </w:r>
                    <w:r>
                      <w:instrText xml:space="preserve"> PAGE  \* MERGEFORMAT </w:instrText>
                    </w:r>
                    <w:r>
                      <w:fldChar w:fldCharType="separate"/>
                    </w:r>
                    <w:r>
                      <w:t>10</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4F690">
    <w:pPr>
      <w:pStyle w:val="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3A064F9">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JFlysIBAACN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m5BoTbQ8LCpZ+MOkJNxXBKhdG0UXkNHt9L1sNftPk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NiRZcrCAQAAjQMAAA4AAAAAAAAAAQAgAAAAHgEAAGRycy9lMm9Eb2MueG1sUEsF&#10;BgAAAAAGAAYAWQEAAFIFAAAAAA==&#10;">
              <v:fill on="f" focussize="0,0"/>
              <v:stroke on="f"/>
              <v:imagedata o:title=""/>
              <o:lock v:ext="edit" aspectratio="f"/>
              <v:textbox inset="0mm,0mm,0mm,0mm" style="mso-fit-shape-to-text:t;">
                <w:txbxContent>
                  <w:p w14:paraId="43A064F9">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EA0D70">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D66A0C">
                          <w:pPr>
                            <w:pStyle w:val="4"/>
                          </w:pPr>
                          <w:r>
                            <w:t xml:space="preserve">第 </w:t>
                          </w:r>
                          <w:r>
                            <w:fldChar w:fldCharType="begin"/>
                          </w:r>
                          <w:r>
                            <w:instrText xml:space="preserve"> PAGE  \* MERGEFORMAT </w:instrText>
                          </w:r>
                          <w:r>
                            <w:fldChar w:fldCharType="separate"/>
                          </w:r>
                          <w:r>
                            <w:t>46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42D66A0C">
                    <w:pPr>
                      <w:pStyle w:val="4"/>
                    </w:pPr>
                    <w:r>
                      <w:t xml:space="preserve">第 </w:t>
                    </w:r>
                    <w:r>
                      <w:fldChar w:fldCharType="begin"/>
                    </w:r>
                    <w:r>
                      <w:instrText xml:space="preserve"> PAGE  \* MERGEFORMAT </w:instrText>
                    </w:r>
                    <w:r>
                      <w:fldChar w:fldCharType="separate"/>
                    </w:r>
                    <w:r>
                      <w:t>46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9AD1E">
    <w:pPr>
      <w:pStyle w:val="5"/>
      <w:pBdr>
        <w:bottom w:val="none" w:color="auto" w:sz="0" w:space="0"/>
      </w:pBdr>
      <w:rPr>
        <w:rFonts w:ascii="黑体" w:eastAsia="黑体"/>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720BB">
    <w:pPr>
      <w:pStyle w:val="5"/>
      <w:pBdr>
        <w:bottom w:val="none" w:color="auto" w:sz="0" w:space="0"/>
      </w:pBdr>
      <w:rPr>
        <w:rFonts w:ascii="黑体"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99721C"/>
    <w:rsid w:val="30997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Droid Sans Fallback" w:hAnsi="Droid Sans Fallback" w:eastAsia="Droid Sans Fallback" w:cs="Droid Sans Fallback"/>
      <w:sz w:val="22"/>
      <w:szCs w:val="22"/>
      <w:lang w:val="en-US" w:eastAsia="zh-CN" w:bidi="ar-SA"/>
    </w:rPr>
  </w:style>
  <w:style w:type="paragraph" w:styleId="2">
    <w:name w:val="heading 1"/>
    <w:basedOn w:val="1"/>
    <w:next w:val="1"/>
    <w:qFormat/>
    <w:uiPriority w:val="1"/>
    <w:pPr>
      <w:spacing w:line="521" w:lineRule="exact"/>
      <w:ind w:left="27" w:right="56"/>
      <w:jc w:val="center"/>
      <w:outlineLvl w:val="0"/>
    </w:pPr>
    <w:rPr>
      <w:rFonts w:ascii="Noto Sans CJK HK" w:hAnsi="Noto Sans CJK HK" w:eastAsia="Noto Sans CJK HK" w:cs="Noto Sans CJK HK"/>
      <w:b/>
      <w:bCs/>
      <w:sz w:val="31"/>
      <w:szCs w:val="31"/>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宋体" w:hAnsi="Courier New"/>
    </w:rPr>
  </w:style>
  <w:style w:type="paragraph" w:styleId="4">
    <w:name w:val="footer"/>
    <w:basedOn w:val="1"/>
    <w:qFormat/>
    <w:uiPriority w:val="99"/>
    <w:pPr>
      <w:tabs>
        <w:tab w:val="center" w:pos="4153"/>
        <w:tab w:val="right" w:pos="8306"/>
      </w:tabs>
      <w:adjustRightInd w:val="0"/>
      <w:spacing w:line="240" w:lineRule="atLeast"/>
      <w:textAlignment w:val="baseline"/>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6">
    <w:name w:val="Normal (Web)"/>
    <w:basedOn w:val="1"/>
    <w:qFormat/>
    <w:uiPriority w:val="0"/>
    <w:pPr>
      <w:spacing w:beforeAutospacing="1" w:afterAutospacing="1"/>
    </w:pPr>
    <w:rPr>
      <w:rFonts w:cs="Times New Roman"/>
      <w:sz w:val="24"/>
    </w:rPr>
  </w:style>
  <w:style w:type="paragraph" w:customStyle="1" w:styleId="9">
    <w:name w:val="HTML 预设格式1"/>
    <w:basedOn w:val="1"/>
    <w:qFormat/>
    <w:uiPriority w:val="0"/>
    <w:rPr>
      <w:rFonts w:ascii="Courier New" w:hAnsi="Courier New"/>
      <w:sz w:val="20"/>
    </w:rPr>
  </w:style>
  <w:style w:type="paragraph" w:styleId="10">
    <w:name w:val="List Paragraph"/>
    <w:basedOn w:val="1"/>
    <w:qFormat/>
    <w:uiPriority w:val="1"/>
    <w:pPr>
      <w:ind w:left="638" w:hanging="532"/>
    </w:pPr>
    <w:rPr>
      <w:rFonts w:ascii="Noto Sans CJK HK" w:hAnsi="Noto Sans CJK HK" w:eastAsia="Noto Sans CJK HK" w:cs="Noto Sans CJK HK"/>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2025-07-17T05:57:00Z</dcterms:created>
  <dc:creator>开瑞</dc:creator>
  <cp:lastModifiedBy>开瑞</cp:lastModifiedBy>
  <dcterms:modified xsi:type="dcterms:W3CDTF">2025-07-17T05:58:45Z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36460CDED0AE40CD8B807D6F0CDB98DC_11</vt:lpwstr>
  </property>
  <property fmtid="{D5CDD505-2E9C-101B-9397-08002B2CF9AE}" pid="4" name="KSOTemplateDocerSaveRecord">
    <vt:lpwstr>eyJoZGlkIjoiOGIxODMzZGQ5YWM1MzIzNmUwMzJiNTQzN2U5MTE1YTciLCJ1c2VySWQiOiIzODU0NDc2MTYifQ==</vt:lpwstr>
  </property>
</Properties>
</file>