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版本号：HC-2025010-SG20250717001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危楼拆除及加固改造工程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HC-2025010-SG</w:t>
      </w:r>
      <w:r>
        <w:br/>
      </w:r>
      <w:r>
        <w:br/>
      </w:r>
      <w:r>
        <w:br/>
      </w:r>
    </w:p>
    <w:p>
      <w:pPr>
        <w:pStyle w:val="null3"/>
        <w:jc w:val="center"/>
        <w:outlineLvl w:val="2"/>
      </w:pPr>
      <w:r>
        <w:rPr>
          <w:rFonts w:ascii="仿宋_GB2312" w:hAnsi="仿宋_GB2312" w:cs="仿宋_GB2312" w:eastAsia="仿宋_GB2312"/>
          <w:sz w:val="28"/>
          <w:b/>
        </w:rPr>
        <w:t>陕西省商贸技工学校</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陕西省商贸技工学校</w:t>
      </w:r>
      <w:r>
        <w:rPr>
          <w:rFonts w:ascii="仿宋_GB2312" w:hAnsi="仿宋_GB2312" w:cs="仿宋_GB2312" w:eastAsia="仿宋_GB2312"/>
        </w:rPr>
        <w:t>委托，拟对</w:t>
      </w:r>
      <w:r>
        <w:rPr>
          <w:rFonts w:ascii="仿宋_GB2312" w:hAnsi="仿宋_GB2312" w:cs="仿宋_GB2312" w:eastAsia="仿宋_GB2312"/>
        </w:rPr>
        <w:t>危楼拆除及加固改造工程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HC-2025010-SG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危楼拆除及加固改造工程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原地上主体全部拆除，新建地上2层，建筑面积为941.26㎡，建筑高度为8.8m，抗震设防烈度8度，主要结构类型为框架结构。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采购包1（陕西省商贸技工学校危楼拆除及加固改造工程）：属于专门面向中小企业采购。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能力的企业法人、事业法人、其他组织或自然人：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pPr>
        <w:pStyle w:val="null3"/>
      </w:pPr>
      <w:r>
        <w:rPr>
          <w:rFonts w:ascii="仿宋_GB2312" w:hAnsi="仿宋_GB2312" w:cs="仿宋_GB2312" w:eastAsia="仿宋_GB2312"/>
        </w:rPr>
        <w:t>2、供应商应授权合法的人员参加投标：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3、供应商应提供健全的财务会计制度：供应商需提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4、税收缴纳证明：供应商提供响应文件递交截止时间前六个月内任意一月已缴纳的纳税证明或完税证明，依法免税的供应商应提供相关证明文件。</w:t>
      </w:r>
    </w:p>
    <w:p>
      <w:pPr>
        <w:pStyle w:val="null3"/>
      </w:pPr>
      <w:r>
        <w:rPr>
          <w:rFonts w:ascii="仿宋_GB2312" w:hAnsi="仿宋_GB2312" w:cs="仿宋_GB2312" w:eastAsia="仿宋_GB2312"/>
        </w:rPr>
        <w:t>5、社保缴纳证明：供应商提供响应文件递交截止时间前六个月内任意一月已缴存的社会保障资金缴费证明或参保证明，依法不需要缴纳社会保障资金的供应商应提供相关证明文件。</w:t>
      </w:r>
    </w:p>
    <w:p>
      <w:pPr>
        <w:pStyle w:val="null3"/>
      </w:pPr>
      <w:r>
        <w:rPr>
          <w:rFonts w:ascii="仿宋_GB2312" w:hAnsi="仿宋_GB2312" w:cs="仿宋_GB2312" w:eastAsia="仿宋_GB2312"/>
        </w:rPr>
        <w:t>6、供应商资质条件：供应商应具备建筑工程施工总承包三级及以上资质，且具备合法有效的安全生产许可证。</w:t>
      </w:r>
    </w:p>
    <w:p>
      <w:pPr>
        <w:pStyle w:val="null3"/>
      </w:pPr>
      <w:r>
        <w:rPr>
          <w:rFonts w:ascii="仿宋_GB2312" w:hAnsi="仿宋_GB2312" w:cs="仿宋_GB2312" w:eastAsia="仿宋_GB2312"/>
        </w:rPr>
        <w:t>7、拟派项目经理资质条件：拟派项目经理具有建筑工程专业二级及以上注册建造师执业资格；具备有效的安全生产考核合格证书，且无在建工程（提供无在建项目承诺书）。</w:t>
      </w:r>
    </w:p>
    <w:p>
      <w:pPr>
        <w:pStyle w:val="null3"/>
      </w:pPr>
      <w:r>
        <w:rPr>
          <w:rFonts w:ascii="仿宋_GB2312" w:hAnsi="仿宋_GB2312" w:cs="仿宋_GB2312" w:eastAsia="仿宋_GB2312"/>
        </w:rPr>
        <w:t>8、无重大违法记录：参加政府采购活动前3年内，在经营活动中没有重大违法记录的书面声明。</w:t>
      </w:r>
    </w:p>
    <w:p>
      <w:pPr>
        <w:pStyle w:val="null3"/>
      </w:pPr>
      <w:r>
        <w:rPr>
          <w:rFonts w:ascii="仿宋_GB2312" w:hAnsi="仿宋_GB2312" w:cs="仿宋_GB2312" w:eastAsia="仿宋_GB2312"/>
        </w:rPr>
        <w:t>9、具有履行合同所必需的设备和专业技术能力：供应商应具有履行合同所必需的设备和专业技术能力，提供承诺书。</w:t>
      </w:r>
    </w:p>
    <w:p>
      <w:pPr>
        <w:pStyle w:val="null3"/>
      </w:pPr>
      <w:r>
        <w:rPr>
          <w:rFonts w:ascii="仿宋_GB2312" w:hAnsi="仿宋_GB2312" w:cs="仿宋_GB2312" w:eastAsia="仿宋_GB2312"/>
        </w:rPr>
        <w:t>10、信用查询：供应商不得为“信用中国”网站（www.creditchina.gov.cn）中列入重大税收违法失信主体名单的供应商、不得为“中国执行信息公开网”网站（zxgk.court.gov.cn）中列入失信被执行人的供应商、不得为中国政府采购网（www.ccg p.gov.cn）政府采购严重违法失信行为记录名单中被财政部门禁止参加政府采购活动的供应商。</w:t>
      </w:r>
    </w:p>
    <w:p>
      <w:pPr>
        <w:pStyle w:val="null3"/>
      </w:pPr>
      <w:r>
        <w:rPr>
          <w:rFonts w:ascii="仿宋_GB2312" w:hAnsi="仿宋_GB2312" w:cs="仿宋_GB2312" w:eastAsia="仿宋_GB2312"/>
        </w:rPr>
        <w:t>11、非联合体投标声明：本项目不接受联合体，提供非联合体投标声明。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陕西省商贸技工学校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陕西省咸阳市秦都区联盟三路副三号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陕西省商贸技工学校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15827285022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西咸新区沣西新城中铁港沣国际1209室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曹学伟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17730602788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采购包1：3,039,971.00元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说明：在合同签订前缴交履约保证金，否则视为自动放弃中标。</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代理服务费收费标准：代理机构向中标（成交）供应商收取代理服务费壹万伍仟元整；（￥：15000.00元）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陕西省商贸技工学校</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陕西省商贸技工学校</w:t>
      </w:r>
      <w:r>
        <w:rPr>
          <w:rFonts w:ascii="仿宋_GB2312" w:hAnsi="仿宋_GB2312" w:cs="仿宋_GB2312" w:eastAsia="仿宋_GB2312"/>
        </w:rPr>
        <w:t>负责解释。除上述磋商文件内容，其他内容由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陕西省商贸技工学校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联系人：曹学伟</w:t>
      </w:r>
    </w:p>
    <w:p>
      <w:pPr>
        <w:pStyle w:val="null3"/>
      </w:pPr>
      <w:r>
        <w:rPr>
          <w:rFonts w:ascii="仿宋_GB2312" w:hAnsi="仿宋_GB2312" w:cs="仿宋_GB2312" w:eastAsia="仿宋_GB2312"/>
        </w:rPr>
        <w:t>联系电话：17730602788</w:t>
      </w:r>
    </w:p>
    <w:p>
      <w:pPr>
        <w:pStyle w:val="null3"/>
      </w:pPr>
      <w:r>
        <w:rPr>
          <w:rFonts w:ascii="仿宋_GB2312" w:hAnsi="仿宋_GB2312" w:cs="仿宋_GB2312" w:eastAsia="仿宋_GB2312"/>
        </w:rPr>
        <w:t>地址：西咸新区沣西新城中铁港沣国际1209室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3,039,971.00</w:t>
      </w:r>
    </w:p>
    <w:p>
      <w:pPr>
        <w:pStyle w:val="null3"/>
      </w:pPr>
      <w:r>
        <w:rPr>
          <w:rFonts w:ascii="仿宋_GB2312" w:hAnsi="仿宋_GB2312" w:cs="仿宋_GB2312" w:eastAsia="仿宋_GB2312"/>
        </w:rPr>
        <w:t>采购包最高限价（元）: 3,029,487.32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建筑加固改造</w:t>
            </w:r>
          </w:p>
        </w:tc>
        <w:tc>
          <w:tcPr>
            <w:tcW w:type="dxa" w:w="1384"/>
          </w:tcPr>
          <w:p>
            <w:pPr>
              <w:pStyle w:val="null3"/>
              <w:jc w:val="right"/>
            </w:pPr>
            <w:r>
              <w:rPr>
                <w:rFonts w:ascii="仿宋_GB2312" w:hAnsi="仿宋_GB2312" w:cs="仿宋_GB2312" w:eastAsia="仿宋_GB2312"/>
              </w:rPr>
              <w:t>950.00</w:t>
            </w:r>
          </w:p>
        </w:tc>
        <w:tc>
          <w:tcPr>
            <w:tcW w:type="dxa" w:w="1384"/>
          </w:tcPr>
          <w:p>
            <w:pPr>
              <w:pStyle w:val="null3"/>
              <w:jc w:val="right"/>
            </w:pPr>
            <w:r>
              <w:rPr>
                <w:rFonts w:ascii="仿宋_GB2312" w:hAnsi="仿宋_GB2312" w:cs="仿宋_GB2312" w:eastAsia="仿宋_GB2312"/>
              </w:rPr>
              <w:t>3,039,971.00</w:t>
            </w:r>
          </w:p>
        </w:tc>
        <w:tc>
          <w:tcPr>
            <w:tcW w:type="dxa" w:w="1384"/>
          </w:tcPr>
          <w:p>
            <w:pPr>
              <w:pStyle w:val="null3"/>
            </w:pPr>
            <w:r>
              <w:rPr>
                <w:rFonts w:ascii="仿宋_GB2312" w:hAnsi="仿宋_GB2312" w:cs="仿宋_GB2312" w:eastAsia="仿宋_GB2312"/>
              </w:rPr>
              <w:t>平方米</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标的名称：建筑加固改造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原地上主体全部拆除，新建地上</w:t>
            </w:r>
            <w:r>
              <w:rPr>
                <w:rFonts w:ascii="仿宋_GB2312" w:hAnsi="仿宋_GB2312" w:cs="仿宋_GB2312" w:eastAsia="仿宋_GB2312"/>
                <w:sz w:val="21"/>
                <w:color w:val="000000"/>
              </w:rPr>
              <w:t>2层，建筑面积为941.26㎡，建筑高度为8.8m，抗震设防烈度8度，主要结构类型为框架结构。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1、工程质量保修期：两年，如承诺延长的按承诺期限。 2、工程款支付：本工程的工程款按每月完成工程量的80％支付进度款，竣工验收合格后支付至合同价款的80%时暂停支付，待决算完成90日后支付至合同价款的97%，剩余3%做为质量保证金。质量保修期终止后，无质量保修缺陷一次性不计息返还质量保证金。3、本项目图纸和工程量清单如有不一致的情况，以工程量清单为准，并结合现场踏勘情况综合考虑。4、为顺利推进政府采购电子化交易平台应用工作，供应商需要在线提交所有通过电子化交易平台实施的政府采购项目的磋商响应文件，同时，线下提交响应文件正本壹份、副本贰份、电子版壹份（U盘1个，包含word、PDF和广联达版本电子投标书格式响应文件所有内容），全部纸质、电子版资料统一密封在一个密封袋中。若电子化交易平台文件与纸质磋商响应文件不一致的，以电子化交易平台文件为准。线下递交文件时间与线上磋商截止时间一致；线下递交文件地点：西咸新区沣西新城中铁港沣国际1209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供应商应为具有独立承担民事责任能力的企业法人、事业法人、其他组织或自然人</w:t>
            </w:r>
          </w:p>
        </w:tc>
        <w:tc>
          <w:tcPr>
            <w:tcW w:type="dxa" w:w="3322"/>
          </w:tcPr>
          <w:p>
            <w:pPr>
              <w:pStyle w:val="null3"/>
            </w:pPr>
            <w:r>
              <w:rPr>
                <w:rFonts w:ascii="仿宋_GB2312" w:hAnsi="仿宋_GB2312" w:cs="仿宋_GB2312" w:eastAsia="仿宋_GB2312"/>
              </w:rPr>
              <w:t>供应商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供应商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w:t>
            </w:r>
          </w:p>
        </w:tc>
        <w:tc>
          <w:tcPr>
            <w:tcW w:type="dxa" w:w="3322"/>
          </w:tcPr>
          <w:p>
            <w:pPr>
              <w:pStyle w:val="null3"/>
            </w:pPr>
            <w:r>
              <w:rPr>
                <w:rFonts w:ascii="仿宋_GB2312" w:hAnsi="仿宋_GB2312" w:cs="仿宋_GB2312" w:eastAsia="仿宋_GB2312"/>
              </w:rPr>
              <w:t>供应商需提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供应商提供响应文件递交截止时间前六个月内任意一月已缴纳的纳税证明或完税证明，依法免税的供应商应提供相关证明文件。</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供应商提供响应文件递交截止时间前六个月内任意一月已缴存的社会保障资金缴费证明或参保证明，依法不需要缴纳社会保障资金的供应商应提供相关证明文件。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供应商资质条件</w:t>
            </w:r>
          </w:p>
        </w:tc>
        <w:tc>
          <w:tcPr>
            <w:tcW w:type="dxa" w:w="3322"/>
          </w:tcPr>
          <w:p>
            <w:pPr>
              <w:pStyle w:val="null3"/>
            </w:pPr>
            <w:r>
              <w:rPr>
                <w:rFonts w:ascii="仿宋_GB2312" w:hAnsi="仿宋_GB2312" w:cs="仿宋_GB2312" w:eastAsia="仿宋_GB2312"/>
              </w:rPr>
              <w:t>供应商应具备建筑工程施工总承包三级及以上资质，且具备合法有效的安全生产许可证。</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拟派项目经理资质条件</w:t>
            </w:r>
          </w:p>
        </w:tc>
        <w:tc>
          <w:tcPr>
            <w:tcW w:type="dxa" w:w="3322"/>
          </w:tcPr>
          <w:p>
            <w:pPr>
              <w:pStyle w:val="null3"/>
            </w:pPr>
            <w:r>
              <w:rPr>
                <w:rFonts w:ascii="仿宋_GB2312" w:hAnsi="仿宋_GB2312" w:cs="仿宋_GB2312" w:eastAsia="仿宋_GB2312"/>
              </w:rPr>
              <w:t>拟派项目经理具有建筑工程专业二级及以上注册建造师执业资格；具备有效的安全生产考核合格证书，且无在建工程（提供无在建项目承诺书）。</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供应商应具有履行合同所必需的设备和专业技术能力，提供承诺书。</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重大税收违法失信主体名单的供应商、不得为“中国执行信息公开网”网站（zxgk.court.gov.cn）中列入失信被执行人的供应商、不得为中国政府采购网（www.ccg 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供应商应提交的特定资格证明材料.docx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供应商应提交的特定资格证明材料.docx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供应商应提交的特定资格证明材料.docx 其他.docx 响应文件封面 施工组织方案.docx 残疾人福利性单位声明函 报价函 标的清单 供应商类似项目业绩一览表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供应商应提交的特定资格证明材料.docx 其他.docx 响应文件封面 施工组织方案.docx 残疾人福利性单位声明函 报价函 标的清单 供应商类似项目业绩一览表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符合国家及行业验收合格标准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从提交响应文件截止之日起，不少于90天。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报价不超过最高限价。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详细评审45.00分</w:t>
            </w:r>
          </w:p>
          <w:p>
            <w:pPr>
              <w:pStyle w:val="null3"/>
            </w:pPr>
            <w:r>
              <w:rPr>
                <w:rFonts w:ascii="仿宋_GB2312" w:hAnsi="仿宋_GB2312" w:cs="仿宋_GB2312" w:eastAsia="仿宋_GB2312"/>
              </w:rPr>
              <w:t>报价得分55.00分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施工组织方案主要包括以下内容： 项目经理部的组成（附拟派项目管理人员执业资格证书、身份证、学历证、响应文件递交截止时间前六个月内任意一月已缴存的社会保障资金缴费证明或参保证明） 施工进度计划及措施 施工方案 质量、安全保证措施 文明施工措施 每个分项3—7分,缺项得0分。对具体项目中有特殊工艺要求的,可另增设子项或调整。</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供应商提供近三年（2022年1月1日至今）具有类似项目业绩证明资料，每提供一份得2分，该项最多得10分。（以签订施工合同为准）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采购文件要求且磋商价格最低的磋商报价为评审基准价，其价格分为满分。其他供应商的价格分统一按照下列公式计算：磋商报价得分=（评审基准价/磋商报价）×价格权值×100。 评标委员会1/2以上成员认为某报价有低于成本价嫌疑的，为无效报价按废标处理。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详见附件：供应商应提交的特定资格证明材料.docx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详见附件：合同文件格式及合同条款.docx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