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2F74A">
      <w:pPr>
        <w:keepNext w:val="0"/>
        <w:keepLines w:val="0"/>
        <w:widowControl/>
        <w:suppressLineNumbers w:val="0"/>
        <w:jc w:val="center"/>
        <w:rPr>
          <w:b/>
          <w:bCs/>
          <w:sz w:val="40"/>
          <w:szCs w:val="48"/>
        </w:rPr>
      </w:pPr>
      <w:r>
        <w:rPr>
          <w:rFonts w:hint="eastAsia" w:ascii="宋体" w:hAnsi="宋体" w:eastAsia="宋体" w:cs="宋体"/>
          <w:b/>
          <w:bCs/>
          <w:color w:val="000000"/>
          <w:kern w:val="0"/>
          <w:sz w:val="32"/>
          <w:szCs w:val="32"/>
          <w:lang w:val="en-US" w:eastAsia="zh-CN" w:bidi="ar"/>
        </w:rPr>
        <w:t>供应商应提交的特定资格证明材料</w:t>
      </w:r>
    </w:p>
    <w:p w14:paraId="70662051">
      <w:pPr>
        <w:spacing w:line="360" w:lineRule="auto"/>
        <w:jc w:val="both"/>
        <w:rPr>
          <w:rFonts w:hint="eastAsia" w:ascii="宋体" w:hAnsi="宋体" w:eastAsia="宋体" w:cs="宋体"/>
          <w:bCs/>
          <w:color w:val="auto"/>
          <w:sz w:val="22"/>
          <w:szCs w:val="22"/>
          <w:lang w:val="en-US" w:eastAsia="zh-CN"/>
        </w:rPr>
      </w:pPr>
      <w:r>
        <w:rPr>
          <w:rFonts w:hint="eastAsia" w:ascii="宋体" w:hAnsi="宋体" w:cs="宋体"/>
          <w:bCs/>
          <w:color w:val="auto"/>
          <w:sz w:val="22"/>
          <w:szCs w:val="22"/>
          <w:lang w:val="en-US" w:eastAsia="zh-CN"/>
        </w:rPr>
        <w:t>（1）</w:t>
      </w:r>
      <w:r>
        <w:rPr>
          <w:rFonts w:hint="eastAsia" w:ascii="宋体" w:hAnsi="宋体" w:eastAsia="宋体" w:cs="宋体"/>
          <w:bCs/>
          <w:color w:val="auto"/>
          <w:sz w:val="22"/>
          <w:szCs w:val="22"/>
          <w:lang w:val="en-US" w:eastAsia="zh-CN"/>
        </w:rPr>
        <w:t>供应商应为具有独立承担民事责任能力的企业法人、事业法人、其他组织或自然人：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14:paraId="795E95AE">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2）供应商应授权合法的人员参加投标：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14:paraId="7A5A4A2B">
      <w:pPr>
        <w:spacing w:line="360" w:lineRule="auto"/>
        <w:jc w:val="both"/>
        <w:rPr>
          <w:rFonts w:hint="eastAsia" w:ascii="宋体" w:hAnsi="宋体" w:eastAsia="宋体" w:cs="宋体"/>
          <w:bCs/>
          <w:color w:val="auto"/>
          <w:sz w:val="22"/>
          <w:szCs w:val="22"/>
          <w:lang w:val="en-US" w:eastAsia="zh-CN"/>
        </w:rPr>
      </w:pPr>
      <w:r>
        <w:rPr>
          <w:rFonts w:hint="eastAsia" w:ascii="宋体" w:hAnsi="宋体" w:eastAsia="宋体" w:cs="宋体"/>
          <w:bCs/>
          <w:color w:val="auto"/>
          <w:sz w:val="22"/>
          <w:szCs w:val="22"/>
          <w:lang w:val="en-US" w:eastAsia="zh-CN"/>
        </w:rPr>
        <w:t>（</w:t>
      </w:r>
      <w:r>
        <w:rPr>
          <w:rFonts w:hint="eastAsia" w:ascii="宋体" w:hAnsi="宋体" w:cs="宋体"/>
          <w:bCs/>
          <w:color w:val="auto"/>
          <w:sz w:val="22"/>
          <w:szCs w:val="22"/>
          <w:lang w:val="en-US" w:eastAsia="zh-CN"/>
        </w:rPr>
        <w:t>3</w:t>
      </w:r>
      <w:r>
        <w:rPr>
          <w:rFonts w:hint="eastAsia" w:ascii="宋体" w:hAnsi="宋体" w:eastAsia="宋体" w:cs="宋体"/>
          <w:bCs/>
          <w:color w:val="auto"/>
          <w:sz w:val="22"/>
          <w:szCs w:val="22"/>
          <w:lang w:val="en-US" w:eastAsia="zh-CN"/>
        </w:rPr>
        <w:t>）供应商应提供健全的财务会计制度</w:t>
      </w:r>
      <w:r>
        <w:rPr>
          <w:rFonts w:hint="eastAsia" w:ascii="宋体" w:hAnsi="宋体" w:eastAsia="宋体" w:cs="宋体"/>
          <w:bCs/>
          <w:color w:val="auto"/>
          <w:sz w:val="22"/>
          <w:szCs w:val="22"/>
        </w:rPr>
        <w:t>：</w:t>
      </w:r>
      <w:r>
        <w:rPr>
          <w:rFonts w:hint="eastAsia" w:ascii="宋体" w:hAnsi="宋体" w:eastAsia="宋体" w:cs="宋体"/>
          <w:bCs/>
          <w:color w:val="auto"/>
          <w:sz w:val="22"/>
          <w:szCs w:val="22"/>
          <w:lang w:val="en-US" w:eastAsia="zh-CN"/>
        </w:rPr>
        <w:t>供应商需提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14:paraId="58F971C8">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（4）税收缴纳证明：供应商提供响应文件递交截止时间前六个月内任意一月已缴纳的纳税证明或完税证明，依法免税的供应商应提供相关证明文件。</w:t>
      </w:r>
    </w:p>
    <w:p w14:paraId="253C7685">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（5）社保缴纳证明：供应商提供响应文件递交截止时间前六个月内任意一月已缴存的社会保障资金缴费证明或参保证明，依法不需要缴纳社会保障资金的供应商应提供相关证明文件。</w:t>
      </w:r>
    </w:p>
    <w:p w14:paraId="49B8E2D4">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（6）供应商资质条件：供应商应具备建筑工程施工总承包三级及以上资质，且具备合法有效的安全生产许可证。</w:t>
      </w:r>
    </w:p>
    <w:p w14:paraId="4FD80B3A">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（7）拟派项目经理资质条件：拟派项目经理具有建筑工程专业二级及以上注册建造师执业资格；具备有效的安全生产考核合格证书，且无在建工程（提供无在建项目承诺书）。</w:t>
      </w:r>
    </w:p>
    <w:p w14:paraId="2D7AD3B9">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（8）无重大违法记录:参加政府采购活动前3年内，在经营活动中没有重大违法记录的书面声明。</w:t>
      </w:r>
    </w:p>
    <w:p w14:paraId="01B2FDBC">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(9)具有履行合同所必需的设备和专业技术能力:供应商应具有履行合同所必需的设备和专业技术能力，提供承诺书。</w:t>
      </w:r>
    </w:p>
    <w:p w14:paraId="50FCB50E">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 xml:space="preserve">(10)信用查询:供应商不得为“信用中国”网站（www.creditchina.gov.cn）中列入重大税收违法失信主体名单的供应商、不得为“中国执行信息公开网”网站（zxgk.court.gov.cn）中列入失信被执行人的供应商、不得为中国政府采购网（www.ccg </w:t>
      </w:r>
    </w:p>
    <w:p w14:paraId="4D435D50">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p.gov.cn）政府采购严重违法失信行为记录名单中被财政部门禁止参加政府采购活动的供应商。</w:t>
      </w:r>
    </w:p>
    <w:p w14:paraId="7850EF59">
      <w:pPr>
        <w:spacing w:line="360" w:lineRule="auto"/>
        <w:jc w:val="both"/>
        <w:rPr>
          <w:rFonts w:hint="eastAsia" w:ascii="宋体" w:hAnsi="宋体" w:cs="宋体"/>
          <w:bCs/>
          <w:color w:val="auto"/>
          <w:sz w:val="22"/>
          <w:szCs w:val="22"/>
          <w:lang w:val="en-US" w:eastAsia="zh-CN"/>
        </w:rPr>
      </w:pPr>
      <w:r>
        <w:rPr>
          <w:rFonts w:hint="eastAsia" w:ascii="宋体" w:hAnsi="宋体" w:cs="宋体"/>
          <w:bCs/>
          <w:color w:val="auto"/>
          <w:sz w:val="22"/>
          <w:szCs w:val="22"/>
          <w:lang w:val="en-US" w:eastAsia="zh-CN"/>
        </w:rPr>
        <w:t>(11)非联合体投标声明:本项目不接受联合体，提供非联合体投标声明。</w:t>
      </w:r>
    </w:p>
    <w:p w14:paraId="5CDCC4A4">
      <w:pPr>
        <w:spacing w:line="360" w:lineRule="auto"/>
        <w:jc w:val="both"/>
        <w:rPr>
          <w:rFonts w:hint="default" w:ascii="宋体" w:hAnsi="宋体" w:cs="宋体"/>
          <w:bCs/>
          <w:color w:val="C00000"/>
          <w:sz w:val="22"/>
          <w:szCs w:val="22"/>
          <w:lang w:val="en-US" w:eastAsia="zh-CN"/>
        </w:rPr>
      </w:pPr>
    </w:p>
    <w:p w14:paraId="3793AF08">
      <w:pPr>
        <w:spacing w:line="360" w:lineRule="auto"/>
        <w:jc w:val="both"/>
        <w:rPr>
          <w:rFonts w:hint="default" w:ascii="宋体" w:hAnsi="宋体" w:cs="宋体"/>
          <w:bCs/>
          <w:color w:val="C00000"/>
          <w:sz w:val="22"/>
          <w:szCs w:val="22"/>
          <w:lang w:val="en-US" w:eastAsia="zh-CN"/>
        </w:rPr>
      </w:pPr>
    </w:p>
    <w:p w14:paraId="038B4B08">
      <w:pPr>
        <w:spacing w:line="360" w:lineRule="auto"/>
        <w:jc w:val="both"/>
        <w:rPr>
          <w:rFonts w:hint="default" w:ascii="宋体" w:hAnsi="宋体" w:cs="宋体"/>
          <w:bCs/>
          <w:color w:val="C00000"/>
          <w:sz w:val="22"/>
          <w:szCs w:val="22"/>
          <w:lang w:val="en-US" w:eastAsia="zh-CN"/>
        </w:rPr>
      </w:pPr>
    </w:p>
    <w:p w14:paraId="45B5B202">
      <w:pPr>
        <w:spacing w:line="360" w:lineRule="auto"/>
        <w:jc w:val="both"/>
        <w:rPr>
          <w:rFonts w:hint="default" w:ascii="宋体" w:hAnsi="宋体" w:cs="宋体"/>
          <w:bCs/>
          <w:color w:val="C00000"/>
          <w:sz w:val="22"/>
          <w:szCs w:val="22"/>
          <w:lang w:val="en-US" w:eastAsia="zh-CN"/>
        </w:rPr>
      </w:pPr>
    </w:p>
    <w:p w14:paraId="0C978381">
      <w:pPr>
        <w:spacing w:line="360" w:lineRule="auto"/>
        <w:jc w:val="both"/>
        <w:rPr>
          <w:rFonts w:hint="default" w:ascii="宋体" w:hAnsi="宋体" w:cs="宋体"/>
          <w:bCs/>
          <w:color w:val="C00000"/>
          <w:sz w:val="22"/>
          <w:szCs w:val="22"/>
          <w:lang w:val="en-US" w:eastAsia="zh-CN"/>
        </w:rPr>
      </w:pPr>
    </w:p>
    <w:p w14:paraId="3C77B3C9">
      <w:pPr>
        <w:spacing w:line="360" w:lineRule="auto"/>
        <w:jc w:val="both"/>
        <w:rPr>
          <w:rFonts w:hint="default" w:ascii="宋体" w:hAnsi="宋体" w:cs="宋体"/>
          <w:bCs/>
          <w:color w:val="C00000"/>
          <w:sz w:val="22"/>
          <w:szCs w:val="22"/>
          <w:lang w:val="en-US" w:eastAsia="zh-CN"/>
        </w:rPr>
      </w:pPr>
    </w:p>
    <w:p w14:paraId="4749A9CC">
      <w:pPr>
        <w:spacing w:line="360" w:lineRule="auto"/>
        <w:jc w:val="both"/>
        <w:rPr>
          <w:rFonts w:hint="default" w:ascii="宋体" w:hAnsi="宋体" w:cs="宋体"/>
          <w:bCs/>
          <w:color w:val="C00000"/>
          <w:sz w:val="22"/>
          <w:szCs w:val="22"/>
          <w:lang w:val="en-US" w:eastAsia="zh-CN"/>
        </w:rPr>
      </w:pPr>
    </w:p>
    <w:p w14:paraId="772FB4F4">
      <w:pPr>
        <w:spacing w:line="360" w:lineRule="auto"/>
        <w:jc w:val="both"/>
        <w:rPr>
          <w:rFonts w:hint="eastAsia" w:ascii="宋体" w:hAnsi="宋体" w:cs="宋体"/>
          <w:bCs/>
          <w:color w:val="C00000"/>
          <w:sz w:val="22"/>
          <w:szCs w:val="22"/>
          <w:lang w:val="en-US" w:eastAsia="zh-CN"/>
        </w:rPr>
      </w:pPr>
    </w:p>
    <w:p w14:paraId="04CDD1E3">
      <w:pPr>
        <w:spacing w:line="360" w:lineRule="auto"/>
        <w:jc w:val="both"/>
        <w:rPr>
          <w:rFonts w:hint="eastAsia" w:ascii="宋体" w:hAnsi="宋体" w:cs="宋体"/>
          <w:bCs/>
          <w:color w:val="C00000"/>
          <w:sz w:val="22"/>
          <w:szCs w:val="22"/>
          <w:lang w:val="en-US" w:eastAsia="zh-CN"/>
        </w:rPr>
      </w:pPr>
    </w:p>
    <w:p w14:paraId="64A161FD">
      <w:pPr>
        <w:spacing w:line="360" w:lineRule="auto"/>
        <w:jc w:val="both"/>
        <w:rPr>
          <w:rFonts w:hint="eastAsia" w:ascii="宋体" w:hAnsi="宋体" w:cs="宋体"/>
          <w:bCs/>
          <w:color w:val="C00000"/>
          <w:sz w:val="22"/>
          <w:szCs w:val="22"/>
          <w:lang w:val="en-US" w:eastAsia="zh-CN"/>
        </w:rPr>
      </w:pPr>
    </w:p>
    <w:p w14:paraId="190DEDC0">
      <w:pPr>
        <w:spacing w:line="360" w:lineRule="auto"/>
        <w:jc w:val="both"/>
        <w:rPr>
          <w:rFonts w:hint="eastAsia" w:ascii="宋体" w:hAnsi="宋体" w:cs="宋体"/>
          <w:bCs/>
          <w:color w:val="C00000"/>
          <w:sz w:val="22"/>
          <w:szCs w:val="22"/>
          <w:lang w:val="en-US" w:eastAsia="zh-CN"/>
        </w:rPr>
      </w:pPr>
    </w:p>
    <w:p w14:paraId="6A8CBE6B">
      <w:pPr>
        <w:spacing w:line="360" w:lineRule="auto"/>
        <w:jc w:val="both"/>
        <w:rPr>
          <w:rFonts w:hint="eastAsia" w:ascii="宋体" w:hAnsi="宋体" w:cs="宋体"/>
          <w:bCs/>
          <w:color w:val="C00000"/>
          <w:sz w:val="22"/>
          <w:szCs w:val="22"/>
          <w:lang w:val="en-US" w:eastAsia="zh-CN"/>
        </w:rPr>
      </w:pPr>
    </w:p>
    <w:p w14:paraId="23B0DFBD">
      <w:pPr>
        <w:spacing w:line="360" w:lineRule="auto"/>
        <w:jc w:val="both"/>
        <w:rPr>
          <w:rFonts w:hint="eastAsia" w:ascii="宋体" w:hAnsi="宋体" w:eastAsia="宋体" w:cs="宋体"/>
          <w:bCs/>
          <w:color w:val="C00000"/>
          <w:sz w:val="22"/>
          <w:szCs w:val="22"/>
          <w:lang w:val="en-US" w:eastAsia="zh-CN"/>
        </w:rPr>
      </w:pPr>
    </w:p>
    <w:p w14:paraId="1DBEA766">
      <w:pPr>
        <w:spacing w:line="360" w:lineRule="auto"/>
        <w:jc w:val="both"/>
        <w:rPr>
          <w:rFonts w:hint="eastAsia" w:ascii="宋体" w:hAnsi="宋体" w:eastAsia="宋体" w:cs="宋体"/>
          <w:bCs/>
          <w:color w:val="000000"/>
          <w:sz w:val="22"/>
          <w:szCs w:val="22"/>
        </w:rPr>
      </w:pPr>
    </w:p>
    <w:p w14:paraId="29E3E333">
      <w:pPr>
        <w:spacing w:line="360" w:lineRule="auto"/>
        <w:jc w:val="both"/>
        <w:rPr>
          <w:rFonts w:hint="eastAsia" w:ascii="宋体" w:hAnsi="宋体" w:eastAsia="宋体" w:cs="宋体"/>
          <w:bCs/>
          <w:color w:val="000000"/>
          <w:sz w:val="22"/>
          <w:szCs w:val="22"/>
        </w:rPr>
      </w:pPr>
    </w:p>
    <w:p w14:paraId="64F8D7AB">
      <w:pPr>
        <w:spacing w:line="360" w:lineRule="auto"/>
        <w:jc w:val="both"/>
        <w:rPr>
          <w:rFonts w:hint="eastAsia" w:ascii="宋体" w:hAnsi="宋体" w:eastAsia="宋体" w:cs="宋体"/>
          <w:bCs/>
          <w:color w:val="000000"/>
          <w:sz w:val="22"/>
          <w:szCs w:val="22"/>
        </w:rPr>
      </w:pPr>
    </w:p>
    <w:p w14:paraId="208F2C75">
      <w:pPr>
        <w:spacing w:line="360" w:lineRule="auto"/>
        <w:jc w:val="both"/>
        <w:rPr>
          <w:rFonts w:hint="eastAsia" w:ascii="宋体" w:hAnsi="宋体" w:eastAsia="宋体" w:cs="宋体"/>
          <w:bCs/>
          <w:color w:val="000000"/>
          <w:sz w:val="22"/>
          <w:szCs w:val="22"/>
        </w:rPr>
      </w:pPr>
    </w:p>
    <w:p w14:paraId="4BCAAA6D">
      <w:pPr>
        <w:spacing w:line="360" w:lineRule="auto"/>
        <w:jc w:val="both"/>
        <w:rPr>
          <w:rFonts w:hint="eastAsia" w:ascii="宋体" w:hAnsi="宋体" w:eastAsia="宋体" w:cs="宋体"/>
          <w:bCs/>
          <w:color w:val="000000"/>
          <w:sz w:val="22"/>
          <w:szCs w:val="22"/>
        </w:rPr>
      </w:pPr>
    </w:p>
    <w:p w14:paraId="64E47606"/>
    <w:p w14:paraId="50F0B40F">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6604BC"/>
    <w:rsid w:val="55AC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2021-10-09T06:53:00Z</dcterms:created>
  <dc:creator>Administrator</dc:creator>
  <cp:lastModifiedBy>風 の 住む 街</cp:lastModifiedBy>
  <dcterms:modified xsi:type="dcterms:W3CDTF">2025-07-18T02:50:06Z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CA4E33209A55487E8F6BDD25022D53DA</vt:lpwstr>
  </property>
  <property fmtid="{D5CDD505-2E9C-101B-9397-08002B2CF9AE}" pid="4" name="KSOTemplateDocerSaveRecord">
    <vt:lpwstr>eyJoZGlkIjoiMzM3NjgyZTA5MmIxMGI4NTAyODZkZjE4MDVkZTU2OTIiLCJ1c2VySWQiOiI0NzEzNjExNzcifQ==</vt:lpwstr>
  </property>
</Properties>
</file>