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F3214">
      <w:pPr>
        <w:pStyle w:val="2"/>
        <w:numPr>
          <w:ilvl w:val="0"/>
          <w:numId w:val="0"/>
        </w:numPr>
        <w:spacing w:line="360" w:lineRule="auto"/>
        <w:jc w:val="center"/>
        <w:rPr>
          <w:rFonts w:hint="eastAsia" w:ascii="宋体" w:hAnsi="宋体" w:eastAsia="宋体" w:cs="宋体"/>
          <w:b/>
          <w:bCs/>
          <w:color w:val="auto"/>
          <w:sz w:val="28"/>
          <w:szCs w:val="36"/>
          <w:highlight w:val="none"/>
        </w:rPr>
      </w:pPr>
      <w:r>
        <w:rPr>
          <w:rFonts w:hint="eastAsia" w:ascii="宋体" w:hAnsi="宋体" w:eastAsia="宋体" w:cs="宋体"/>
          <w:b/>
          <w:bCs/>
          <w:color w:val="auto"/>
          <w:sz w:val="28"/>
          <w:szCs w:val="36"/>
          <w:highlight w:val="none"/>
        </w:rPr>
        <w:t>合同主要条款</w:t>
      </w:r>
    </w:p>
    <w:p w14:paraId="5273957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（本格式条款仅作为双方签订合同的参考，为阐明各方的权利和义务，经协商可增加新的条款。 但不得与竞争性磋商文件、响应文件的实质性内容相背离）</w:t>
      </w:r>
    </w:p>
    <w:p w14:paraId="5E215EE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甲</w:t>
      </w:r>
      <w:r>
        <w:rPr>
          <w:rFonts w:hint="eastAsia" w:ascii="宋体" w:hAnsi="宋体" w:eastAsia="宋体" w:cs="宋体"/>
          <w:sz w:val="21"/>
          <w:szCs w:val="21"/>
          <w:highlight w:val="none"/>
        </w:rPr>
        <w:t>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（以下简称甲方）</w:t>
      </w:r>
    </w:p>
    <w:p w14:paraId="02ED3F1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乙</w:t>
      </w:r>
      <w:r>
        <w:rPr>
          <w:rFonts w:hint="eastAsia" w:ascii="宋体" w:hAnsi="宋体" w:eastAsia="宋体" w:cs="宋体"/>
          <w:sz w:val="21"/>
          <w:szCs w:val="21"/>
          <w:highlight w:val="none"/>
        </w:rPr>
        <w:t>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（以下简称乙方）</w:t>
      </w:r>
    </w:p>
    <w:p w14:paraId="562FB33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依据《中华人民共和国</w:t>
      </w:r>
      <w:r>
        <w:rPr>
          <w:rFonts w:hint="eastAsia" w:ascii="宋体" w:hAnsi="宋体" w:eastAsia="宋体" w:cs="宋体"/>
          <w:bCs/>
          <w:sz w:val="21"/>
          <w:szCs w:val="21"/>
          <w:highlight w:val="none"/>
          <w:lang w:val="en-US"/>
        </w:rPr>
        <w:t>民法典</w:t>
      </w:r>
      <w:r>
        <w:rPr>
          <w:rFonts w:hint="eastAsia" w:ascii="宋体" w:hAnsi="宋体" w:eastAsia="宋体" w:cs="宋体"/>
          <w:bCs/>
          <w:sz w:val="21"/>
          <w:szCs w:val="21"/>
          <w:highlight w:val="none"/>
        </w:rPr>
        <w:t>》和《中华人民共和国政府采购法》及相关法律法规的规定，</w:t>
      </w:r>
      <w:r>
        <w:rPr>
          <w:rFonts w:hint="eastAsia" w:ascii="宋体" w:hAnsi="宋体" w:eastAsia="宋体" w:cs="宋体"/>
          <w:sz w:val="21"/>
          <w:szCs w:val="21"/>
          <w:highlight w:val="none"/>
        </w:rPr>
        <w:t>结合该</w:t>
      </w:r>
      <w:r>
        <w:rPr>
          <w:rFonts w:hint="eastAsia" w:ascii="宋体" w:hAnsi="宋体" w:eastAsia="宋体" w:cs="宋体"/>
          <w:sz w:val="21"/>
          <w:szCs w:val="21"/>
          <w:highlight w:val="none"/>
          <w:lang w:eastAsia="zh-CN"/>
        </w:rPr>
        <w:t>项目</w:t>
      </w:r>
      <w:r>
        <w:rPr>
          <w:rFonts w:hint="eastAsia" w:ascii="宋体" w:hAnsi="宋体" w:eastAsia="宋体" w:cs="宋体"/>
          <w:sz w:val="21"/>
          <w:szCs w:val="21"/>
          <w:highlight w:val="none"/>
        </w:rPr>
        <w:t>的具体情况，为明确责任、分工协作，协作配合，经双方协商一致，就本</w:t>
      </w:r>
      <w:r>
        <w:rPr>
          <w:rFonts w:hint="eastAsia" w:ascii="宋体" w:hAnsi="宋体" w:eastAsia="宋体" w:cs="宋体"/>
          <w:sz w:val="21"/>
          <w:szCs w:val="21"/>
          <w:highlight w:val="none"/>
          <w:lang w:eastAsia="zh-CN"/>
        </w:rPr>
        <w:t>项目</w:t>
      </w:r>
      <w:r>
        <w:rPr>
          <w:rFonts w:hint="eastAsia" w:ascii="宋体" w:hAnsi="宋体" w:eastAsia="宋体" w:cs="宋体"/>
          <w:sz w:val="21"/>
          <w:szCs w:val="21"/>
          <w:highlight w:val="none"/>
        </w:rPr>
        <w:t>监测工作签订合同，共同遵守。</w:t>
      </w:r>
      <w:bookmarkStart w:id="0" w:name="_GoBack"/>
      <w:bookmarkEnd w:id="0"/>
    </w:p>
    <w:p w14:paraId="43C3F265">
      <w:pPr>
        <w:pStyle w:val="3"/>
        <w:ind w:left="0" w:leftChars="0" w:firstLine="0" w:firstLineChars="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一、服务条件：</w:t>
      </w:r>
    </w:p>
    <w:p w14:paraId="0474C26E">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（一）服务地点：</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w:t>
      </w:r>
    </w:p>
    <w:p w14:paraId="65222D29">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（二）服务有效期：</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w:t>
      </w:r>
    </w:p>
    <w:p w14:paraId="564ECD1F">
      <w:pPr>
        <w:pStyle w:val="3"/>
        <w:ind w:left="0" w:leftChars="0" w:firstLine="0" w:firstLineChars="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二、合同价款</w:t>
      </w:r>
    </w:p>
    <w:p w14:paraId="5FD061CF">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（一）合同总价款为：人民币大写</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（小写：</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元）；</w:t>
      </w:r>
    </w:p>
    <w:p w14:paraId="042BF1FB">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（二）合同内容包括：</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w:t>
      </w:r>
    </w:p>
    <w:p w14:paraId="6C4BE5B5">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（三）合同总价一次性包死，不受市场价格变化因素的影响。</w:t>
      </w:r>
    </w:p>
    <w:p w14:paraId="38C2EBBB">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（四）合同价款是完成采购内容所需的全部费用，包括但不限于人工费、设计费、管理费、税金等一切相关费用。</w:t>
      </w:r>
    </w:p>
    <w:p w14:paraId="661B86D7">
      <w:pPr>
        <w:pStyle w:val="3"/>
        <w:ind w:left="0" w:leftChars="0" w:firstLine="0" w:firstLineChars="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三、款项结算</w:t>
      </w:r>
    </w:p>
    <w:p w14:paraId="1EDA2A64">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（一）合同款的支付：合同签订后，开展维保工作后</w:t>
      </w:r>
      <w:r>
        <w:rPr>
          <w:rFonts w:hint="eastAsia" w:hAnsi="宋体" w:cs="宋体"/>
          <w:kern w:val="2"/>
          <w:sz w:val="21"/>
          <w:szCs w:val="21"/>
          <w:highlight w:val="none"/>
          <w:lang w:val="en-US" w:eastAsia="zh-CN" w:bidi="ar-SA"/>
        </w:rPr>
        <w:t>，</w:t>
      </w:r>
      <w:r>
        <w:rPr>
          <w:rFonts w:hint="eastAsia" w:ascii="宋体" w:hAnsi="宋体" w:eastAsia="宋体" w:cs="宋体"/>
          <w:kern w:val="2"/>
          <w:sz w:val="21"/>
          <w:szCs w:val="21"/>
          <w:highlight w:val="none"/>
          <w:lang w:val="en-US" w:eastAsia="zh-CN" w:bidi="ar-SA"/>
        </w:rPr>
        <w:t>甲方向乙方支付合同总金额的</w:t>
      </w:r>
      <w:r>
        <w:rPr>
          <w:rFonts w:hint="eastAsia" w:hAnsi="宋体" w:cs="宋体"/>
          <w:kern w:val="2"/>
          <w:sz w:val="21"/>
          <w:szCs w:val="21"/>
          <w:highlight w:val="none"/>
          <w:lang w:val="en-US" w:eastAsia="zh-CN" w:bidi="ar-SA"/>
        </w:rPr>
        <w:t>3</w:t>
      </w:r>
      <w:r>
        <w:rPr>
          <w:rFonts w:hint="eastAsia" w:ascii="宋体" w:hAnsi="宋体" w:eastAsia="宋体" w:cs="宋体"/>
          <w:kern w:val="2"/>
          <w:sz w:val="21"/>
          <w:szCs w:val="21"/>
          <w:highlight w:val="none"/>
          <w:lang w:val="en-US" w:eastAsia="zh-CN" w:bidi="ar-SA"/>
        </w:rPr>
        <w:t>0%；</w:t>
      </w:r>
      <w:r>
        <w:rPr>
          <w:rFonts w:hint="eastAsia" w:hAnsi="宋体" w:cs="宋体"/>
          <w:kern w:val="2"/>
          <w:sz w:val="21"/>
          <w:szCs w:val="21"/>
          <w:highlight w:val="none"/>
          <w:lang w:val="en-US" w:eastAsia="zh-CN" w:bidi="ar-SA"/>
        </w:rPr>
        <w:t>乙方</w:t>
      </w:r>
      <w:r>
        <w:rPr>
          <w:rFonts w:hint="eastAsia" w:ascii="宋体" w:hAnsi="宋体" w:eastAsia="宋体" w:cs="宋体"/>
          <w:kern w:val="2"/>
          <w:sz w:val="21"/>
          <w:szCs w:val="21"/>
          <w:highlight w:val="none"/>
          <w:lang w:val="en-US" w:eastAsia="zh-CN" w:bidi="ar-SA"/>
        </w:rPr>
        <w:t>每月向</w:t>
      </w:r>
      <w:r>
        <w:rPr>
          <w:rFonts w:hint="eastAsia" w:hAnsi="宋体" w:cs="宋体"/>
          <w:kern w:val="2"/>
          <w:sz w:val="21"/>
          <w:szCs w:val="21"/>
          <w:highlight w:val="none"/>
          <w:lang w:val="en-US" w:eastAsia="zh-CN" w:bidi="ar-SA"/>
        </w:rPr>
        <w:t>甲方</w:t>
      </w:r>
      <w:r>
        <w:rPr>
          <w:rFonts w:hint="eastAsia" w:ascii="宋体" w:hAnsi="宋体" w:eastAsia="宋体" w:cs="宋体"/>
          <w:kern w:val="2"/>
          <w:sz w:val="21"/>
          <w:szCs w:val="21"/>
          <w:highlight w:val="none"/>
          <w:lang w:val="en-US" w:eastAsia="zh-CN" w:bidi="ar-SA"/>
        </w:rPr>
        <w:t>出具符合要求的维保记录表、消防设备及系统保养服务单及月度维保报告且满足各项服务要求后，甲方向乙方支付合同总金额的</w:t>
      </w:r>
      <w:r>
        <w:rPr>
          <w:rFonts w:hint="eastAsia" w:hAnsi="宋体" w:cs="宋体"/>
          <w:kern w:val="2"/>
          <w:sz w:val="21"/>
          <w:szCs w:val="21"/>
          <w:highlight w:val="none"/>
          <w:lang w:val="en-US" w:eastAsia="zh-CN" w:bidi="ar-SA"/>
        </w:rPr>
        <w:t>5.5</w:t>
      </w:r>
      <w:r>
        <w:rPr>
          <w:rFonts w:hint="eastAsia" w:ascii="宋体" w:hAnsi="宋体" w:eastAsia="宋体" w:cs="宋体"/>
          <w:kern w:val="2"/>
          <w:sz w:val="21"/>
          <w:szCs w:val="21"/>
          <w:highlight w:val="none"/>
          <w:lang w:val="en-US" w:eastAsia="zh-CN" w:bidi="ar-SA"/>
        </w:rPr>
        <w:t>%；服务期满，所有记录表、服务单及报告均完整，经采购人确认满足各项服务要求后，甲方向乙方支付合同总金额的</w:t>
      </w:r>
      <w:r>
        <w:rPr>
          <w:rFonts w:hint="eastAsia" w:hAnsi="宋体" w:cs="宋体"/>
          <w:kern w:val="2"/>
          <w:sz w:val="21"/>
          <w:szCs w:val="21"/>
          <w:highlight w:val="none"/>
          <w:lang w:val="en-US" w:eastAsia="zh-CN" w:bidi="ar-SA"/>
        </w:rPr>
        <w:t>4</w:t>
      </w:r>
      <w:r>
        <w:rPr>
          <w:rFonts w:hint="eastAsia" w:ascii="宋体" w:hAnsi="宋体" w:eastAsia="宋体" w:cs="宋体"/>
          <w:kern w:val="2"/>
          <w:sz w:val="21"/>
          <w:szCs w:val="21"/>
          <w:highlight w:val="none"/>
          <w:lang w:val="en-US" w:eastAsia="zh-CN" w:bidi="ar-SA"/>
        </w:rPr>
        <w:t>%。</w:t>
      </w:r>
    </w:p>
    <w:p w14:paraId="1F8D6423">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（二）支付方式：银行转账。</w:t>
      </w:r>
    </w:p>
    <w:p w14:paraId="31BBC656">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（三）结算方式：验收合格后供应商持成交通知书、服务合同、发票、政府采购项目验收单等，与采购人结算。</w:t>
      </w:r>
    </w:p>
    <w:p w14:paraId="036887C1">
      <w:pPr>
        <w:pStyle w:val="3"/>
        <w:ind w:left="0" w:leftChars="0" w:firstLine="0" w:firstLineChars="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四、双方的权利和义务</w:t>
      </w:r>
    </w:p>
    <w:p w14:paraId="6AF65DD7">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1、甲方按本项目具体情况提供乙方所需材料，甲方协助乙方完成资料、文件收集工作，并对其完整性、正确性及时限性负责，甲方不得要求乙方违反国家有关标准。</w:t>
      </w:r>
    </w:p>
    <w:p w14:paraId="1B2EB096">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2、甲方变更委托项目、规模、条件或因提交资料的错误，或所提交的资料作重大修改，以至造成乙方返工时，双方除需另行协商补充协议、重新明确有关条款外，还需根据所耗工作量调整成果报告。</w:t>
      </w:r>
    </w:p>
    <w:p w14:paraId="78AF95C6">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3、乙方在中途需更换所指派的项目负责人，应事先征得甲方同意。</w:t>
      </w:r>
    </w:p>
    <w:p w14:paraId="40C5B53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4、乙方所交成果不符合国家法律法规和合同规定的，甲方有权拒收，并由乙方承担一切费用。</w:t>
      </w:r>
    </w:p>
    <w:p w14:paraId="3D512AF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5、乙方需保证本成果或其授予的权利不会侵犯任何第三人的知识产权或其他权利，也没有其他针对乙方拥有本成果权利的未决诉讼，或甲方行使乙方所提供的成果权利会侵犯任何第三人的合法权利。</w:t>
      </w:r>
    </w:p>
    <w:p w14:paraId="3A54FD4B">
      <w:pPr>
        <w:pStyle w:val="3"/>
        <w:ind w:left="0" w:leftChars="0" w:firstLine="0" w:firstLineChars="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五、违约责任</w:t>
      </w:r>
    </w:p>
    <w:p w14:paraId="229A095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（一）按《民法典》中的相关条款执行。</w:t>
      </w:r>
    </w:p>
    <w:p w14:paraId="154FBFC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（二）双方必须严格遵守协议条款约定，若甲方严重违约导致本合同无法履行的，乙方有权单方解除本合同，甲方需支付协议总额款的10%作为违约金补偿与乙方。</w:t>
      </w:r>
    </w:p>
    <w:p w14:paraId="551CC1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三）按合同要求提供编制报告或报告质量不能满足采购技术要求，乙方必须无条件重新出具，提高技术，完善质量，否则，甲方会同监督机构、招标代理机构有权终止合同并对乙方违约行为进行追究，同时按《中华人民共和国政府采购法》进行相应的处罚。</w:t>
      </w:r>
    </w:p>
    <w:p w14:paraId="29162AD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（四）任何一方因不可抗力原因不能履行协议时，应尽快通知对方，双方均设法补偿。如仍无法履约协议，可协商延缓或撤销协议，双方责任免除。</w:t>
      </w:r>
    </w:p>
    <w:p w14:paraId="27D804F9">
      <w:pPr>
        <w:pStyle w:val="3"/>
        <w:ind w:left="0" w:leftChars="0" w:firstLine="0" w:firstLineChars="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六、验收</w:t>
      </w:r>
    </w:p>
    <w:p w14:paraId="4796183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验收依据（包括但不限于）：</w:t>
      </w:r>
    </w:p>
    <w:p w14:paraId="4D6E4C8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1.本合同及附加文本；</w:t>
      </w:r>
    </w:p>
    <w:p w14:paraId="5F856A2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2.磋商文件、响应文件及澄清函；</w:t>
      </w:r>
    </w:p>
    <w:p w14:paraId="431099C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3.国家相应的标准、规范。</w:t>
      </w:r>
    </w:p>
    <w:p w14:paraId="49C335E8">
      <w:pPr>
        <w:pStyle w:val="3"/>
        <w:ind w:left="0" w:leftChars="0" w:firstLine="0" w:firstLineChars="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七、合同争议解决的方式</w:t>
      </w:r>
    </w:p>
    <w:p w14:paraId="06F99F71">
      <w:pPr>
        <w:keepNext w:val="0"/>
        <w:keepLines w:val="0"/>
        <w:pageBreakBefore w:val="0"/>
        <w:widowControl w:val="0"/>
        <w:kinsoku/>
        <w:wordWrap/>
        <w:overflowPunct/>
        <w:topLinePunct w:val="0"/>
        <w:autoSpaceDE/>
        <w:autoSpaceDN/>
        <w:bidi w:val="0"/>
        <w:adjustRightInd/>
        <w:snapToGrid w:val="0"/>
        <w:spacing w:line="360" w:lineRule="auto"/>
        <w:ind w:left="210" w:leftChars="100" w:firstLine="210" w:firstLineChars="10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本合同在履行过程中发生的争议，由甲、乙双方当事人协商解决，协商不成的按下列第</w:t>
      </w:r>
      <w:r>
        <w:rPr>
          <w:rFonts w:hint="eastAsia" w:ascii="宋体" w:hAnsi="宋体" w:eastAsia="宋体" w:cs="宋体"/>
          <w:kern w:val="2"/>
          <w:sz w:val="21"/>
          <w:szCs w:val="21"/>
          <w:highlight w:val="none"/>
          <w:u w:val="none"/>
          <w:lang w:val="en-US" w:eastAsia="zh-CN" w:bidi="ar-SA"/>
        </w:rPr>
        <w:t>（</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u w:val="none"/>
          <w:lang w:val="en-US" w:eastAsia="zh-CN" w:bidi="ar-SA"/>
        </w:rPr>
        <w:t>）</w:t>
      </w:r>
      <w:r>
        <w:rPr>
          <w:rFonts w:hint="eastAsia" w:ascii="宋体" w:hAnsi="宋体" w:eastAsia="宋体" w:cs="宋体"/>
          <w:kern w:val="2"/>
          <w:sz w:val="21"/>
          <w:szCs w:val="21"/>
          <w:highlight w:val="none"/>
          <w:lang w:val="en-US" w:eastAsia="zh-CN" w:bidi="ar-SA"/>
        </w:rPr>
        <w:t>种方式解决：</w:t>
      </w:r>
    </w:p>
    <w:p w14:paraId="6EDA1A8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（一）提交西安仲裁委员会仲裁；</w:t>
      </w:r>
    </w:p>
    <w:p w14:paraId="363A3F5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（二）依法向甲方所在地人民法院起诉。</w:t>
      </w:r>
    </w:p>
    <w:p w14:paraId="2C230039">
      <w:pPr>
        <w:pStyle w:val="3"/>
        <w:ind w:left="0" w:leftChars="0" w:firstLine="0" w:firstLineChars="0"/>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八、合同生效</w:t>
      </w:r>
    </w:p>
    <w:p w14:paraId="2911326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（一）本合同经双方签字盖章后生效。</w:t>
      </w:r>
    </w:p>
    <w:p w14:paraId="2583B45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（二）本合同须经甲、乙双方的法定代表人（授权代理人）在合同书上签字或加盖本单位公章后正式生效。</w:t>
      </w:r>
    </w:p>
    <w:p w14:paraId="1237D97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（三）合同生效后，甲、乙双方须严格执行本合同条款的规定，全面履行合同，违者按有关规定承担相应责任。</w:t>
      </w:r>
    </w:p>
    <w:p w14:paraId="4F88757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（四）本合同一式</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份，甲乙双方各执</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份。</w:t>
      </w:r>
    </w:p>
    <w:p w14:paraId="6975F3B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（五）本合同如有未尽事宜，甲、乙双方协商解决。</w:t>
      </w:r>
    </w:p>
    <w:p w14:paraId="72A7207A">
      <w:pPr>
        <w:pStyle w:val="3"/>
        <w:rPr>
          <w:rFonts w:hint="eastAsia" w:ascii="宋体" w:hAnsi="宋体" w:eastAsia="宋体" w:cs="宋体"/>
          <w:kern w:val="2"/>
          <w:sz w:val="21"/>
          <w:szCs w:val="21"/>
          <w:highlight w:val="none"/>
          <w:lang w:val="en-US" w:eastAsia="zh-CN" w:bidi="ar-SA"/>
        </w:rPr>
      </w:pPr>
    </w:p>
    <w:p w14:paraId="7813AC5A">
      <w:pPr>
        <w:pStyle w:val="3"/>
        <w:rPr>
          <w:rFonts w:hint="eastAsia" w:ascii="宋体" w:hAnsi="宋体" w:eastAsia="宋体" w:cs="宋体"/>
          <w:kern w:val="2"/>
          <w:sz w:val="21"/>
          <w:szCs w:val="21"/>
          <w:highlight w:val="none"/>
          <w:lang w:val="en-US" w:eastAsia="zh-CN" w:bidi="ar-SA"/>
        </w:rPr>
      </w:pPr>
    </w:p>
    <w:p w14:paraId="17B1D0E7">
      <w:pPr>
        <w:pStyle w:val="3"/>
        <w:rPr>
          <w:rFonts w:hint="eastAsia" w:ascii="宋体" w:hAnsi="宋体" w:eastAsia="宋体" w:cs="宋体"/>
          <w:kern w:val="2"/>
          <w:sz w:val="21"/>
          <w:szCs w:val="21"/>
          <w:highlight w:val="none"/>
          <w:lang w:val="en-US" w:eastAsia="zh-CN" w:bidi="ar-SA"/>
        </w:rPr>
      </w:pPr>
    </w:p>
    <w:p w14:paraId="07F92921">
      <w:pPr>
        <w:pStyle w:val="3"/>
        <w:rPr>
          <w:rFonts w:hint="eastAsia" w:ascii="宋体" w:hAnsi="宋体" w:eastAsia="宋体" w:cs="宋体"/>
          <w:kern w:val="2"/>
          <w:sz w:val="21"/>
          <w:szCs w:val="21"/>
          <w:highlight w:val="none"/>
          <w:lang w:val="en-US" w:eastAsia="zh-CN" w:bidi="ar-SA"/>
        </w:rPr>
      </w:pPr>
    </w:p>
    <w:p w14:paraId="4AFD236F">
      <w:pPr>
        <w:pStyle w:val="3"/>
        <w:rPr>
          <w:rFonts w:hint="eastAsia" w:ascii="宋体" w:hAnsi="宋体" w:eastAsia="宋体" w:cs="宋体"/>
          <w:color w:val="auto"/>
          <w:sz w:val="21"/>
          <w:szCs w:val="21"/>
          <w:highlight w:val="none"/>
        </w:rPr>
      </w:pPr>
    </w:p>
    <w:tbl>
      <w:tblPr>
        <w:tblStyle w:val="4"/>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7"/>
        <w:gridCol w:w="4290"/>
      </w:tblGrid>
      <w:tr w14:paraId="762CE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2499" w:type="pct"/>
            <w:shd w:val="clear" w:color="auto" w:fill="D8D8D8"/>
            <w:noWrap w:val="0"/>
            <w:vAlign w:val="center"/>
          </w:tcPr>
          <w:p w14:paraId="11E5BA0D">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甲  方</w:t>
            </w:r>
          </w:p>
        </w:tc>
        <w:tc>
          <w:tcPr>
            <w:tcW w:w="2500" w:type="pct"/>
            <w:shd w:val="clear" w:color="auto" w:fill="D8D8D8"/>
            <w:noWrap w:val="0"/>
            <w:vAlign w:val="center"/>
          </w:tcPr>
          <w:p w14:paraId="678EADE1">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乙  方</w:t>
            </w:r>
          </w:p>
        </w:tc>
      </w:tr>
      <w:tr w14:paraId="25B5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499" w:type="pct"/>
            <w:noWrap w:val="0"/>
            <w:vAlign w:val="center"/>
          </w:tcPr>
          <w:p w14:paraId="0841C3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p w14:paraId="5A1E92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（公章）</w:t>
            </w:r>
          </w:p>
        </w:tc>
        <w:tc>
          <w:tcPr>
            <w:tcW w:w="2500" w:type="pct"/>
            <w:noWrap w:val="0"/>
            <w:vAlign w:val="center"/>
          </w:tcPr>
          <w:p w14:paraId="179817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成交供应商</w:t>
            </w:r>
          </w:p>
          <w:p w14:paraId="67965F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（公章）</w:t>
            </w:r>
          </w:p>
        </w:tc>
      </w:tr>
      <w:tr w14:paraId="1505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55B814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2500" w:type="pct"/>
            <w:noWrap w:val="0"/>
            <w:vAlign w:val="center"/>
          </w:tcPr>
          <w:p w14:paraId="707B68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3F29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60674D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2500" w:type="pct"/>
            <w:noWrap w:val="0"/>
            <w:vAlign w:val="center"/>
          </w:tcPr>
          <w:p w14:paraId="66B7D1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03626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581C88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法定代表人</w:t>
            </w:r>
            <w:r>
              <w:rPr>
                <w:rFonts w:hint="eastAsia" w:ascii="宋体" w:hAnsi="宋体" w:eastAsia="宋体" w:cs="宋体"/>
                <w:color w:val="auto"/>
                <w:sz w:val="24"/>
                <w:szCs w:val="24"/>
                <w:highlight w:val="none"/>
                <w:u w:val="none"/>
                <w:lang w:val="en-US" w:eastAsia="zh-CN"/>
              </w:rPr>
              <w:t>或代理人</w:t>
            </w:r>
            <w:r>
              <w:rPr>
                <w:rFonts w:hint="eastAsia" w:ascii="宋体" w:hAnsi="宋体" w:eastAsia="宋体" w:cs="宋体"/>
                <w:color w:val="auto"/>
                <w:sz w:val="24"/>
                <w:szCs w:val="24"/>
                <w:highlight w:val="none"/>
                <w:u w:val="none"/>
              </w:rPr>
              <w:t>：</w:t>
            </w:r>
          </w:p>
        </w:tc>
        <w:tc>
          <w:tcPr>
            <w:tcW w:w="2500" w:type="pct"/>
            <w:noWrap w:val="0"/>
            <w:vAlign w:val="center"/>
          </w:tcPr>
          <w:p w14:paraId="7166C2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法定代表人</w:t>
            </w:r>
            <w:r>
              <w:rPr>
                <w:rFonts w:hint="eastAsia" w:ascii="宋体" w:hAnsi="宋体" w:eastAsia="宋体" w:cs="宋体"/>
                <w:color w:val="auto"/>
                <w:sz w:val="24"/>
                <w:szCs w:val="24"/>
                <w:highlight w:val="none"/>
                <w:u w:val="none"/>
                <w:lang w:val="en-US" w:eastAsia="zh-CN"/>
              </w:rPr>
              <w:t>或代理人</w:t>
            </w:r>
            <w:r>
              <w:rPr>
                <w:rFonts w:hint="eastAsia" w:ascii="宋体" w:hAnsi="宋体" w:eastAsia="宋体" w:cs="宋体"/>
                <w:color w:val="auto"/>
                <w:sz w:val="24"/>
                <w:szCs w:val="24"/>
                <w:highlight w:val="none"/>
                <w:u w:val="none"/>
              </w:rPr>
              <w:t>：</w:t>
            </w:r>
          </w:p>
        </w:tc>
      </w:tr>
      <w:tr w14:paraId="38683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223BEA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c>
          <w:tcPr>
            <w:tcW w:w="2500" w:type="pct"/>
            <w:noWrap w:val="0"/>
            <w:vAlign w:val="center"/>
          </w:tcPr>
          <w:p w14:paraId="43B32E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r>
      <w:tr w14:paraId="4BB7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18261F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2500" w:type="pct"/>
            <w:noWrap w:val="0"/>
            <w:vAlign w:val="center"/>
          </w:tcPr>
          <w:p w14:paraId="792111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1387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16E247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p>
        </w:tc>
        <w:tc>
          <w:tcPr>
            <w:tcW w:w="2500" w:type="pct"/>
            <w:noWrap w:val="0"/>
            <w:vAlign w:val="center"/>
          </w:tcPr>
          <w:p w14:paraId="2A4228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0F10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0F9C0A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p>
        </w:tc>
        <w:tc>
          <w:tcPr>
            <w:tcW w:w="2500" w:type="pct"/>
            <w:noWrap w:val="0"/>
            <w:vAlign w:val="center"/>
          </w:tcPr>
          <w:p w14:paraId="1E16D2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764CD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2499" w:type="pct"/>
            <w:noWrap w:val="0"/>
            <w:vAlign w:val="center"/>
          </w:tcPr>
          <w:p w14:paraId="73E4F0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c>
          <w:tcPr>
            <w:tcW w:w="2500" w:type="pct"/>
            <w:noWrap w:val="0"/>
            <w:vAlign w:val="center"/>
          </w:tcPr>
          <w:p w14:paraId="7C6984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r>
    </w:tbl>
    <w:p w14:paraId="28D3408D">
      <w:pPr>
        <w:pStyle w:val="2"/>
        <w:numPr>
          <w:ilvl w:val="0"/>
          <w:numId w:val="0"/>
        </w:numPr>
        <w:spacing w:line="360" w:lineRule="auto"/>
        <w:outlineLvl w:val="9"/>
        <w:rPr>
          <w:rFonts w:hint="eastAsia" w:ascii="宋体" w:hAnsi="宋体" w:eastAsia="宋体" w:cs="宋体"/>
          <w:b/>
          <w:bCs/>
          <w:color w:val="auto"/>
          <w:sz w:val="28"/>
          <w:szCs w:val="36"/>
          <w:highlight w:val="none"/>
        </w:rPr>
      </w:pPr>
    </w:p>
    <w:p w14:paraId="6365A04B">
      <w:pPr>
        <w:rPr>
          <w:rFonts w:hint="eastAsia" w:ascii="宋体" w:hAnsi="宋体" w:eastAsia="宋体" w:cs="宋体"/>
          <w:b/>
          <w:bCs/>
          <w:color w:val="auto"/>
          <w:sz w:val="28"/>
          <w:szCs w:val="36"/>
          <w:highlight w:val="none"/>
        </w:rPr>
      </w:pPr>
    </w:p>
    <w:p w14:paraId="6F4CA480">
      <w:pPr>
        <w:pStyle w:val="3"/>
        <w:rPr>
          <w:rFonts w:hint="eastAsia" w:ascii="宋体" w:hAnsi="宋体" w:eastAsia="宋体" w:cs="宋体"/>
          <w:b/>
          <w:bCs/>
          <w:color w:val="auto"/>
          <w:sz w:val="28"/>
          <w:szCs w:val="36"/>
          <w:highlight w:val="none"/>
        </w:rPr>
      </w:pPr>
    </w:p>
    <w:p w14:paraId="224DFD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9B34DB"/>
    <w:rsid w:val="6D0E7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99"/>
    <w:pPr>
      <w:spacing w:line="360" w:lineRule="auto"/>
      <w:ind w:firstLine="480"/>
    </w:pPr>
    <w:rPr>
      <w:rFonts w:asci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1561</Words>
  <Characters>1572</Characters>
  <Lines>0</Lines>
  <Paragraphs>0</Paragraphs>
  <TotalTime>1</TotalTime>
  <ScaleCrop>false</ScaleCrop>
  <LinksUpToDate>false</LinksUpToDate>
  <CharactersWithSpaces>1732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2025-07-17T09:23:00Z</dcterms:created>
  <dc:creator>1</dc:creator>
  <cp:lastModifiedBy> </cp:lastModifiedBy>
  <dcterms:modified xsi:type="dcterms:W3CDTF">2025-07-17T09:30:51Z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eyJoZGlkIjoiY2Y4M2VhM2YyNmRkMzRiNTA1Zjk0N2Y5MGZjZjgzOGUiLCJ1c2VySWQiOiI2MTYxMzk1OTMifQ==</vt:lpwstr>
  </property>
  <property fmtid="{D5CDD505-2E9C-101B-9397-08002B2CF9AE}" pid="4" name="ICV">
    <vt:lpwstr>58E76D0D02844B1F8A5964C27E6B42F2_12</vt:lpwstr>
  </property>
</Properties>
</file>