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版本号：SZCTC-G25071120250718001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陕西省泾惠渠灌区2025年第二批抗旱应急项目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SZCTC-G250711</w:t>
      </w:r>
      <w:r>
        <w:br/>
      </w:r>
      <w:r>
        <w:br/>
      </w:r>
      <w:r>
        <w:br/>
      </w:r>
    </w:p>
    <w:p>
      <w:pPr>
        <w:pStyle w:val="null3"/>
        <w:jc w:val="center"/>
        <w:outlineLvl w:val="2"/>
      </w:pPr>
      <w:r>
        <w:rPr>
          <w:rFonts w:ascii="仿宋_GB2312" w:hAnsi="仿宋_GB2312" w:cs="仿宋_GB2312" w:eastAsia="仿宋_GB2312"/>
          <w:sz w:val="28"/>
          <w:b/>
        </w:rPr>
        <w:t>陕西省泾惠渠灌溉中心</w:t>
      </w:r>
    </w:p>
    <w:p>
      <w:pPr>
        <w:pStyle w:val="null3"/>
        <w:jc w:val="center"/>
        <w:outlineLvl w:val="2"/>
      </w:pPr>
      <w:r>
        <w:rPr>
          <w:rFonts w:ascii="仿宋_GB2312" w:hAnsi="仿宋_GB2312" w:cs="仿宋_GB2312" w:eastAsia="仿宋_GB2312"/>
          <w:sz w:val="28"/>
          <w:b/>
        </w:rPr>
        <w:t>陕西中海建招标有限责任公司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陕西中海建招标有限责任公司</w:t>
      </w:r>
      <w:r>
        <w:rPr>
          <w:rFonts w:ascii="仿宋_GB2312" w:hAnsi="仿宋_GB2312" w:cs="仿宋_GB2312" w:eastAsia="仿宋_GB2312"/>
        </w:rPr>
        <w:t>（以下简称“代理机构”）受</w:t>
      </w:r>
      <w:r>
        <w:rPr>
          <w:rFonts w:ascii="仿宋_GB2312" w:hAnsi="仿宋_GB2312" w:cs="仿宋_GB2312" w:eastAsia="仿宋_GB2312"/>
        </w:rPr>
        <w:t>陕西省泾惠渠灌溉中心</w:t>
      </w:r>
      <w:r>
        <w:rPr>
          <w:rFonts w:ascii="仿宋_GB2312" w:hAnsi="仿宋_GB2312" w:cs="仿宋_GB2312" w:eastAsia="仿宋_GB2312"/>
        </w:rPr>
        <w:t>委托，拟对</w:t>
      </w:r>
      <w:r>
        <w:rPr>
          <w:rFonts w:ascii="仿宋_GB2312" w:hAnsi="仿宋_GB2312" w:cs="仿宋_GB2312" w:eastAsia="仿宋_GB2312"/>
        </w:rPr>
        <w:t>陕西省泾惠渠灌区2025年第二批抗旱应急项目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SZCTC-G250711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陕西省泾惠渠灌区2025年第二批抗旱应急项目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引调水工程修复:对西郊水库抽水泵站3号、6号泵返厂修复，并更换配套动力电缆320m、信号电缆500m，更换徐木抽水泵站出水管道蝶阀4套，在西郊水库蓄水闸配置1台发电机，南干节制闸各配置1台发电机，西关闸点至西郊水库蓄水闸更换电缆720m。 2.渠道应急修复:修复北干渠边坡375m，应急修复九支渠三座渡槽;在桥站、杨府站、三渠站、西张站、徐木站、陂西站、栎阳站、高陵站、新市站、张卜站等10个管理站共安装土壤墒情监测设施10 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采购包1（陕西省泾惠渠灌区2025年第二批抗旱应急项目）：属于专门面向中小企业采购。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1、企业资质：具备水利水电工程施工总承包三级（含三级）以上资质，并具有建设行政主管部门颁发的安全生产许可证。</w:t>
      </w:r>
    </w:p>
    <w:p>
      <w:pPr>
        <w:pStyle w:val="null3"/>
      </w:pPr>
      <w:r>
        <w:rPr>
          <w:rFonts w:ascii="仿宋_GB2312" w:hAnsi="仿宋_GB2312" w:cs="仿宋_GB2312" w:eastAsia="仿宋_GB2312"/>
        </w:rPr>
        <w:t>2、拟派项目经理（项目负责人）：具备水利水电工程二级（含二级）以上建造师注册证书，同时具有水利行政主管部门颁发的《安全生产考核合格证》且无不良信用记录、无在建工程（提供无不良记录、无在建工程承诺书）。</w:t>
      </w:r>
    </w:p>
    <w:p>
      <w:pPr>
        <w:pStyle w:val="null3"/>
      </w:pPr>
      <w:r>
        <w:rPr>
          <w:rFonts w:ascii="仿宋_GB2312" w:hAnsi="仿宋_GB2312" w:cs="仿宋_GB2312" w:eastAsia="仿宋_GB2312"/>
        </w:rPr>
        <w:t>3、技术负责人：为本单位在册，具备水利相关专业中级及以上职称，且无不良信用记录、无在建工程（提供无不良记录、无在建工程承诺书）。</w:t>
      </w:r>
    </w:p>
    <w:p>
      <w:pPr>
        <w:pStyle w:val="null3"/>
      </w:pPr>
      <w:r>
        <w:rPr>
          <w:rFonts w:ascii="仿宋_GB2312" w:hAnsi="仿宋_GB2312" w:cs="仿宋_GB2312" w:eastAsia="仿宋_GB2312"/>
        </w:rPr>
        <w:t>4、企业负责人及专职安全员：具有水利行政主管部门颁发的《安全生产考核合格证》。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陕西省泾惠渠灌溉中心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陕西省咸阳市三原县宴友思大街1号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白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029-32250209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陕西中海建招标有限责任公司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陕西省西安市二环南路西段154号易和蓝钻23层西侧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王雅薇 郭骐玮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029-88892252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采购包1：2,091,700.00元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完工验收合格后一年为缺陷责任期，缺陷责任期满经发包人、承包人、监理三方联合检查，无质量缺陷，质量保证金在第1.1.4.5目约定的缺陷责任期（工程质量保修期）满后30个工作日内，发包人将质量保证金退还给承包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 代理服务费收费标准：本项目采购代理服务费以成交价作为收费基数，按照国家计委 (计价格【2002】1980号)《招标代理服务收费管理暂行办法》规定的收费标准,参考市场行情,确定代理费用为1.5万元整。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陕西省泾惠渠灌溉中心</w:t>
      </w:r>
      <w:r>
        <w:rPr>
          <w:rFonts w:ascii="仿宋_GB2312" w:hAnsi="仿宋_GB2312" w:cs="仿宋_GB2312" w:eastAsia="仿宋_GB2312"/>
        </w:rPr>
        <w:t>和</w:t>
      </w:r>
      <w:r>
        <w:rPr>
          <w:rFonts w:ascii="仿宋_GB2312" w:hAnsi="仿宋_GB2312" w:cs="仿宋_GB2312" w:eastAsia="仿宋_GB2312"/>
        </w:rPr>
        <w:t>陕西中海建招标有限责任公司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陕西省泾惠渠灌溉中心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陕西中海建招标有限责任公司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陕西省泾惠渠灌溉中心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陕西中海建招标有限责任公司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参照水利工程的验收规范标准进行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联系人：王雅薇</w:t>
      </w:r>
    </w:p>
    <w:p>
      <w:pPr>
        <w:pStyle w:val="null3"/>
      </w:pPr>
      <w:r>
        <w:rPr>
          <w:rFonts w:ascii="仿宋_GB2312" w:hAnsi="仿宋_GB2312" w:cs="仿宋_GB2312" w:eastAsia="仿宋_GB2312"/>
        </w:rPr>
        <w:t>联系电话：88892252</w:t>
      </w:r>
    </w:p>
    <w:p>
      <w:pPr>
        <w:pStyle w:val="null3"/>
      </w:pPr>
      <w:r>
        <w:rPr>
          <w:rFonts w:ascii="仿宋_GB2312" w:hAnsi="仿宋_GB2312" w:cs="仿宋_GB2312" w:eastAsia="仿宋_GB2312"/>
        </w:rPr>
        <w:t>地址：陕西省西安市二环南路西段154号易和蓝钻23层西侧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2,091,700.00</w:t>
      </w:r>
    </w:p>
    <w:p>
      <w:pPr>
        <w:pStyle w:val="null3"/>
      </w:pPr>
      <w:r>
        <w:rPr>
          <w:rFonts w:ascii="仿宋_GB2312" w:hAnsi="仿宋_GB2312" w:cs="仿宋_GB2312" w:eastAsia="仿宋_GB2312"/>
        </w:rPr>
        <w:t>采购包最高限价（元）: 2,091,655.00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施工标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2,091,700.00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一、建设内容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引调水工程修复</w:t>
            </w:r>
            <w:r>
              <w:rPr>
                <w:rFonts w:ascii="仿宋_GB2312" w:hAnsi="仿宋_GB2312" w:cs="仿宋_GB2312" w:eastAsia="仿宋_GB2312"/>
                <w:sz w:val="20"/>
              </w:rPr>
              <w:t>:</w:t>
            </w:r>
            <w:r>
              <w:rPr>
                <w:rFonts w:ascii="仿宋_GB2312" w:hAnsi="仿宋_GB2312" w:cs="仿宋_GB2312" w:eastAsia="仿宋_GB2312"/>
                <w:sz w:val="20"/>
              </w:rPr>
              <w:t>对西郊水库抽水泵站</w:t>
            </w:r>
            <w:r>
              <w:rPr>
                <w:rFonts w:ascii="仿宋_GB2312" w:hAnsi="仿宋_GB2312" w:cs="仿宋_GB2312" w:eastAsia="仿宋_GB2312"/>
                <w:sz w:val="20"/>
              </w:rPr>
              <w:t>3</w:t>
            </w:r>
            <w:r>
              <w:rPr>
                <w:rFonts w:ascii="仿宋_GB2312" w:hAnsi="仿宋_GB2312" w:cs="仿宋_GB2312" w:eastAsia="仿宋_GB2312"/>
                <w:sz w:val="20"/>
              </w:rPr>
              <w:t>号、</w:t>
            </w:r>
            <w:r>
              <w:rPr>
                <w:rFonts w:ascii="仿宋_GB2312" w:hAnsi="仿宋_GB2312" w:cs="仿宋_GB2312" w:eastAsia="仿宋_GB2312"/>
                <w:sz w:val="20"/>
              </w:rPr>
              <w:t>6</w:t>
            </w:r>
            <w:r>
              <w:rPr>
                <w:rFonts w:ascii="仿宋_GB2312" w:hAnsi="仿宋_GB2312" w:cs="仿宋_GB2312" w:eastAsia="仿宋_GB2312"/>
                <w:sz w:val="20"/>
              </w:rPr>
              <w:t>号泵返厂修复，并更换配套动力电缆</w:t>
            </w:r>
            <w:r>
              <w:rPr>
                <w:rFonts w:ascii="仿宋_GB2312" w:hAnsi="仿宋_GB2312" w:cs="仿宋_GB2312" w:eastAsia="仿宋_GB2312"/>
                <w:sz w:val="20"/>
              </w:rPr>
              <w:t>320m</w:t>
            </w:r>
            <w:r>
              <w:rPr>
                <w:rFonts w:ascii="仿宋_GB2312" w:hAnsi="仿宋_GB2312" w:cs="仿宋_GB2312" w:eastAsia="仿宋_GB2312"/>
                <w:sz w:val="20"/>
              </w:rPr>
              <w:t>、信号电缆</w:t>
            </w:r>
            <w:r>
              <w:rPr>
                <w:rFonts w:ascii="仿宋_GB2312" w:hAnsi="仿宋_GB2312" w:cs="仿宋_GB2312" w:eastAsia="仿宋_GB2312"/>
                <w:sz w:val="20"/>
              </w:rPr>
              <w:t>500m</w:t>
            </w:r>
            <w:r>
              <w:rPr>
                <w:rFonts w:ascii="仿宋_GB2312" w:hAnsi="仿宋_GB2312" w:cs="仿宋_GB2312" w:eastAsia="仿宋_GB2312"/>
                <w:sz w:val="20"/>
              </w:rPr>
              <w:t>，更换徐木抽水泵站出水管道蝶阀</w:t>
            </w:r>
            <w:r>
              <w:rPr>
                <w:rFonts w:ascii="仿宋_GB2312" w:hAnsi="仿宋_GB2312" w:cs="仿宋_GB2312" w:eastAsia="仿宋_GB2312"/>
                <w:sz w:val="20"/>
              </w:rPr>
              <w:t>4</w:t>
            </w:r>
            <w:r>
              <w:rPr>
                <w:rFonts w:ascii="仿宋_GB2312" w:hAnsi="仿宋_GB2312" w:cs="仿宋_GB2312" w:eastAsia="仿宋_GB2312"/>
                <w:sz w:val="20"/>
              </w:rPr>
              <w:t>套，在西郊水库蓄水闸配置</w:t>
            </w:r>
            <w:r>
              <w:rPr>
                <w:rFonts w:ascii="仿宋_GB2312" w:hAnsi="仿宋_GB2312" w:cs="仿宋_GB2312" w:eastAsia="仿宋_GB2312"/>
                <w:sz w:val="20"/>
              </w:rPr>
              <w:t>1</w:t>
            </w:r>
            <w:r>
              <w:rPr>
                <w:rFonts w:ascii="仿宋_GB2312" w:hAnsi="仿宋_GB2312" w:cs="仿宋_GB2312" w:eastAsia="仿宋_GB2312"/>
                <w:sz w:val="20"/>
              </w:rPr>
              <w:t>台发电机，南干节制闸各配置</w:t>
            </w:r>
            <w:r>
              <w:rPr>
                <w:rFonts w:ascii="仿宋_GB2312" w:hAnsi="仿宋_GB2312" w:cs="仿宋_GB2312" w:eastAsia="仿宋_GB2312"/>
                <w:sz w:val="20"/>
              </w:rPr>
              <w:t>1</w:t>
            </w:r>
            <w:r>
              <w:rPr>
                <w:rFonts w:ascii="仿宋_GB2312" w:hAnsi="仿宋_GB2312" w:cs="仿宋_GB2312" w:eastAsia="仿宋_GB2312"/>
                <w:sz w:val="20"/>
              </w:rPr>
              <w:t>台发电机，西关闸点至西郊水库蓄水闸更换电缆</w:t>
            </w:r>
            <w:r>
              <w:rPr>
                <w:rFonts w:ascii="仿宋_GB2312" w:hAnsi="仿宋_GB2312" w:cs="仿宋_GB2312" w:eastAsia="仿宋_GB2312"/>
                <w:sz w:val="20"/>
              </w:rPr>
              <w:t>720m</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渠道应急修复</w:t>
            </w:r>
            <w:r>
              <w:rPr>
                <w:rFonts w:ascii="仿宋_GB2312" w:hAnsi="仿宋_GB2312" w:cs="仿宋_GB2312" w:eastAsia="仿宋_GB2312"/>
                <w:sz w:val="20"/>
              </w:rPr>
              <w:t>:</w:t>
            </w:r>
            <w:r>
              <w:rPr>
                <w:rFonts w:ascii="仿宋_GB2312" w:hAnsi="仿宋_GB2312" w:cs="仿宋_GB2312" w:eastAsia="仿宋_GB2312"/>
                <w:sz w:val="20"/>
              </w:rPr>
              <w:t>修复北干渠边坡</w:t>
            </w:r>
            <w:r>
              <w:rPr>
                <w:rFonts w:ascii="仿宋_GB2312" w:hAnsi="仿宋_GB2312" w:cs="仿宋_GB2312" w:eastAsia="仿宋_GB2312"/>
                <w:sz w:val="20"/>
              </w:rPr>
              <w:t>375m</w:t>
            </w:r>
            <w:r>
              <w:rPr>
                <w:rFonts w:ascii="仿宋_GB2312" w:hAnsi="仿宋_GB2312" w:cs="仿宋_GB2312" w:eastAsia="仿宋_GB2312"/>
                <w:sz w:val="20"/>
              </w:rPr>
              <w:t>，应急修复九支渠三座渡槽</w:t>
            </w:r>
            <w:r>
              <w:rPr>
                <w:rFonts w:ascii="仿宋_GB2312" w:hAnsi="仿宋_GB2312" w:cs="仿宋_GB2312" w:eastAsia="仿宋_GB2312"/>
                <w:sz w:val="20"/>
              </w:rPr>
              <w:t>;</w:t>
            </w:r>
            <w:r>
              <w:rPr>
                <w:rFonts w:ascii="仿宋_GB2312" w:hAnsi="仿宋_GB2312" w:cs="仿宋_GB2312" w:eastAsia="仿宋_GB2312"/>
                <w:sz w:val="20"/>
              </w:rPr>
              <w:t>在石桥站、杨府站、三渠站、西张站、徐木站、陂西站、栎阳站、高陵站、新市站、张卜站等</w:t>
            </w:r>
            <w:r>
              <w:rPr>
                <w:rFonts w:ascii="仿宋_GB2312" w:hAnsi="仿宋_GB2312" w:cs="仿宋_GB2312" w:eastAsia="仿宋_GB2312"/>
                <w:sz w:val="20"/>
              </w:rPr>
              <w:t>10</w:t>
            </w:r>
            <w:r>
              <w:rPr>
                <w:rFonts w:ascii="仿宋_GB2312" w:hAnsi="仿宋_GB2312" w:cs="仿宋_GB2312" w:eastAsia="仿宋_GB2312"/>
                <w:sz w:val="20"/>
              </w:rPr>
              <w:t>个管理站共安装土壤墒情监测设施</w:t>
            </w:r>
            <w:r>
              <w:rPr>
                <w:rFonts w:ascii="仿宋_GB2312" w:hAnsi="仿宋_GB2312" w:cs="仿宋_GB2312" w:eastAsia="仿宋_GB2312"/>
                <w:sz w:val="20"/>
              </w:rPr>
              <w:t xml:space="preserve">10 </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b/>
              </w:rPr>
              <w:t>二、工程技术标准及要求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工程的施工过程和成果必须符合设计的图纸并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本工程其他技术标准及要求执行现行规范和采购人实际需求。</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在施工过程中，如果国家或有关部门颁布了新的技术部分标准或规范，则承包人应采用新的标准或规范进行施工。</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采购人提供工程的施工方案和相关技术文件，是采购人现有的能被供应商利用的资料，采购人对供应商做出的任何推论、理解均不负责任。</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供应商应先自行到工地踏勘以充分了解工地位置、地质情况、进出场道路、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jc w:val="both"/>
            </w:pPr>
            <w:r>
              <w:rPr>
                <w:rFonts w:ascii="仿宋_GB2312" w:hAnsi="仿宋_GB2312" w:cs="仿宋_GB2312" w:eastAsia="仿宋_GB2312"/>
                <w:sz w:val="20"/>
                <w:b/>
              </w:rPr>
              <w:t>三、工</w:t>
            </w:r>
            <w:r>
              <w:rPr>
                <w:rFonts w:ascii="仿宋_GB2312" w:hAnsi="仿宋_GB2312" w:cs="仿宋_GB2312" w:eastAsia="仿宋_GB2312"/>
                <w:sz w:val="20"/>
                <w:b/>
                <w:shd w:fill="FFFFFF" w:val="clear"/>
              </w:rPr>
              <w:t>期：</w:t>
            </w:r>
            <w:r>
              <w:rPr>
                <w:rFonts w:ascii="仿宋_GB2312" w:hAnsi="仿宋_GB2312" w:cs="仿宋_GB2312" w:eastAsia="仿宋_GB2312"/>
                <w:sz w:val="20"/>
                <w:b/>
                <w:u w:val="single"/>
                <w:shd w:fill="FFFFFF" w:val="clear"/>
              </w:rPr>
              <w:t>3</w:t>
            </w:r>
            <w:r>
              <w:rPr>
                <w:rFonts w:ascii="仿宋_GB2312" w:hAnsi="仿宋_GB2312" w:cs="仿宋_GB2312" w:eastAsia="仿宋_GB2312"/>
                <w:sz w:val="20"/>
                <w:b/>
                <w:u w:val="single"/>
              </w:rPr>
              <w:t>0</w:t>
            </w:r>
            <w:r>
              <w:rPr>
                <w:rFonts w:ascii="仿宋_GB2312" w:hAnsi="仿宋_GB2312" w:cs="仿宋_GB2312" w:eastAsia="仿宋_GB2312"/>
                <w:sz w:val="20"/>
                <w:b/>
              </w:rPr>
              <w:t>日历天。</w:t>
            </w:r>
          </w:p>
          <w:p>
            <w:pPr>
              <w:pStyle w:val="null3"/>
              <w:jc w:val="both"/>
            </w:pPr>
            <w:r>
              <w:rPr>
                <w:rFonts w:ascii="仿宋_GB2312" w:hAnsi="仿宋_GB2312" w:cs="仿宋_GB2312" w:eastAsia="仿宋_GB2312"/>
                <w:sz w:val="20"/>
                <w:b/>
              </w:rPr>
              <w:t>四、验收：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参照水利工程的验收规范标准进行。</w:t>
            </w:r>
          </w:p>
          <w:p>
            <w:pPr>
              <w:pStyle w:val="null3"/>
              <w:jc w:val="both"/>
            </w:pPr>
            <w:r>
              <w:rPr>
                <w:rFonts w:ascii="仿宋_GB2312" w:hAnsi="仿宋_GB2312" w:cs="仿宋_GB2312" w:eastAsia="仿宋_GB2312"/>
                <w:sz w:val="20"/>
              </w:rPr>
              <w:t>在施工过程中，采购人同有关人员将对施工过程中的隐蔽工程、材料进行全过程监督验收。</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竣工验收：中标单位按国家工程竣工验收有关规定，向采购人提供完整竣工资料及竣工验收报告； 采购人收到竣工验收报告后组织有关单位验收，验收合格后予以认可或提出修改意见；中标单位按要求修改， 并承担由自身原因造成的修改费用；工程竣工验收通过后，中标单位送交竣工验收报告日期为实际竣工日期；采购人要求修改后通过竣工验收的，实际竣工日期为中标单位修改后提请验收的日期。</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验收不合格的中标单位，必须在接到通知后按要求进行修改与完善，不执行者须赔偿采购人的损失。</w:t>
            </w:r>
          </w:p>
          <w:p>
            <w:pPr>
              <w:pStyle w:val="null3"/>
              <w:jc w:val="both"/>
            </w:pPr>
            <w:r>
              <w:rPr>
                <w:rFonts w:ascii="仿宋_GB2312" w:hAnsi="仿宋_GB2312" w:cs="仿宋_GB2312" w:eastAsia="仿宋_GB2312"/>
                <w:sz w:val="20"/>
                <w:b/>
              </w:rPr>
              <w:t>五、报价要求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供应商应充分考虑磋商文件的各项条款和所掌握的市场情况及本工程的实际情况，且应根据企业自身情况自主做出填报总价及单价。</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所有材料必须使用合格产品，磋商文件如对材料的材质、品牌等有明确要求的，不得变更相关要求，使用前应当由采购人认质确认后方可投入使用。工程施工完毕后需对施工场地进行保洁，保洁标准达到采购人要求。</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最终报价只报总价，供应商最终报价较首次报价降价的，成交后，签订合同时应按照成交价较首次报价的下浮比率修改分项报价表中的相应报价。</w:t>
            </w:r>
          </w:p>
          <w:p>
            <w:pPr>
              <w:pStyle w:val="null3"/>
            </w:pPr>
            <w:r>
              <w:rPr>
                <w:rFonts w:ascii="仿宋_GB2312" w:hAnsi="仿宋_GB2312" w:cs="仿宋_GB2312" w:eastAsia="仿宋_GB2312"/>
                <w:sz w:val="21"/>
              </w:rPr>
              <w:t>4.</w:t>
            </w:r>
            <w:r>
              <w:rPr>
                <w:rFonts w:ascii="仿宋_GB2312" w:hAnsi="仿宋_GB2312" w:cs="仿宋_GB2312" w:eastAsia="仿宋_GB2312"/>
                <w:sz w:val="21"/>
              </w:rPr>
              <w:t>要求的其他相关费用以本磋商文件的内容和要求作为磋商响应依据。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工程质量符合国家现行有关施工质量验收规范要求“合格”标准，缺陷责任期（工程质量保修期）：工程完工验收合格后 1 年。</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满足磋商文件、项目技术服务要求、工程量清单、图纸要求（详见附件）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司法部关于政府采购支持监狱企业发展有关问题的通知》（财库〔2014〕68号）；（3）、《三部门联合发布关于促进残疾人就业政府采购政策的通知》（财库〔2017〕141号）；（4）、《财政部 发展改革 委 生态环境部 市场监管总局关于调整优化节能产品、环境标志产品政府采购执行机制的通知》（财库〔2019〕9号）；（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2、投标人需要在线提交所有通过电子化交易平台实施的政府采购项目的投标文件，同时，线下提交投标文件正本壹份、副本肆份、电子版壹套（U盘一套标明投标人名称，随正本密封，电子版内容：投标文件签字盖章的扫描PDF版及Word版））。若电子投标文件与纸质投标文件不一致的，以线上提交的电子投标文件为准。线下提交投标文件截止时间：同线上递交截止时间（北京时间）线下提交投标文件地点：西安市二环南路西段154号易和蓝钻23层西侧；联系电话：029-88852536-6005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3、提供参加政府采购活动前三年内，在经营活动中没有重大违法记录书面声明（需单独承诺）； 4、提供具有履行合同所必需的设备和专业技术能力的承诺书（需单独承诺）； 供应商需在项目电子化交易系统中按要求填写《响应函》完成承诺并进行电子签章。 5、投标人不得为“信用中国(www.creditchina.gov.cn)”中列入失信被执行人和重大税收违法案件当事人名单的投标人，不得为“ 中国政府采购网(www.ccgp.gov.cn)” 政府采购严重违法失信行为记录名单中被财政部门禁止参加政府采购活动的投标人（采购代理机构查询，采购代理机构查询时限为投标文件递交截止之日）。 6.非联合体投标,提供非联合体投标声明。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2023年度或2024年度的财务审计报告（成立时间至提交投标文件截止时间不足一年的可提供成立后任意时段的资产负债表）或其基本存款账户开户银行出具的资信证明及基本存款账户开户许可证或基本账户存款信息。 2、提供投标截止日前一年内已缴纳的至少三个月的纳税证明或完税证明（任意税种），依法免税的单位应提供相关证明材料； 3、提供投标截止日前一年内已缴存的至少三个月的社会保障资金缴存单据或社保机构开具的社会保险参保缴费情况证明，依法不需要缴纳社会保障资金的单位应提供相关证明材料。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具备水利水电工程施工总承包三级（含三级）以上资质，并具有建设行政主管部门颁发的安全生产许可证。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拟派项目经理（项目负责人）</w:t>
            </w:r>
          </w:p>
        </w:tc>
        <w:tc>
          <w:tcPr>
            <w:tcW w:type="dxa" w:w="3322"/>
          </w:tcPr>
          <w:p>
            <w:pPr>
              <w:pStyle w:val="null3"/>
            </w:pPr>
            <w:r>
              <w:rPr>
                <w:rFonts w:ascii="仿宋_GB2312" w:hAnsi="仿宋_GB2312" w:cs="仿宋_GB2312" w:eastAsia="仿宋_GB2312"/>
              </w:rPr>
              <w:t>具备水利水电工程二级（含二级）以上建造师注册证书，同时具有水利行政主管部门颁发的《安全生产考核合格证》且无不良信用记录、无在建工程（提供无不良记录、无在建工程承诺书）。</w:t>
            </w:r>
          </w:p>
        </w:tc>
        <w:tc>
          <w:tcPr>
            <w:tcW w:type="dxa" w:w="1661"/>
          </w:tcPr>
          <w:p>
            <w:pPr>
              <w:pStyle w:val="null3"/>
            </w:pPr>
            <w:r>
              <w:rPr>
                <w:rFonts w:ascii="仿宋_GB2312" w:hAnsi="仿宋_GB2312" w:cs="仿宋_GB2312" w:eastAsia="仿宋_GB2312"/>
              </w:rPr>
              <w:t>项目组织机构.docx 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为本单位在册，具备水利相关专业中级及以上职称，且无不良信用记录、无在建工程（提供无不良记录、无在建工程承诺书）。</w:t>
            </w:r>
          </w:p>
        </w:tc>
        <w:tc>
          <w:tcPr>
            <w:tcW w:type="dxa" w:w="1661"/>
          </w:tcPr>
          <w:p>
            <w:pPr>
              <w:pStyle w:val="null3"/>
            </w:pPr>
            <w:r>
              <w:rPr>
                <w:rFonts w:ascii="仿宋_GB2312" w:hAnsi="仿宋_GB2312" w:cs="仿宋_GB2312" w:eastAsia="仿宋_GB2312"/>
              </w:rPr>
              <w:t>项目组织机构.docx 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企业负责人及专职安全员</w:t>
            </w:r>
          </w:p>
        </w:tc>
        <w:tc>
          <w:tcPr>
            <w:tcW w:type="dxa" w:w="3322"/>
          </w:tcPr>
          <w:p>
            <w:pPr>
              <w:pStyle w:val="null3"/>
            </w:pPr>
            <w:r>
              <w:rPr>
                <w:rFonts w:ascii="仿宋_GB2312" w:hAnsi="仿宋_GB2312" w:cs="仿宋_GB2312" w:eastAsia="仿宋_GB2312"/>
              </w:rPr>
              <w:t>具有水利行政主管部门颁发的《安全生产考核合格证》。</w:t>
            </w:r>
          </w:p>
        </w:tc>
        <w:tc>
          <w:tcPr>
            <w:tcW w:type="dxa" w:w="1661"/>
          </w:tcPr>
          <w:p>
            <w:pPr>
              <w:pStyle w:val="null3"/>
            </w:pPr>
            <w:r>
              <w:rPr>
                <w:rFonts w:ascii="仿宋_GB2312" w:hAnsi="仿宋_GB2312" w:cs="仿宋_GB2312" w:eastAsia="仿宋_GB2312"/>
              </w:rPr>
              <w:t>项目组织机构.docx 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响应文件封面 已标价工程量清单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中小企业声明函 报价函 技术服务合同条款及其他商务要求应答表 标的清单 供应商类似项目业绩一览表 响应函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工程质量及保修期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内容完整、有一定深度得4分；一般得2分；差得0分。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方案技术先进，措施全面，具有针对性且无盲点区域得15分；方案基本可行得8~15分（不含）；方案可行性及措施较差得0~8分（不含）。</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目标明确，管理体系健全，职责明确，预控和动态控制措施完整，实施手段先进可靠，组织措施功能完善、管理幅度适宜，得5分；目标基本明确，控制措施基本全面得2~5分（不含）；质量管理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健全，事故预防和动态控制措施及制度完整到位，组织措施功能完善可靠，得5分；安全管理、事故防控体系与控制措施基本全面得2~5分（不含）；安全管理、事故防控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总工期满足要求，施工进度、节点工期安排合理，进度计划网络图或横道图完善者得5分；施工进度、节点工期安排基本合理，进度计划网络图或横道图较完善者得2~5分（不含）；安排合理性较差、进度计划网络图或横道图有严重问题者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施工设备、试验检测仪器设备、劳动力、资金等配备计划科学合理，资源充足，满足施工要求得5分；配备计划基本合理，资源基本充足，基本满足施工要求得2~5分（不含）；资源配置较差得0~2分（不含）。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文明施工计划与措施</w:t>
            </w:r>
          </w:p>
        </w:tc>
        <w:tc>
          <w:tcPr>
            <w:tcW w:type="dxa" w:w="2492"/>
          </w:tcPr>
          <w:p>
            <w:pPr>
              <w:pStyle w:val="null3"/>
            </w:pPr>
            <w:r>
              <w:rPr>
                <w:rFonts w:ascii="仿宋_GB2312" w:hAnsi="仿宋_GB2312" w:cs="仿宋_GB2312" w:eastAsia="仿宋_GB2312"/>
              </w:rPr>
              <w:t>文明施工计划安排合理，组织措施功能完善可靠，得5分；文明施工计划与措施基本合理，得2~5分（不含）；文明施工计划与措施较差，得0~2分（不含）。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近5年内具有类似水利工程施工经历且担任过一项项目经理得1分，每多一项加1分，满分2分。 项目经理业绩的认定：提供的相关证明材料复印件（中标通知书或合同协议书或中标结果公示截图或陕西省水利建设市场主体信用信息管理平台网页截图等）应体现其担任项目经理，否则不予认定。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供应商应提供的资格证明文件.docx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投标人近五年承建过类似水利工程每1项得2分，最高得10分； 提供的相关证明材料复印件（中标通知书或合同协议书或中标结果公示截图或陕西省水利建设市场主体信用信息管理平台网页截图等）注：提供合同复印件，至少包括封面、关键页、盖章页。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1、近三年（2022~2024年）财务状况均良好，不提供不得分，此项最高2分。提供近3年审计报告，成立时间不足3年的可提供成立以来的审计报告或财务报告。</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1、具有水利类高级职称得1分； 2、近5年内具有类似水利工程施工管理经历得1分； 两项合计最高得2分。 技术负责人业绩的认定：提供的相关证明材料复印件（中标通知书或合同协议书或中标结果公示截图或陕西省水利建设市场主体信用信息管理平台网页截图等），否则不予认定。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供应商应提供的资格证明文件.docx</w:t>
            </w:r>
          </w:p>
        </w:tc>
      </w:tr>
      <w:tr>
        <w:tc>
          <w:tcPr>
            <w:tcW w:type="dxa" w:w="831"/>
            <w:vMerge/>
          </w:tcPr>
          <w:p/>
        </w:tc>
        <w:tc>
          <w:tcPr>
            <w:tcW w:type="dxa" w:w="1661"/>
          </w:tcPr>
          <w:p>
            <w:pPr>
              <w:pStyle w:val="null3"/>
            </w:pPr>
            <w:r>
              <w:rPr>
                <w:rFonts w:ascii="仿宋_GB2312" w:hAnsi="仿宋_GB2312" w:cs="仿宋_GB2312" w:eastAsia="仿宋_GB2312"/>
              </w:rPr>
              <w:t>配备有施工员、质检员、材料员等管理人员</w:t>
            </w:r>
          </w:p>
        </w:tc>
        <w:tc>
          <w:tcPr>
            <w:tcW w:type="dxa" w:w="2492"/>
          </w:tcPr>
          <w:p>
            <w:pPr>
              <w:pStyle w:val="null3"/>
            </w:pPr>
            <w:r>
              <w:rPr>
                <w:rFonts w:ascii="仿宋_GB2312" w:hAnsi="仿宋_GB2312" w:cs="仿宋_GB2312" w:eastAsia="仿宋_GB2312"/>
              </w:rPr>
              <w:t>施工员、质检员、材料员、资料员、造价人员、安全员配备齐全且具备相应证件齐全得5分，缺一人扣1分。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评标基准价计算方法：有效投标报价中报价最低的为评标基准价； 在评标基准价确定之前，应按有关规定对所有投标文件的工程量清单进行核对，对算术错误进行修正得到评标报价。 总报价得分的计算：投标总价为评标基准价时得35分，其他投标报价=评标基准价/投标报价×35。 因本项目专门面向中小企业，不再进行小微企业价格扣除</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详见附件：供应商应提供的资格证明文件.docx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详见附件：陕西省泾惠渠灌区2025年第二批抗旱应急项目施工合同.docx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