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版本号：GXCZ-A1-2557044820250726002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东阶楼一二层实验室改造项目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GXCZ-A1-25570448</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国信国际工程咨询集团股份有限公司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国信国际工程咨询集团股份有限公司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东阶楼一二层实验室改造项目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GXCZ-A1-25570448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东阶楼一二层实验室改造项目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拟对雁塔校区石油工程学院东阶一楼二楼教室进行实验室改造，供边际油气开发技术研究院。本次共改造实现东阶一楼二楼教室和办公室的环境设施满足实验平台搭建的要求，使教室的供电功率、排风、设施满足实验室要求，拥有安全防护、实验室供水设施、污水处理系统，达到提升科研质量，保障实验人员的安全与健康的目标。室内装饰：墙面装修、照明改造、室内顶部喷黑处理、防静电地板装修；气体报警：101室加装甲烷浓度检测器，防火防爆线路按照国家标准进行安装施工；通风改造：101室、102室、202室加装防腐防爆型风机、防火阀、风管、万相抽气罩等通风设施；上下水和废水改造：实验室废水收集管道做到一楼废水处理间；电量扩容和电路改造：实验室101室、102室、201室、202室的实验室用电和办公用电；中央空调加装：实验室101室、102室、201室、202室的空调加装；集装箱房：作为放置空压机、液压机、废水处理间功能使用等内容。一楼卫生间改造，100室、200室改造。 总预算金额：1320000.00元。工期：30日历天。施工地点：雁塔校区石油工程学院东阶一楼二楼教室。</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采购包1（西安石油大学东阶楼一二层实验室改造项目）：属于专门面向中小企业采购。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拟派项目负责人资质和专业要求：具有建筑工程专业二级及以上注册建造师资格及有效的安全生产考核合格证书（B证）且未担任其他在施工程项目；在“陕西省住房和城乡建设厅https://js.shaanxi.gov.cn/zwfw/”可查询。</w:t>
      </w:r>
    </w:p>
    <w:p>
      <w:pPr>
        <w:pStyle w:val="null3"/>
      </w:pPr>
      <w:r>
        <w:rPr>
          <w:rFonts w:ascii="仿宋_GB2312" w:hAnsi="仿宋_GB2312" w:cs="仿宋_GB2312" w:eastAsia="仿宋_GB2312"/>
        </w:rPr>
        <w:t>2、供应商企业资质和要求：具备建筑工程施工总承包叁级及以上资质以及合法有效的安全生产许可证，并在人员、设备、资金等方面具备相应施工能力且无不良记录；在“陕西省住房和城乡建设厅https://js.shaanxi.gov.cn/zwfw/”可查询。</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国信国际工程咨询集团股份有限公司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陕西省西安市雁塔区南二环成长大厦20楼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肖君玲、贾天佼、张海飞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15637780510、13299087301、13720091532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说明：合同签订之前，成交供应商向采购人缴纳履约保证金，如未触发没收履约保证金条款，则采购人将在工程竣工验收合格之日起两周内无息退还履约保证金给成交供应商。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代理服务费收费标准：采购代理服务费参照国家计委颁布的《招标代理服务收费管理暂行办法》(计价格[2002]1980号)号文件按工程类收费标准的90%收取。 服务费收取账号： 开户名称：国信国际工程咨询集团股份有限公司陕西分公司 开户银行：招商银行西安城南支行 银行账号：1299054558101012500010178 注：缴纳服务费时，供应商需要备注项目编号和缴费用途。</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踏勘时间：2025-07-26 10:00:00</w:t>
            </w:r>
          </w:p>
          <w:p>
            <w:pPr>
              <w:pStyle w:val="null3"/>
              <w:ind w:firstLine="975"/>
            </w:pPr>
            <w:r>
              <w:rPr>
                <w:rFonts w:ascii="仿宋_GB2312" w:hAnsi="仿宋_GB2312" w:cs="仿宋_GB2312" w:eastAsia="仿宋_GB2312"/>
              </w:rPr>
              <w:t>踏勘地点：西安石油大学雁塔校区东阶教学楼（供应商自行携带踏勘使用工具）</w:t>
            </w:r>
          </w:p>
          <w:p>
            <w:pPr>
              <w:pStyle w:val="null3"/>
              <w:ind w:firstLine="975"/>
            </w:pPr>
            <w:r>
              <w:rPr>
                <w:rFonts w:ascii="仿宋_GB2312" w:hAnsi="仿宋_GB2312" w:cs="仿宋_GB2312" w:eastAsia="仿宋_GB2312"/>
              </w:rPr>
              <w:t>联系人：肖君玲、贾天佼</w:t>
            </w:r>
          </w:p>
          <w:p>
            <w:pPr>
              <w:pStyle w:val="null3"/>
              <w:ind w:firstLine="975"/>
            </w:pPr>
            <w:r>
              <w:rPr>
                <w:rFonts w:ascii="仿宋_GB2312" w:hAnsi="仿宋_GB2312" w:cs="仿宋_GB2312" w:eastAsia="仿宋_GB2312"/>
              </w:rPr>
              <w:t>联系电话号码：15637780510、13299087301</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国信国际工程咨询集团股份有限公司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西安石油大学</w:t>
      </w:r>
      <w:r>
        <w:rPr>
          <w:rFonts w:ascii="仿宋_GB2312" w:hAnsi="仿宋_GB2312" w:cs="仿宋_GB2312" w:eastAsia="仿宋_GB2312"/>
        </w:rPr>
        <w:t>负责解释。除上述磋商文件内容，其他内容由</w:t>
      </w:r>
      <w:r>
        <w:rPr>
          <w:rFonts w:ascii="仿宋_GB2312" w:hAnsi="仿宋_GB2312" w:cs="仿宋_GB2312" w:eastAsia="仿宋_GB2312"/>
        </w:rPr>
        <w:t>国信国际工程咨询集团股份有限公司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国信国际工程咨询集团股份有限公司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国信国际工程咨询集团股份有限公司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国信国际工程咨询集团股份有限公司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国信国际工程咨询集团股份有限公司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联系人：肖君玲、贾天佼、张海飞</w:t>
      </w:r>
    </w:p>
    <w:p>
      <w:pPr>
        <w:pStyle w:val="null3"/>
      </w:pPr>
      <w:r>
        <w:rPr>
          <w:rFonts w:ascii="仿宋_GB2312" w:hAnsi="仿宋_GB2312" w:cs="仿宋_GB2312" w:eastAsia="仿宋_GB2312"/>
        </w:rPr>
        <w:t>联系电话：15637780510、13299087301、13720091532</w:t>
      </w:r>
    </w:p>
    <w:p>
      <w:pPr>
        <w:pStyle w:val="null3"/>
      </w:pPr>
      <w:r>
        <w:rPr>
          <w:rFonts w:ascii="仿宋_GB2312" w:hAnsi="仿宋_GB2312" w:cs="仿宋_GB2312" w:eastAsia="仿宋_GB2312"/>
        </w:rPr>
        <w:t>地址：陕西省西安市雁塔区南二环成长大厦20楼</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1,320,000.00</w:t>
      </w:r>
    </w:p>
    <w:p>
      <w:pPr>
        <w:pStyle w:val="null3"/>
      </w:pPr>
      <w:r>
        <w:rPr>
          <w:rFonts w:ascii="仿宋_GB2312" w:hAnsi="仿宋_GB2312" w:cs="仿宋_GB2312" w:eastAsia="仿宋_GB2312"/>
        </w:rPr>
        <w:t>采购包最高限价（元）: 1,155,314.39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西安石油大学东阶楼一二层实验室改造项目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1,320,000.00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标的名称：西安石油大学东阶楼一二层实验室改造项目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rPr>
              <w:t>电气要求</w:t>
            </w:r>
          </w:p>
          <w:p>
            <w:pPr>
              <w:pStyle w:val="null3"/>
              <w:jc w:val="both"/>
            </w:pPr>
            <w:r>
              <w:rPr>
                <w:rFonts w:ascii="仿宋_GB2312" w:hAnsi="仿宋_GB2312" w:cs="仿宋_GB2312" w:eastAsia="仿宋_GB2312"/>
                <w:sz w:val="18"/>
              </w:rPr>
              <w:t>1.本次改造范围为局部改造。一层、二层照明、插座配电线路电源均由总配电箱AL1通过桥架、配管引至层配电箱，再由层配电箱引至灯具、开关、插座等终端。负荷等级：均为三级负荷。</w:t>
            </w:r>
          </w:p>
          <w:p>
            <w:pPr>
              <w:pStyle w:val="null3"/>
              <w:jc w:val="both"/>
            </w:pPr>
            <w:r>
              <w:rPr>
                <w:rFonts w:ascii="仿宋_GB2312" w:hAnsi="仿宋_GB2312" w:cs="仿宋_GB2312" w:eastAsia="仿宋_GB2312"/>
                <w:sz w:val="18"/>
              </w:rPr>
              <w:t>2.电源进户线穿钢管引进户，以放射、树干相结合的形式配电给各用电设备。照明配电箱后支线采用WDZ-BYJ-450/750型导线，穿阻燃型管埋墙、吊顶内暗敷(图中未标注的照明、插座间连线均为3根)，照明线路采用WDZ-BYJ-450/750-2.5mm导线，3根及以下穿JDG15,4~6根穿JDG20</w:t>
            </w:r>
            <w:r>
              <w:rPr>
                <w:rFonts w:ascii="仿宋_GB2312" w:hAnsi="仿宋_GB2312" w:cs="仿宋_GB2312" w:eastAsia="仿宋_GB2312"/>
                <w:sz w:val="18"/>
              </w:rPr>
              <w:t>；</w:t>
            </w:r>
            <w:r>
              <w:rPr>
                <w:rFonts w:ascii="仿宋_GB2312" w:hAnsi="仿宋_GB2312" w:cs="仿宋_GB2312" w:eastAsia="仿宋_GB2312"/>
                <w:sz w:val="18"/>
              </w:rPr>
              <w:t>插座采用</w:t>
            </w:r>
            <w:r>
              <w:rPr>
                <w:rFonts w:ascii="仿宋_GB2312" w:hAnsi="仿宋_GB2312" w:cs="仿宋_GB2312" w:eastAsia="仿宋_GB2312"/>
                <w:sz w:val="18"/>
              </w:rPr>
              <w:t>WDZ-BYJ-450/750-4.0mm 导线，3根及以下穿JDG20,4~5根穿JDG25。照明、配电系统、弱电系统的线缆在室内干燥、潮湿场所的线缆采用导管布线时,应明确其厚度不应低于1.5mm、2.0mm明敷设的电气线缆饶绍性能不应低于B1级。</w:t>
            </w:r>
          </w:p>
          <w:p>
            <w:pPr>
              <w:pStyle w:val="null3"/>
              <w:jc w:val="both"/>
            </w:pPr>
            <w:r>
              <w:rPr>
                <w:rFonts w:ascii="仿宋_GB2312" w:hAnsi="仿宋_GB2312" w:cs="仿宋_GB2312" w:eastAsia="仿宋_GB2312"/>
                <w:sz w:val="18"/>
              </w:rPr>
              <w:t>3.配电间内线路均为明敷，所有孔洞待电气设备安装完成后用防火堵料封堵</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4.电缆桥架本体之间的连接应牢固可靠,金属电缆桥架与保护导体的连接应符合电缆桥架全长不大于30m时,不应少于2处与保护导体可靠连接；全长大于30m时,每隔20m~30m应增加一个连接点,起始端和终点端均应可靠接地。需要保护的电子信息、电缆桥架内敷设的缆线在引入、引出、转弯位置应在长度上留有余量。入户处电缆应采用挠性线管或采取其他抗震措施,入户电缆应留有余量。线路采用穿金属导管或桥架敷设时,应采用刚性托架或支架固定,桥架敷设时,应采用刚性托架或支架固定,不宜采用吊架。当必须采用吊架时,应安装横向防晃吊架。</w:t>
            </w:r>
          </w:p>
          <w:p>
            <w:pPr>
              <w:pStyle w:val="null3"/>
              <w:jc w:val="both"/>
            </w:pPr>
            <w:r>
              <w:rPr>
                <w:rFonts w:ascii="仿宋_GB2312" w:hAnsi="仿宋_GB2312" w:cs="仿宋_GB2312" w:eastAsia="仿宋_GB2312"/>
                <w:sz w:val="18"/>
              </w:rPr>
              <w:t>5.建筑的非结构构件及附属机电设备,其自身及与结构主体的连接,应进行抗震设防。建筑附属机电设备不应设置在可能致使其功能障碍等二次灾害的部位；设防地震下需要连续工作附属设备,应设置在建筑结构地震反应较小的部位。建筑附属机电设备的几座和支架,以及相关连接件锚固件应具有足够的刚度和强度,应能将设备承受的地震作用全部传递到建筑结构上。建筑结构中,用以固定建筑附属机电设备预埋件、锚固件的部位,应采取加强措施,以承受附属机电设备传给主题结构的地震作用。</w:t>
            </w:r>
          </w:p>
          <w:p>
            <w:pPr>
              <w:pStyle w:val="null3"/>
              <w:jc w:val="both"/>
            </w:pPr>
            <w:r>
              <w:rPr>
                <w:rFonts w:ascii="仿宋_GB2312" w:hAnsi="仿宋_GB2312" w:cs="仿宋_GB2312" w:eastAsia="仿宋_GB2312"/>
                <w:sz w:val="18"/>
              </w:rPr>
              <w:t>6.本工程弱电进线由市政弱电引入,综合布线系统采用星型拓扑结构模块化设计,光缆和铜芯对绞电缆混和组网方式,支线沿墙、顶穿PC管、走廊内穿管配线；信息插座选用标准的超6类RJ45插座,信息插座采用墙上暗装方式；信息、插座每一孔配线电缆均选用1根4对6类非屏蔽双绞线。其余详见综合布线系统图。</w:t>
            </w:r>
          </w:p>
          <w:p>
            <w:pPr>
              <w:pStyle w:val="null3"/>
              <w:jc w:val="both"/>
            </w:pPr>
            <w:r>
              <w:rPr>
                <w:rFonts w:ascii="仿宋_GB2312" w:hAnsi="仿宋_GB2312" w:cs="仿宋_GB2312" w:eastAsia="仿宋_GB2312"/>
                <w:sz w:val="18"/>
              </w:rPr>
              <w:t>7.弱电工程水平支线采用穿保护管埋楼板、埋墙暗敷方式,管径见系统图。</w:t>
            </w:r>
          </w:p>
          <w:p>
            <w:pPr>
              <w:pStyle w:val="null3"/>
              <w:jc w:val="both"/>
            </w:pPr>
            <w:r>
              <w:rPr>
                <w:rFonts w:ascii="仿宋_GB2312" w:hAnsi="仿宋_GB2312" w:cs="仿宋_GB2312" w:eastAsia="仿宋_GB2312"/>
                <w:sz w:val="18"/>
              </w:rPr>
              <w:t>8.设计仅做施工时预埋宽带网络保护管,具体设备及穿线选型由专业厂家做二次深化设计,并做好接线和设备的调试安装。</w:t>
            </w:r>
          </w:p>
          <w:p>
            <w:pPr>
              <w:pStyle w:val="null3"/>
              <w:jc w:val="both"/>
            </w:pPr>
            <w:r>
              <w:rPr>
                <w:rFonts w:ascii="仿宋_GB2312" w:hAnsi="仿宋_GB2312" w:cs="仿宋_GB2312" w:eastAsia="仿宋_GB2312"/>
                <w:sz w:val="18"/>
              </w:rPr>
              <w:t>9.宽带网络终端插座均暗设。宽带网络交换及配线机柜(箱)嵌墙暗装。</w:t>
            </w:r>
          </w:p>
          <w:p>
            <w:pPr>
              <w:pStyle w:val="null3"/>
              <w:jc w:val="both"/>
            </w:pPr>
            <w:r>
              <w:rPr>
                <w:rFonts w:ascii="仿宋_GB2312" w:hAnsi="仿宋_GB2312" w:cs="仿宋_GB2312" w:eastAsia="仿宋_GB2312"/>
                <w:sz w:val="18"/>
              </w:rPr>
              <w:t>10.电信业务经营者的配线模块在配线箱内分区域安装，宽带网络终端插座与其电源插座的水平距离为250mm。</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18"/>
              </w:rPr>
              <w:t>暖通要求</w:t>
            </w:r>
          </w:p>
          <w:p>
            <w:pPr>
              <w:pStyle w:val="null3"/>
              <w:jc w:val="both"/>
            </w:pPr>
            <w:r>
              <w:rPr>
                <w:rFonts w:ascii="仿宋_GB2312" w:hAnsi="仿宋_GB2312" w:cs="仿宋_GB2312" w:eastAsia="仿宋_GB2312"/>
                <w:sz w:val="18"/>
              </w:rPr>
              <w:t>1.实验室采用变制冷剂流量多联机空调系统 (简称VRF),满足不同房间、不同时段的需要。</w:t>
            </w:r>
          </w:p>
          <w:p>
            <w:pPr>
              <w:pStyle w:val="null3"/>
              <w:jc w:val="both"/>
            </w:pPr>
            <w:r>
              <w:rPr>
                <w:rFonts w:ascii="仿宋_GB2312" w:hAnsi="仿宋_GB2312" w:cs="仿宋_GB2312" w:eastAsia="仿宋_GB2312"/>
                <w:sz w:val="18"/>
              </w:rPr>
              <w:t>2.实验室空调系统采用变制冷剂流量多联空调室内机+新风的系统形式。多联空调室内机采用风管机，多联空调室外机采用低温增焓型室外机。</w:t>
            </w:r>
          </w:p>
          <w:p>
            <w:pPr>
              <w:pStyle w:val="null3"/>
              <w:jc w:val="both"/>
            </w:pPr>
            <w:r>
              <w:rPr>
                <w:rFonts w:ascii="仿宋_GB2312" w:hAnsi="仿宋_GB2312" w:cs="仿宋_GB2312" w:eastAsia="仿宋_GB2312"/>
                <w:sz w:val="18"/>
              </w:rPr>
              <w:t>3.空调冷媒管采用无缝铜管，冷凝水管采用焊接钢管。</w:t>
            </w:r>
            <w:r>
              <w:rPr>
                <w:rFonts w:ascii="仿宋_GB2312" w:hAnsi="仿宋_GB2312" w:cs="仿宋_GB2312" w:eastAsia="仿宋_GB2312"/>
                <w:sz w:val="18"/>
                <w:b/>
              </w:rPr>
              <w:t>冷媒管严禁在管道内有压力的情况下进行焊接。</w:t>
            </w:r>
          </w:p>
          <w:p>
            <w:pPr>
              <w:pStyle w:val="null3"/>
              <w:jc w:val="both"/>
            </w:pPr>
            <w:r>
              <w:rPr>
                <w:rFonts w:ascii="仿宋_GB2312" w:hAnsi="仿宋_GB2312" w:cs="仿宋_GB2312" w:eastAsia="仿宋_GB2312"/>
                <w:sz w:val="18"/>
              </w:rPr>
              <w:t>4.本次一层、二层实验室原有的暖气片进行清洗并刷漆。</w:t>
            </w:r>
          </w:p>
          <w:p>
            <w:pPr>
              <w:pStyle w:val="null3"/>
              <w:jc w:val="both"/>
            </w:pPr>
            <w:r>
              <w:rPr>
                <w:rFonts w:ascii="仿宋_GB2312" w:hAnsi="仿宋_GB2312" w:cs="仿宋_GB2312" w:eastAsia="仿宋_GB2312"/>
                <w:sz w:val="18"/>
              </w:rPr>
              <w:t>5.管道穿过内墙或楼板时，应设置套管，套管与管道间的缝隙应填充柔性耐火材料。</w:t>
            </w:r>
          </w:p>
          <w:p>
            <w:pPr>
              <w:pStyle w:val="null3"/>
              <w:jc w:val="both"/>
            </w:pPr>
            <w:r>
              <w:rPr>
                <w:rFonts w:ascii="仿宋_GB2312" w:hAnsi="仿宋_GB2312" w:cs="仿宋_GB2312" w:eastAsia="仿宋_GB2312"/>
                <w:sz w:val="18"/>
              </w:rPr>
              <w:t>6.新风系统工程风管除特别说明外，均用热浸镀锌钢板制作。</w:t>
            </w:r>
          </w:p>
          <w:p>
            <w:pPr>
              <w:pStyle w:val="null3"/>
              <w:jc w:val="both"/>
            </w:pPr>
            <w:r>
              <w:rPr>
                <w:rFonts w:ascii="仿宋_GB2312" w:hAnsi="仿宋_GB2312" w:cs="仿宋_GB2312" w:eastAsia="仿宋_GB2312"/>
                <w:sz w:val="18"/>
              </w:rPr>
              <w:t>7.风管可采用管内或管外加固、管壁压制加强筋等形式进行加固，矩形风管加固件宜采用角钢。轻钢型材或钢板折叠：圆形风管加固件宜采用角钢。</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18"/>
              </w:rPr>
              <w:t>消防要求</w:t>
            </w:r>
          </w:p>
          <w:p>
            <w:pPr>
              <w:pStyle w:val="null3"/>
              <w:jc w:val="both"/>
            </w:pPr>
            <w:r>
              <w:rPr>
                <w:rFonts w:ascii="仿宋_GB2312" w:hAnsi="仿宋_GB2312" w:cs="仿宋_GB2312" w:eastAsia="仿宋_GB2312"/>
                <w:sz w:val="18"/>
              </w:rPr>
              <w:t>1.本次火灾自动报警工程采用可燃气体探测器作为消防终端，由气体报警控制柜引出。</w:t>
            </w:r>
          </w:p>
          <w:p>
            <w:pPr>
              <w:pStyle w:val="null3"/>
              <w:jc w:val="both"/>
            </w:pPr>
            <w:r>
              <w:rPr>
                <w:rFonts w:ascii="仿宋_GB2312" w:hAnsi="仿宋_GB2312" w:cs="仿宋_GB2312" w:eastAsia="仿宋_GB2312"/>
                <w:sz w:val="18"/>
              </w:rPr>
              <w:t>2.电源线采用WDZN-RYJY-2*2.5mm2，信号线采用WDZN-RYJY-2*1.5mm2，分别穿SC25焊接钢管引至终端。</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18"/>
              </w:rPr>
              <w:t>给排水要求</w:t>
            </w:r>
          </w:p>
          <w:p>
            <w:pPr>
              <w:pStyle w:val="null3"/>
              <w:jc w:val="both"/>
            </w:pPr>
            <w:r>
              <w:rPr>
                <w:rFonts w:ascii="仿宋_GB2312" w:hAnsi="仿宋_GB2312" w:cs="仿宋_GB2312" w:eastAsia="仿宋_GB2312"/>
                <w:sz w:val="18"/>
              </w:rPr>
              <w:t>1.本次设计范围为一~三层楼内卫生间给水系统、污水排水系统。</w:t>
            </w:r>
          </w:p>
          <w:p>
            <w:pPr>
              <w:pStyle w:val="null3"/>
              <w:jc w:val="both"/>
            </w:pPr>
            <w:r>
              <w:rPr>
                <w:rFonts w:ascii="仿宋_GB2312" w:hAnsi="仿宋_GB2312" w:cs="仿宋_GB2312" w:eastAsia="仿宋_GB2312"/>
                <w:sz w:val="18"/>
              </w:rPr>
              <w:t>2.给水系统水源及水压:给水接自原给水主管供给,给水主管接自市政给水管网,水源,水压,给水水质符合现行的国家标准《生活饮用水卫生标准》要求。</w:t>
            </w:r>
          </w:p>
          <w:p>
            <w:pPr>
              <w:pStyle w:val="null3"/>
              <w:jc w:val="both"/>
            </w:pPr>
            <w:r>
              <w:rPr>
                <w:rFonts w:ascii="仿宋_GB2312" w:hAnsi="仿宋_GB2312" w:cs="仿宋_GB2312" w:eastAsia="仿宋_GB2312"/>
                <w:sz w:val="18"/>
              </w:rPr>
              <w:t>3.室内污水采用单立管排水系统进行排水,地上污水收集后经污水管道重力排入室外污水检查井。</w:t>
            </w:r>
          </w:p>
          <w:p>
            <w:pPr>
              <w:pStyle w:val="null3"/>
              <w:jc w:val="both"/>
            </w:pPr>
            <w:r>
              <w:rPr>
                <w:rFonts w:ascii="仿宋_GB2312" w:hAnsi="仿宋_GB2312" w:cs="仿宋_GB2312" w:eastAsia="仿宋_GB2312"/>
                <w:sz w:val="18"/>
              </w:rPr>
              <w:t>4.建筑物内污水经室外排水管道汇集后,经室外化粪池处理后排入市政污水管网,最终排入城市污水处理厂。</w:t>
            </w:r>
          </w:p>
          <w:p>
            <w:pPr>
              <w:pStyle w:val="null3"/>
              <w:jc w:val="both"/>
            </w:pPr>
            <w:r>
              <w:rPr>
                <w:rFonts w:ascii="仿宋_GB2312" w:hAnsi="仿宋_GB2312" w:cs="仿宋_GB2312" w:eastAsia="仿宋_GB2312"/>
                <w:sz w:val="18"/>
              </w:rPr>
              <w:t>5.生活给水及热水管采用PP-R管材,热熔连接，冷水PP-R管道采用S4型,热水PP-R管道采用S3.2型,给水管道的工作压力不得大于产品标准相应介质温度下的工作压力，管材与管件应配套。且符合现行产品标准的要求和卫生标准。</w:t>
            </w:r>
          </w:p>
          <w:p>
            <w:pPr>
              <w:pStyle w:val="null3"/>
              <w:jc w:val="both"/>
            </w:pPr>
            <w:r>
              <w:rPr>
                <w:rFonts w:ascii="仿宋_GB2312" w:hAnsi="仿宋_GB2312" w:cs="仿宋_GB2312" w:eastAsia="仿宋_GB2312"/>
                <w:sz w:val="18"/>
              </w:rPr>
              <w:t>6.排水管道采用PVC-U管材,粘接连接。</w:t>
            </w:r>
          </w:p>
          <w:p>
            <w:pPr>
              <w:pStyle w:val="null3"/>
              <w:jc w:val="both"/>
            </w:pPr>
            <w:r>
              <w:rPr>
                <w:rFonts w:ascii="仿宋_GB2312" w:hAnsi="仿宋_GB2312" w:cs="仿宋_GB2312" w:eastAsia="仿宋_GB2312"/>
                <w:sz w:val="18"/>
              </w:rPr>
              <w:t>7.阀门:生活给水系统中,管径≤DN50mm时采用全铜截止阀,内螺纹连接,管径&gt;DN50mm时采用弹性座封铸铁铜芯或不锈钢芯闸阀,法兰连接。</w:t>
            </w:r>
          </w:p>
          <w:p>
            <w:pPr>
              <w:pStyle w:val="null3"/>
              <w:jc w:val="both"/>
            </w:pPr>
            <w:r>
              <w:rPr>
                <w:rFonts w:ascii="仿宋_GB2312" w:hAnsi="仿宋_GB2312" w:cs="仿宋_GB2312" w:eastAsia="仿宋_GB2312"/>
                <w:sz w:val="18"/>
              </w:rPr>
              <w:t>8.地漏采用直通型地漏,配套的存水弯水封高度不小于50mm,地漏篦子采用不锈钢制品,地漏篦子表面低于该处地面不少于10mm,地面应有不小于0.01的坡度坡向地漏,浴室采用带框地漏,严禁使用钟罩(或扣碗)式地漏。</w:t>
            </w:r>
          </w:p>
          <w:p>
            <w:pPr>
              <w:pStyle w:val="null3"/>
              <w:jc w:val="both"/>
            </w:pPr>
            <w:r>
              <w:rPr>
                <w:rFonts w:ascii="仿宋_GB2312" w:hAnsi="仿宋_GB2312" w:cs="仿宋_GB2312" w:eastAsia="仿宋_GB2312"/>
                <w:sz w:val="18"/>
              </w:rPr>
              <w:t>9.卫生器具配套的存水弯水封高度不小于50mm,并要求明设的存水弯自带检查口。</w:t>
            </w:r>
          </w:p>
          <w:p>
            <w:pPr>
              <w:pStyle w:val="null3"/>
              <w:jc w:val="both"/>
            </w:pPr>
            <w:r>
              <w:rPr>
                <w:rFonts w:ascii="仿宋_GB2312" w:hAnsi="仿宋_GB2312" w:cs="仿宋_GB2312" w:eastAsia="仿宋_GB2312"/>
                <w:sz w:val="18"/>
              </w:rPr>
              <w:t>10.给水管道的工作压力为0.35MPa,试验压力为0.9MPa；试压方法应按《建筑给水排水及采暖工程施工质量验收规范》GB50242-2002的规定执行。</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18"/>
              </w:rPr>
              <w:t>建筑要求</w:t>
            </w:r>
          </w:p>
          <w:p>
            <w:pPr>
              <w:pStyle w:val="null3"/>
              <w:jc w:val="both"/>
            </w:pPr>
            <w:r>
              <w:rPr>
                <w:rFonts w:ascii="仿宋_GB2312" w:hAnsi="仿宋_GB2312" w:cs="仿宋_GB2312" w:eastAsia="仿宋_GB2312"/>
                <w:sz w:val="18"/>
              </w:rPr>
              <w:t>1.本工程所用材料规格、材质、施工及验收等要求，均应遵照国家现行标准、各项工程施工及验收规范进行。</w:t>
            </w:r>
          </w:p>
          <w:p>
            <w:pPr>
              <w:pStyle w:val="null3"/>
              <w:jc w:val="both"/>
            </w:pPr>
            <w:r>
              <w:rPr>
                <w:rFonts w:ascii="仿宋_GB2312" w:hAnsi="仿宋_GB2312" w:cs="仿宋_GB2312" w:eastAsia="仿宋_GB2312"/>
                <w:sz w:val="18"/>
              </w:rPr>
              <w:t>2.门窗（采光屋顶、防火门窗、人防门等）、幕墙（玻璃、金属及石材等）制作和安装时，生产厂家必须具有国家认定的相应资质。</w:t>
            </w:r>
            <w:r>
              <w:rPr>
                <w:rFonts w:ascii="仿宋_GB2312" w:hAnsi="仿宋_GB2312" w:cs="仿宋_GB2312" w:eastAsia="仿宋_GB2312"/>
                <w:sz w:val="18"/>
              </w:rPr>
              <w:t>其产品的各项性能指标应符合相关技术规范的要求。还应及时提供与结构主体有关的预埋件和预留洞口的尺寸、位置、误差范围，并配合施工。厂家在制作前应复核土建施工后的相关尺寸，以确保安装无误。</w:t>
            </w:r>
          </w:p>
          <w:p>
            <w:pPr>
              <w:pStyle w:val="null3"/>
              <w:jc w:val="both"/>
            </w:pPr>
            <w:r>
              <w:rPr>
                <w:rFonts w:ascii="仿宋_GB2312" w:hAnsi="仿宋_GB2312" w:cs="仿宋_GB2312" w:eastAsia="仿宋_GB2312"/>
                <w:sz w:val="18"/>
              </w:rPr>
              <w:t>3.工程室内所选用的建筑材料和装修材料，不得使用国家禁止使用，限制使用的建筑材料：应选用符合规范《民用建筑工程室内环境污染控制标准》GB50325-2020要求的材料。建筑工程所使用的砂、石、砖、砌块、水泥、混凝土，混凝土预制构件等无机非金属建筑主体材料的效射性限量，应符合现行国家标准</w:t>
            </w:r>
            <w:r>
              <w:rPr>
                <w:rFonts w:ascii="仿宋_GB2312" w:hAnsi="仿宋_GB2312" w:cs="仿宋_GB2312" w:eastAsia="仿宋_GB2312"/>
                <w:sz w:val="18"/>
              </w:rPr>
              <w:t>《建筑材料放射性核素限量》（GB 6566-2010）</w:t>
            </w:r>
            <w:r>
              <w:rPr>
                <w:rFonts w:ascii="仿宋_GB2312" w:hAnsi="仿宋_GB2312" w:cs="仿宋_GB2312" w:eastAsia="仿宋_GB2312"/>
                <w:sz w:val="18"/>
              </w:rPr>
              <w:t>的规定。建筑工程所使用的无机非金属装修材料，包括石材，建筑卫生陶瓷、石膏板、吊顶材料、无机套质砖新接材料等，其放射性限量应分类符合现行国家标</w:t>
            </w:r>
            <w:r>
              <w:rPr>
                <w:rFonts w:ascii="仿宋_GB2312" w:hAnsi="仿宋_GB2312" w:cs="仿宋_GB2312" w:eastAsia="仿宋_GB2312"/>
                <w:sz w:val="18"/>
              </w:rPr>
              <w:t>准《建筑材料放射性核素限量》（GB 6566-2010）</w:t>
            </w:r>
            <w:r>
              <w:rPr>
                <w:rFonts w:ascii="仿宋_GB2312" w:hAnsi="仿宋_GB2312" w:cs="仿宋_GB2312" w:eastAsia="仿宋_GB2312"/>
                <w:sz w:val="18"/>
              </w:rPr>
              <w:t>的规定。</w:t>
            </w:r>
          </w:p>
          <w:p>
            <w:pPr>
              <w:pStyle w:val="null3"/>
              <w:jc w:val="both"/>
            </w:pPr>
            <w:r>
              <w:rPr>
                <w:rFonts w:ascii="仿宋_GB2312" w:hAnsi="仿宋_GB2312" w:cs="仿宋_GB2312" w:eastAsia="仿宋_GB2312"/>
                <w:sz w:val="18"/>
              </w:rPr>
              <w:t>4.建筑工程所使用的加气混凝土等建筑主体材料等，其放射性限量应符合标准《民用建筑工程室内环境污染控制标准》GB50325-2020表3.1.3的规定。建筑工程室内装修时，如用人造木板及饰面人造木板，必须测定游离甲醛含量或游离甲醛释放量，根据测量方法，其限量应符合标准《民用建筑工程室内环境污染控制标准》GB50325-2020第3.2.3和3.2.4条要求。建筑工程中所使用的能释放氨的阻燃剂、混凝土外加剂，氨的释放量不应大于0.10%。</w:t>
            </w:r>
          </w:p>
          <w:p>
            <w:pPr>
              <w:pStyle w:val="null3"/>
              <w:jc w:val="both"/>
            </w:pPr>
            <w:r>
              <w:rPr>
                <w:rFonts w:ascii="仿宋_GB2312" w:hAnsi="仿宋_GB2312" w:cs="仿宋_GB2312" w:eastAsia="仿宋_GB2312"/>
                <w:sz w:val="18"/>
              </w:rPr>
              <w:t>5.建筑工程室内装修中所使用的木质材料、严禁采用沥青、煤焦油类防腐、防潮处理剂。建筑工程室内装修时，严禁使用苯、工业苯、石油苯，重质苯及混苯作为稀释剂和溶剂。</w:t>
            </w:r>
          </w:p>
          <w:p>
            <w:pPr>
              <w:pStyle w:val="null3"/>
              <w:jc w:val="both"/>
            </w:pPr>
            <w:r>
              <w:rPr>
                <w:rFonts w:ascii="仿宋_GB2312" w:hAnsi="仿宋_GB2312" w:cs="仿宋_GB2312" w:eastAsia="仿宋_GB2312"/>
                <w:sz w:val="18"/>
              </w:rPr>
              <w:t>6.建筑垃圾应现场归堆并及时运往消纳站消纳。</w:t>
            </w:r>
          </w:p>
          <w:p>
            <w:pPr>
              <w:pStyle w:val="null3"/>
              <w:jc w:val="both"/>
            </w:pPr>
            <w:r>
              <w:rPr>
                <w:rFonts w:ascii="仿宋_GB2312" w:hAnsi="仿宋_GB2312" w:cs="仿宋_GB2312" w:eastAsia="仿宋_GB2312"/>
                <w:sz w:val="18"/>
              </w:rPr>
              <w:t>7.生产厂家</w:t>
            </w:r>
            <w:r>
              <w:rPr>
                <w:rFonts w:ascii="仿宋_GB2312" w:hAnsi="仿宋_GB2312" w:cs="仿宋_GB2312" w:eastAsia="仿宋_GB2312"/>
                <w:sz w:val="18"/>
              </w:rPr>
              <w:t>应结合建筑功能、当地气候及环境条件、确定门窗的抗风压、水密性、气密性、隔声、隔热、防火、防玻璃炸裂等技术要求现场复核无误后，按照相应规范负责设计、制作与安装。</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18"/>
              </w:rPr>
              <w:t>装饰要求</w:t>
            </w:r>
          </w:p>
          <w:p>
            <w:pPr>
              <w:pStyle w:val="null3"/>
              <w:jc w:val="both"/>
            </w:pPr>
            <w:r>
              <w:rPr>
                <w:rFonts w:ascii="仿宋_GB2312" w:hAnsi="仿宋_GB2312" w:cs="仿宋_GB2312" w:eastAsia="仿宋_GB2312"/>
                <w:sz w:val="18"/>
              </w:rPr>
              <w:t>1.室内二次装修设计：应满足消防安全、使用功能、节能及环保等要求，不得超过结构楼面设计荷载值。也不得任意更改公用的给排水管道、暖通风管及消防设施：不得任意降低吊顶控制标高以及改动吊顶上的通风与消防设施：不应减少安全出口及疏散走道的净宽和数量。</w:t>
            </w:r>
          </w:p>
          <w:p>
            <w:pPr>
              <w:pStyle w:val="null3"/>
              <w:jc w:val="both"/>
            </w:pPr>
            <w:r>
              <w:rPr>
                <w:rFonts w:ascii="仿宋_GB2312" w:hAnsi="仿宋_GB2312" w:cs="仿宋_GB2312" w:eastAsia="仿宋_GB2312"/>
                <w:sz w:val="18"/>
              </w:rPr>
              <w:t>2.未经技术鉴定和设计认可，不得破坏建筑主体结构承重构件，不得拆改结构构件和加层改造、增设隔墙或墙体移位。</w:t>
            </w:r>
          </w:p>
          <w:p>
            <w:pPr>
              <w:pStyle w:val="null3"/>
              <w:jc w:val="both"/>
            </w:pPr>
            <w:r>
              <w:rPr>
                <w:rFonts w:ascii="仿宋_GB2312" w:hAnsi="仿宋_GB2312" w:cs="仿宋_GB2312" w:eastAsia="仿宋_GB2312"/>
                <w:sz w:val="18"/>
              </w:rPr>
              <w:t>3.室内为混合砂浆粉刷时，墙、柱和门洞口的阳角，应用每侧宽度＞50mm</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4.有吊顶的房间，装饰面层应做至吊顶标高以上100mm</w:t>
            </w:r>
            <w:r>
              <w:rPr>
                <w:rFonts w:ascii="仿宋_GB2312" w:hAnsi="仿宋_GB2312" w:cs="仿宋_GB2312" w:eastAsia="仿宋_GB2312"/>
                <w:sz w:val="18"/>
              </w:rPr>
              <w:t>高处。</w:t>
            </w:r>
          </w:p>
          <w:p>
            <w:pPr>
              <w:pStyle w:val="null3"/>
              <w:jc w:val="both"/>
            </w:pPr>
            <w:r>
              <w:rPr>
                <w:rFonts w:ascii="仿宋_GB2312" w:hAnsi="仿宋_GB2312" w:cs="仿宋_GB2312" w:eastAsia="仿宋_GB2312"/>
                <w:sz w:val="18"/>
              </w:rPr>
              <w:t>5.不同材料交接处，应在找平层中附加耐碱玻璃纤维网格布，两边搭接不小于100mm</w:t>
            </w:r>
            <w:r>
              <w:rPr>
                <w:rFonts w:ascii="仿宋_GB2312" w:hAnsi="仿宋_GB2312" w:cs="仿宋_GB2312" w:eastAsia="仿宋_GB2312"/>
                <w:sz w:val="18"/>
              </w:rPr>
              <w:t>，防止墙体开裂。</w:t>
            </w:r>
          </w:p>
          <w:p>
            <w:pPr>
              <w:pStyle w:val="null3"/>
              <w:jc w:val="both"/>
            </w:pPr>
            <w:r>
              <w:rPr>
                <w:rFonts w:ascii="仿宋_GB2312" w:hAnsi="仿宋_GB2312" w:cs="仿宋_GB2312" w:eastAsia="仿宋_GB2312"/>
                <w:sz w:val="18"/>
              </w:rPr>
              <w:t>6.室内采暖立管、给排水立管、雨水管未设在管道井内时可统一由装修统一包管。</w:t>
            </w:r>
          </w:p>
          <w:p>
            <w:pPr>
              <w:pStyle w:val="null3"/>
              <w:jc w:val="both"/>
            </w:pPr>
            <w:r>
              <w:rPr>
                <w:rFonts w:ascii="仿宋_GB2312" w:hAnsi="仿宋_GB2312" w:cs="仿宋_GB2312" w:eastAsia="仿宋_GB2312"/>
                <w:sz w:val="18"/>
              </w:rPr>
              <w:t>7.产生噪音和震动的设备机房，需作减噪隔声处理，具体做法见图纸说明，设备用房隔声量≥50dB其它房间隔声量应符合《民用建筑隔声设计规范》GB50118-2010。</w:t>
            </w:r>
          </w:p>
          <w:p>
            <w:pPr>
              <w:pStyle w:val="null3"/>
              <w:jc w:val="both"/>
            </w:pPr>
            <w:r>
              <w:rPr>
                <w:rFonts w:ascii="仿宋_GB2312" w:hAnsi="仿宋_GB2312" w:cs="仿宋_GB2312" w:eastAsia="仿宋_GB2312"/>
                <w:sz w:val="18"/>
              </w:rPr>
              <w:t>8.设有地漏的房间均应做防水层，未注明整个房间找坡者，在地漏周围1米范围内向地漏找1%~2％坡。</w:t>
            </w:r>
          </w:p>
          <w:p>
            <w:pPr>
              <w:pStyle w:val="null3"/>
              <w:jc w:val="both"/>
            </w:pPr>
            <w:r>
              <w:rPr>
                <w:rFonts w:ascii="仿宋_GB2312" w:hAnsi="仿宋_GB2312" w:cs="仿宋_GB2312" w:eastAsia="仿宋_GB2312"/>
                <w:sz w:val="18"/>
              </w:rPr>
              <w:t>9.及时清理施工现场垃圾。</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18"/>
              </w:rPr>
              <w:t>以下内容为对本工程的最基本要求，包括但不限于：</w:t>
            </w:r>
          </w:p>
          <w:p>
            <w:pPr>
              <w:pStyle w:val="null3"/>
              <w:jc w:val="both"/>
            </w:pPr>
            <w:r>
              <w:rPr>
                <w:rFonts w:ascii="仿宋_GB2312" w:hAnsi="仿宋_GB2312" w:cs="仿宋_GB2312" w:eastAsia="仿宋_GB2312"/>
                <w:sz w:val="18"/>
              </w:rPr>
              <w:t>1.施工单位项目负责人是安全生产第一责任人，施工单位应建立健全安全生产责任制度和安全教育培训、安全生产检查和安全生产操作规程等各项规章制度；向施工作业人员提供符合相关标准的劳动安全防护用品（具），为施工人员缴纳意外伤害保险。</w:t>
            </w:r>
          </w:p>
          <w:p>
            <w:pPr>
              <w:pStyle w:val="null3"/>
              <w:jc w:val="both"/>
            </w:pPr>
            <w:r>
              <w:rPr>
                <w:rFonts w:ascii="仿宋_GB2312" w:hAnsi="仿宋_GB2312" w:cs="仿宋_GB2312" w:eastAsia="仿宋_GB2312"/>
                <w:sz w:val="18"/>
              </w:rPr>
              <w:t>2.施工单位应根据工程特点和周边各种管线管网、相邻建筑物以及绿化等其他设施等编制工程安全防护措施方案。该方案经施工单位技术负责人签字批准送建设单位审核后方可施工。</w:t>
            </w:r>
          </w:p>
          <w:p>
            <w:pPr>
              <w:pStyle w:val="null3"/>
              <w:jc w:val="both"/>
            </w:pPr>
            <w:r>
              <w:rPr>
                <w:rFonts w:ascii="仿宋_GB2312" w:hAnsi="仿宋_GB2312" w:cs="仿宋_GB2312" w:eastAsia="仿宋_GB2312"/>
                <w:sz w:val="18"/>
              </w:rPr>
              <w:t>3.施工单位在施工现场应建立项目部，并按规定配备专职安全员</w:t>
            </w:r>
            <w:r>
              <w:rPr>
                <w:rFonts w:ascii="仿宋_GB2312" w:hAnsi="仿宋_GB2312" w:cs="仿宋_GB2312" w:eastAsia="仿宋_GB2312"/>
                <w:sz w:val="18"/>
              </w:rPr>
              <w:t>。现场专职安全员必须持有安全生产考核合格证。</w:t>
            </w:r>
            <w:r>
              <w:rPr>
                <w:rFonts w:ascii="仿宋_GB2312" w:hAnsi="仿宋_GB2312" w:cs="仿宋_GB2312" w:eastAsia="仿宋_GB2312"/>
                <w:sz w:val="18"/>
                <w:b/>
              </w:rPr>
              <w:t>（安全员不能兼任其他职位）</w:t>
            </w:r>
          </w:p>
          <w:p>
            <w:pPr>
              <w:pStyle w:val="null3"/>
              <w:jc w:val="both"/>
            </w:pPr>
            <w:r>
              <w:rPr>
                <w:rFonts w:ascii="仿宋_GB2312" w:hAnsi="仿宋_GB2312" w:cs="仿宋_GB2312" w:eastAsia="仿宋_GB2312"/>
                <w:sz w:val="18"/>
              </w:rPr>
              <w:t>4.</w:t>
            </w:r>
            <w:r>
              <w:rPr>
                <w:rFonts w:ascii="仿宋_GB2312" w:hAnsi="仿宋_GB2312" w:cs="仿宋_GB2312" w:eastAsia="仿宋_GB2312"/>
                <w:sz w:val="18"/>
              </w:rPr>
              <w:t>施工前施工单位对施工作业人员进行安全技术交底，派出技术人员到现场指导，专职安全员在现场监督安全管理。另外施工单位必须制定安全事故应急救援方案。</w:t>
            </w:r>
          </w:p>
          <w:p>
            <w:pPr>
              <w:pStyle w:val="null3"/>
              <w:jc w:val="both"/>
            </w:pPr>
            <w:r>
              <w:rPr>
                <w:rFonts w:ascii="仿宋_GB2312" w:hAnsi="仿宋_GB2312" w:cs="仿宋_GB2312" w:eastAsia="仿宋_GB2312"/>
                <w:sz w:val="18"/>
              </w:rPr>
              <w:t>5.拆除时不得野蛮施工、不得对附近建筑物、路灯、规划外的树木等造成损害。</w:t>
            </w:r>
          </w:p>
          <w:p>
            <w:pPr>
              <w:pStyle w:val="null3"/>
              <w:jc w:val="both"/>
            </w:pPr>
            <w:r>
              <w:rPr>
                <w:rFonts w:ascii="仿宋_GB2312" w:hAnsi="仿宋_GB2312" w:cs="仿宋_GB2312" w:eastAsia="仿宋_GB2312"/>
                <w:sz w:val="18"/>
              </w:rPr>
              <w:t>6.施工单位对工程的周边环境和施工区域内的环境卫生负责。</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依据设计文件的要求，本工程项目的施工、材料和设备安装等技术和工艺环节须达到现行的中华人民共和国以及陕西省、西安市的工程建设标准或行业规程的要求。当各级、各类标准及规范中的同一条文规定有出入时，以较严格者为准。 《民用建筑电气设计标准》 GB51348-2019、 《供配电系统设计规范》GB50052-2009、 《建筑照明设计标准》GB/T50034-2024、 《消防设施通用规范》 GB55036-2022、 《教育建筑电气设计规范》 JGJ 310-2013、 《建筑装饰工程施工及验收规范》GB50210-2018、 《民用建筑供暖通风与空气调节设计规范》GB50736-2012、 《通风与空调工程施工质量验收规范》GB50243-2016、 《民用建筑设计统一标准》GB50352-2019、 《民用建筑通用规范》GB55031-2022、 《消防设施通用规范》GB55036-2022、 《自动喷水灭火系统设计规范》GB50084-2017 2.根据工程设计要求，该项工程项目的施工、材料、设备和安装等除达到以上标准外，还应满足设计要求和采购人在采购文件中的有关要求。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项目管理要求 :1.供应商在竞争性磋商响应文件中承诺的项目负责人及相应资质的专业技术、安全管理人员未经采购人书面同意，供应商不得调换和撤离，并按工程进度及时到位。采购人有权要求供应商撤换工作不负责任、管理不力、贻误工期和造成严重安全事故和违法乱纪的专业技术、安全管理人员。如项目负责人及相应资质的专业技术人员未按要求到位，视作违约，采购人有权按合同约定进行罚款直至单方面终止合同。 2.供应商须无条件接受采购人的现场检查和管理。 3.供应商在施工期间做好安全文明施工管理，必须重视安全，按规范操作；施工过程中佩戴安全帽，并保证自身及周边公民人身财产安全；严禁带电操作；确保车辆、人员、施工安全；若发生事故，由供应商负责并承担全部费用，任何责任与学校无关。 4.施工的建筑垃圾应清运至有关部门指定的地点，做到工完场清，不留死角。</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图纸及工程量清单详见附件。2.付款方式：本工程无预付款，工程施工完毕，经采购人验收合格后，10日内支付合同总价款的80%；经工程审计结算审核后10日内，扣除核定总造价1%的水电费，余款一次结清。办理付款时，成交供应商应提供增值税专用发票。 成交供应商递交的工程结算资料应详实、准确，经采购人委托的造价咨询机构进行结算审核，审减额在5%以内（含5%）的审核成果费由采购人承担；审减额超过5%的，超出部分的审计成果费由成交供应商承担。3.成交供应商在与采购人签订合同之前，向采购人提交最后报价对应的已标价工程量清单供采购人结算使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供应商需在项目电子化交易系统中按要求填写《响应函》完成承诺并提供相关证明材料。</w:t>
            </w:r>
          </w:p>
        </w:tc>
        <w:tc>
          <w:tcPr>
            <w:tcW w:type="dxa" w:w="1661"/>
          </w:tcPr>
          <w:p>
            <w:pPr>
              <w:pStyle w:val="null3"/>
            </w:pPr>
            <w:r>
              <w:rPr>
                <w:rFonts w:ascii="仿宋_GB2312" w:hAnsi="仿宋_GB2312" w:cs="仿宋_GB2312" w:eastAsia="仿宋_GB2312"/>
              </w:rPr>
              <w:t>响应函 其他资格条件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的完整的2024年度审计报告（成立时间至首次提交磋商响应文件截止时间不足一年的可提供成立后任意时段的资产负债表)，或磋商响应文件提交截止时间前6个月内（2025年1月1日后）其基本账户银行出具的资信证明（附开户许可证或基本银行证明以证明该户为基本户），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响应函 其他资格条件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拟派项目负责人资质和专业要求</w:t>
            </w:r>
          </w:p>
        </w:tc>
        <w:tc>
          <w:tcPr>
            <w:tcW w:type="dxa" w:w="3322"/>
          </w:tcPr>
          <w:p>
            <w:pPr>
              <w:pStyle w:val="null3"/>
            </w:pPr>
            <w:r>
              <w:rPr>
                <w:rFonts w:ascii="仿宋_GB2312" w:hAnsi="仿宋_GB2312" w:cs="仿宋_GB2312" w:eastAsia="仿宋_GB2312"/>
              </w:rPr>
              <w:t>具有建筑工程专业二级及以上注册建造师资格及有效的安全生产考核合格证书（B证）且未担任其他在施工程项目；在“陕西省住房和城乡建设厅https://js.shaanxi.gov.cn/zwfw/”可查询。</w:t>
            </w:r>
          </w:p>
        </w:tc>
        <w:tc>
          <w:tcPr>
            <w:tcW w:type="dxa" w:w="1661"/>
          </w:tcPr>
          <w:p>
            <w:pPr>
              <w:pStyle w:val="null3"/>
            </w:pPr>
            <w:r>
              <w:rPr>
                <w:rFonts w:ascii="仿宋_GB2312" w:hAnsi="仿宋_GB2312" w:cs="仿宋_GB2312" w:eastAsia="仿宋_GB2312"/>
              </w:rPr>
              <w:t>其他资格条件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供应商企业资质和要求</w:t>
            </w:r>
          </w:p>
        </w:tc>
        <w:tc>
          <w:tcPr>
            <w:tcW w:type="dxa" w:w="3322"/>
          </w:tcPr>
          <w:p>
            <w:pPr>
              <w:pStyle w:val="null3"/>
            </w:pPr>
            <w:r>
              <w:rPr>
                <w:rFonts w:ascii="仿宋_GB2312" w:hAnsi="仿宋_GB2312" w:cs="仿宋_GB2312" w:eastAsia="仿宋_GB2312"/>
              </w:rPr>
              <w:t>具备建筑工程施工总承包叁级及以上资质以及合法有效的安全生产许可证，并在人员、设备、资金等方面具备相应施工能力且无不良记录；在“陕西省住房和城乡建设厅https://js.shaanxi.gov.cn/zwfw/”可查询。</w:t>
            </w:r>
          </w:p>
        </w:tc>
        <w:tc>
          <w:tcPr>
            <w:tcW w:type="dxa" w:w="1661"/>
          </w:tcPr>
          <w:p>
            <w:pPr>
              <w:pStyle w:val="null3"/>
            </w:pPr>
            <w:r>
              <w:rPr>
                <w:rFonts w:ascii="仿宋_GB2312" w:hAnsi="仿宋_GB2312" w:cs="仿宋_GB2312" w:eastAsia="仿宋_GB2312"/>
              </w:rPr>
              <w:t>其他资格条件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c>
          <w:tcPr>
            <w:tcW w:type="dxa" w:w="1661"/>
          </w:tcPr>
          <w:p>
            <w:pPr>
              <w:pStyle w:val="null3"/>
            </w:pPr>
            <w:r>
              <w:rPr>
                <w:rFonts w:ascii="仿宋_GB2312" w:hAnsi="仿宋_GB2312" w:cs="仿宋_GB2312" w:eastAsia="仿宋_GB2312"/>
              </w:rPr>
              <w:t>已标价工程量清单 分项报价表 报价函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磋商响应文件依据磋商文件要求签字和盖章。</w:t>
            </w:r>
          </w:p>
        </w:tc>
        <w:tc>
          <w:tcPr>
            <w:tcW w:type="dxa" w:w="1661"/>
          </w:tcPr>
          <w:p>
            <w:pPr>
              <w:pStyle w:val="null3"/>
            </w:pPr>
            <w:r>
              <w:rPr>
                <w:rFonts w:ascii="仿宋_GB2312" w:hAnsi="仿宋_GB2312" w:cs="仿宋_GB2312" w:eastAsia="仿宋_GB2312"/>
              </w:rPr>
              <w:t>已标价工程量清单 响应承诺书 中小企业声明函 业绩 强制优先采购产品承诺函 其他资格条件 响应文件封面 政府采购供应商拒绝政府采购领域商业贿赂承诺书 项目管理机构组成表 残疾人福利性单位声明函 施工方案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其他资格条件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响应承诺书 中小企业声明函 业绩 强制优先采购产品承诺函 其他资格条件 响应文件封面 政府采购供应商拒绝政府采购领域商业贿赂承诺书 项目管理机构组成表 残疾人福利性单位声明函 施工方案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已标价工程量清单签字盖章</w:t>
            </w:r>
          </w:p>
        </w:tc>
        <w:tc>
          <w:tcPr>
            <w:tcW w:type="dxa" w:w="3322"/>
          </w:tcPr>
          <w:p>
            <w:pPr>
              <w:pStyle w:val="null3"/>
            </w:pPr>
            <w:r>
              <w:rPr>
                <w:rFonts w:ascii="仿宋_GB2312" w:hAnsi="仿宋_GB2312" w:cs="仿宋_GB2312" w:eastAsia="仿宋_GB2312"/>
              </w:rPr>
              <w:t>已标价工程量清单有注册造价工程师签字并盖执业专用章。</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只有一个有效报价且响应报价未超出采购预算及最高限价</w:t>
            </w:r>
          </w:p>
        </w:tc>
        <w:tc>
          <w:tcPr>
            <w:tcW w:type="dxa" w:w="1661"/>
          </w:tcPr>
          <w:p>
            <w:pPr>
              <w:pStyle w:val="null3"/>
            </w:pPr>
            <w:r>
              <w:rPr>
                <w:rFonts w:ascii="仿宋_GB2312" w:hAnsi="仿宋_GB2312" w:cs="仿宋_GB2312" w:eastAsia="仿宋_GB2312"/>
              </w:rPr>
              <w:t>已标价工程量清单 分项报价表 报价函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施工地点</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施工方案</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施工方案</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磋商响应文件有效期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磋商文件规定不允许出现的其他情形</w:t>
            </w:r>
          </w:p>
        </w:tc>
        <w:tc>
          <w:tcPr>
            <w:tcW w:type="dxa" w:w="1661"/>
          </w:tcPr>
          <w:p>
            <w:pPr>
              <w:pStyle w:val="null3"/>
            </w:pPr>
            <w:r>
              <w:rPr>
                <w:rFonts w:ascii="仿宋_GB2312" w:hAnsi="仿宋_GB2312" w:cs="仿宋_GB2312" w:eastAsia="仿宋_GB2312"/>
              </w:rPr>
              <w:t>已标价工程量清单 分项报价表 响应承诺书 中小企业声明函 业绩 强制优先采购产品承诺函 其他资格条件 响应文件封面 政府采购供应商拒绝政府采购领域商业贿赂承诺书 项目管理机构组成表 残疾人福利性单位声明函 报价函 施工方案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施工方案总体思路清晰、合理、可操作性强、可执行程度强，且能很好推动项目实施，得6分；施工方案总体思路基本明确、可行性、合理性较强，得4分；方案思路模糊、可行性、合理性一般，得2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确保工程质量的技术组织措施；措施明确、合理，计划完备、可行性强，得6分；措施基本完备、有较强可行性，得4分；措施可行性、合理性一般，得2分；未提供不计分。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确保安全生产的技术组织措施；措施明确、合理，计划完备、可行性强，得5分；措施基本完备、有较强可行性，得3分；措施可行性、合理性一般，得1分；未提供不计分。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确保文明施工的技术组织措施及环境保护措施；措施明确、合理，计划完备、可行性强，得5分；措施基本完备、有较强可行性，得3分；措施可行性、合理性一般，得1分；未提供不计分。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确保工期的技术组织措施；措施明确、合理，计划完备、可行性强，得5分；措施基本完备、有较强可行性，得3分；措施可行性、合理性一般，得1分；未提供不计分。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施工机械配备和材料投入计划；内容完整、计划合理得5分；内容基本完整、计划比较合理得3分；内容不够完整、计划欠合理得1分；未提供不计分。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施工进度表或施工网络图纸</w:t>
            </w:r>
          </w:p>
        </w:tc>
        <w:tc>
          <w:tcPr>
            <w:tcW w:type="dxa" w:w="2492"/>
          </w:tcPr>
          <w:p>
            <w:pPr>
              <w:pStyle w:val="null3"/>
            </w:pPr>
            <w:r>
              <w:rPr>
                <w:rFonts w:ascii="仿宋_GB2312" w:hAnsi="仿宋_GB2312" w:cs="仿宋_GB2312" w:eastAsia="仿宋_GB2312"/>
              </w:rPr>
              <w:t>施工进度表或施工网络图纸详细表明本项目涉及的暖气改造全流程实施的时间节点和时间进度安排，详细、合理、可行性强得5分；相对详细、比较合理、有可行性得3分；安排不详细但不影响具体项目实施得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人员劳动力安排计划</w:t>
            </w:r>
          </w:p>
        </w:tc>
        <w:tc>
          <w:tcPr>
            <w:tcW w:type="dxa" w:w="2492"/>
          </w:tcPr>
          <w:p>
            <w:pPr>
              <w:pStyle w:val="null3"/>
            </w:pPr>
            <w:r>
              <w:rPr>
                <w:rFonts w:ascii="仿宋_GB2312" w:hAnsi="仿宋_GB2312" w:cs="仿宋_GB2312" w:eastAsia="仿宋_GB2312"/>
              </w:rPr>
              <w:t>除项目经理、技术负责人以外的人员劳动力安排计划：团队人员搭配合理，充分满足项目需求，具有较强的可行性、科学性、合理性得5分；项目组织人员搭配基本满足项目需求，可行性、科学性及合理性一般，得3分；项目组织人员搭配不合理，难以满足项目需求，可行性、合理性较差得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施工总平面布置图、现场临时设施布置</w:t>
            </w:r>
          </w:p>
        </w:tc>
        <w:tc>
          <w:tcPr>
            <w:tcW w:type="dxa" w:w="2492"/>
          </w:tcPr>
          <w:p>
            <w:pPr>
              <w:pStyle w:val="null3"/>
            </w:pPr>
            <w:r>
              <w:rPr>
                <w:rFonts w:ascii="仿宋_GB2312" w:hAnsi="仿宋_GB2312" w:cs="仿宋_GB2312" w:eastAsia="仿宋_GB2312"/>
              </w:rPr>
              <w:t>施工总平面布置图、现场临时设施布置；施工现场平面布置科学合理、临时设施解决方案针对性强、扰民问题解决方案或措施完善得4分，基本合理可行得2分，不够合理得1分，未提供不计分；未提供不计分。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新技术、新产品、新工艺、新材料应用、施工现场扬尘预防措施</w:t>
            </w:r>
          </w:p>
        </w:tc>
        <w:tc>
          <w:tcPr>
            <w:tcW w:type="dxa" w:w="2492"/>
          </w:tcPr>
          <w:p>
            <w:pPr>
              <w:pStyle w:val="null3"/>
            </w:pPr>
            <w:r>
              <w:rPr>
                <w:rFonts w:ascii="仿宋_GB2312" w:hAnsi="仿宋_GB2312" w:cs="仿宋_GB2312" w:eastAsia="仿宋_GB2312"/>
              </w:rPr>
              <w:t>新技术、新产品、新工艺、新材料应用、施工现场扬尘预防措施。满足项目需求，具有较强的可行性、科学性、合理性得4分；基本满足项目需求，可行性、科学性及合理性一般，得2分；难以满足项目需求，可行性、合理性较差得1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主要设备材料质量</w:t>
            </w:r>
          </w:p>
        </w:tc>
        <w:tc>
          <w:tcPr>
            <w:tcW w:type="dxa" w:w="2492"/>
          </w:tcPr>
          <w:p>
            <w:pPr>
              <w:pStyle w:val="null3"/>
            </w:pPr>
            <w:r>
              <w:rPr>
                <w:rFonts w:ascii="仿宋_GB2312" w:hAnsi="仿宋_GB2312" w:cs="仿宋_GB2312" w:eastAsia="仿宋_GB2312"/>
              </w:rPr>
              <w:t>根据供应商提供的所投主要设备材料（空调、电缆、配电箱）产品选型的合理性、质量保证等（内容包括但不限于设备材料名称、品牌、规格型号、材质及主要设备材检测报告、技术参数性能证明材料等资料）进行评分：提供设备材料及清单内容完整齐全，技术参数性能完全满足采购人要求得6分；提供设备材料及清单内容基本齐全，技术参数性能基本满足采购人要求得3分；未提供质量认证报告或相关证明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主要设备材料来源</w:t>
            </w:r>
          </w:p>
        </w:tc>
        <w:tc>
          <w:tcPr>
            <w:tcW w:type="dxa" w:w="2492"/>
          </w:tcPr>
          <w:p>
            <w:pPr>
              <w:pStyle w:val="null3"/>
            </w:pPr>
            <w:r>
              <w:rPr>
                <w:rFonts w:ascii="仿宋_GB2312" w:hAnsi="仿宋_GB2312" w:cs="仿宋_GB2312" w:eastAsia="仿宋_GB2312"/>
              </w:rPr>
              <w:t>供应商根据拟投入的主要设备材料（空调、电缆、配电箱）的供货渠道、来源的合法性提供相关证明材料。每提供一个主要设备材料的证明材料得2分，最多得6分，不提供的得0分。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供应商须提供近三年类似业绩证明材料（2022年1月1日至磋商响应文件递交截止时间，每具备一项类似项目业绩得2分，最高得8分。证明材料不全的不予赋分。 注：提供合同复印件，业绩所属时间以合同签订日期为准。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 磋商报价得分=（磋商基准价/最后磋商报价）×价格分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详见附件：其他资格条件</w:t>
      </w:r>
    </w:p>
    <w:p>
      <w:pPr>
        <w:pStyle w:val="null3"/>
        <w:ind w:firstLine="960"/>
      </w:pPr>
      <w:r>
        <w:rPr>
          <w:rFonts w:ascii="仿宋_GB2312" w:hAnsi="仿宋_GB2312" w:cs="仿宋_GB2312" w:eastAsia="仿宋_GB2312"/>
        </w:rPr>
        <w:t>详见附件：施工方案</w:t>
      </w:r>
    </w:p>
    <w:p>
      <w:pPr>
        <w:pStyle w:val="null3"/>
        <w:ind w:firstLine="960"/>
      </w:pPr>
      <w:r>
        <w:rPr>
          <w:rFonts w:ascii="仿宋_GB2312" w:hAnsi="仿宋_GB2312" w:cs="仿宋_GB2312" w:eastAsia="仿宋_GB2312"/>
        </w:rPr>
        <w:t>详见附件：响应承诺书</w:t>
      </w:r>
    </w:p>
    <w:p>
      <w:pPr>
        <w:pStyle w:val="null3"/>
        <w:ind w:firstLine="960"/>
      </w:pPr>
      <w:r>
        <w:rPr>
          <w:rFonts w:ascii="仿宋_GB2312" w:hAnsi="仿宋_GB2312" w:cs="仿宋_GB2312" w:eastAsia="仿宋_GB2312"/>
        </w:rPr>
        <w:t>详见附件：业绩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