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版本号：KY2025-1-73320250723002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绿色建筑全国重点实验室大楼实验平台电力改造项目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KY2025-1-733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绿色建筑全国重点实验室大楼实验平台电力改造项目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KY2025-1-733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绿色建筑全国重点实验室大楼实验平台电力改造项目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建筑科技大学绿色建筑全国重点实验室大楼实验平台电力改造项目，1项。绿色建筑全国重点实验室大楼实验平台现有供电线路不能满足实验设备正常使用需求。经现场勘查，需新增配电柜、配电箱；对线路进行重新敷设，满足实验室正常用电，保障日常教学科研。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采购包1（绿色建筑全国重点实验室大楼实验平台电力改造项目）：属于专门面向中小企业采购。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1、拟派项目负责人资质和专业要求：拟派项目经理具备合法有效的机电工程专业二级及以上注册建造师资格和安全生产考核合格证，且无其他在建工程（提供无在建工程的承诺函）。</w:t>
      </w:r>
    </w:p>
    <w:p>
      <w:pPr>
        <w:pStyle w:val="null3"/>
      </w:pPr>
      <w:r>
        <w:rPr>
          <w:rFonts w:ascii="仿宋_GB2312" w:hAnsi="仿宋_GB2312" w:cs="仿宋_GB2312" w:eastAsia="仿宋_GB2312"/>
        </w:rPr>
        <w:t>2、法定代表人授权书：法定代表人授权书及被授权人身份证明。（法定代表人直接投标只须提供其身份证明）</w:t>
      </w:r>
    </w:p>
    <w:p>
      <w:pPr>
        <w:pStyle w:val="null3"/>
      </w:pPr>
      <w:r>
        <w:rPr>
          <w:rFonts w:ascii="仿宋_GB2312" w:hAnsi="仿宋_GB2312" w:cs="仿宋_GB2312" w:eastAsia="仿宋_GB2312"/>
        </w:rPr>
        <w:t>3、企业资质：供应商应具备建设行政主管部门颁发合法有效的电力工程施工总承包三级及以上资质，且具备合法有效的安全生产许可证。</w:t>
      </w:r>
    </w:p>
    <w:p>
      <w:pPr>
        <w:pStyle w:val="null3"/>
      </w:pPr>
      <w:r>
        <w:rPr>
          <w:rFonts w:ascii="仿宋_GB2312" w:hAnsi="仿宋_GB2312" w:cs="仿宋_GB2312" w:eastAsia="仿宋_GB2312"/>
        </w:rPr>
        <w:t>4、其他要求：陕西省外的供应商及其拟派项目经理相关信息须在“陕西省住房和城乡建设厅”官方网站可查询。</w:t>
      </w:r>
    </w:p>
    <w:p>
      <w:pPr>
        <w:pStyle w:val="null3"/>
      </w:pPr>
      <w:r>
        <w:rPr>
          <w:rFonts w:ascii="仿宋_GB2312" w:hAnsi="仿宋_GB2312" w:cs="仿宋_GB2312" w:eastAsia="仿宋_GB2312"/>
        </w:rPr>
        <w:t>5、中小企业声明：本项目专门面向中小企业采购，供应商须为中小企业，并提供声明函。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余雅兰、刘金柯、卢韶华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采购包1：1,995,200.00元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银行账号：86113010750181502000168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说明：履约保证金或履约保函，金额为签约合同价的5%。供应商成交后凭成交通知书向采购人缴纳成交金额的5%作为履约保证金，待合同履约完毕后无息退还。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代理服务费收费标准：1、依据成交金额向采购代理机构交纳成交服务费，交费金额参照国家计委颁布的《招标代理服务收费管理暂行办法》（计价格[2002]1980号）及发改办价格[2003]857号文件的规定标准的75%收取。 2、本项目成交服务费按工程计取。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踏勘时间：2025-07-25 10:00:00</w:t>
            </w:r>
          </w:p>
          <w:p>
            <w:pPr>
              <w:pStyle w:val="null3"/>
              <w:ind w:firstLine="975"/>
            </w:pPr>
            <w:r>
              <w:rPr>
                <w:rFonts w:ascii="仿宋_GB2312" w:hAnsi="仿宋_GB2312" w:cs="仿宋_GB2312" w:eastAsia="仿宋_GB2312"/>
              </w:rPr>
              <w:t>踏勘地点：西安建筑科技大学雁塔校区北院西门外集合</w:t>
            </w:r>
          </w:p>
          <w:p>
            <w:pPr>
              <w:pStyle w:val="null3"/>
              <w:ind w:firstLine="975"/>
            </w:pPr>
            <w:r>
              <w:rPr>
                <w:rFonts w:ascii="仿宋_GB2312" w:hAnsi="仿宋_GB2312" w:cs="仿宋_GB2312" w:eastAsia="仿宋_GB2312"/>
              </w:rPr>
              <w:t>联系人：余雅兰</w:t>
            </w:r>
          </w:p>
          <w:p>
            <w:pPr>
              <w:pStyle w:val="null3"/>
              <w:ind w:firstLine="975"/>
            </w:pPr>
            <w:r>
              <w:rPr>
                <w:rFonts w:ascii="仿宋_GB2312" w:hAnsi="仿宋_GB2312" w:cs="仿宋_GB2312" w:eastAsia="仿宋_GB2312"/>
              </w:rPr>
              <w:t>联系电话号码：029-81206622-822</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联系人：余雅兰</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1,995,200.00</w:t>
      </w:r>
    </w:p>
    <w:p>
      <w:pPr>
        <w:pStyle w:val="null3"/>
      </w:pPr>
      <w:r>
        <w:rPr>
          <w:rFonts w:ascii="仿宋_GB2312" w:hAnsi="仿宋_GB2312" w:cs="仿宋_GB2312" w:eastAsia="仿宋_GB2312"/>
        </w:rPr>
        <w:t>采购包最高限价（元）: 1,995,200.00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西安建筑科技大学绿色建筑全国重点实验室大楼实验平台电力改造项目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标的名称：西安建筑科技大学绿色建筑全国重点实验室大楼实验平台电力改造项目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清单编制依据：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项目概况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1、项目名称：西安建筑科技大学绿色建筑全国重点实验室大楼实验平台电力改造项目</w:t>
            </w:r>
          </w:p>
          <w:p>
            <w:pPr>
              <w:pStyle w:val="null3"/>
              <w:ind w:firstLine="480"/>
            </w:pPr>
            <w:r>
              <w:rPr>
                <w:rFonts w:ascii="仿宋_GB2312" w:hAnsi="仿宋_GB2312" w:cs="仿宋_GB2312" w:eastAsia="仿宋_GB2312"/>
                <w:sz w:val="24"/>
              </w:rPr>
              <w:t>2、建设单位：西安建筑科技大学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编制范围：</w:t>
            </w:r>
            <w:r>
              <w:rPr>
                <w:rFonts w:ascii="仿宋_GB2312" w:hAnsi="仿宋_GB2312" w:cs="仿宋_GB2312" w:eastAsia="仿宋_GB2312"/>
                <w:sz w:val="24"/>
              </w:rPr>
              <w:t>西安建筑科技大学绿色建筑全国重点实验室大楼实验平台电力改造项目</w:t>
            </w:r>
          </w:p>
          <w:p>
            <w:pPr>
              <w:pStyle w:val="null3"/>
              <w:ind w:left="480"/>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编制依据：</w:t>
            </w:r>
          </w:p>
          <w:p>
            <w:pPr>
              <w:pStyle w:val="null3"/>
              <w:ind w:left="480"/>
              <w:jc w:val="both"/>
            </w:pPr>
            <w:r>
              <w:rPr>
                <w:rFonts w:ascii="仿宋_GB2312" w:hAnsi="仿宋_GB2312" w:cs="仿宋_GB2312" w:eastAsia="仿宋_GB2312"/>
                <w:sz w:val="24"/>
              </w:rPr>
              <w:t>1.</w:t>
            </w:r>
            <w:r>
              <w:rPr>
                <w:rFonts w:ascii="仿宋_GB2312" w:hAnsi="仿宋_GB2312" w:cs="仿宋_GB2312" w:eastAsia="仿宋_GB2312"/>
                <w:sz w:val="24"/>
              </w:rPr>
              <w:t>本项目清单依据：《陕西省建设工程工程量清单计价规则》</w:t>
            </w:r>
            <w:r>
              <w:rPr>
                <w:rFonts w:ascii="仿宋_GB2312" w:hAnsi="仿宋_GB2312" w:cs="仿宋_GB2312" w:eastAsia="仿宋_GB2312"/>
                <w:sz w:val="24"/>
              </w:rPr>
              <w:t>(2009)</w:t>
            </w:r>
            <w:r>
              <w:rPr>
                <w:rFonts w:ascii="仿宋_GB2312" w:hAnsi="仿宋_GB2312" w:cs="仿宋_GB2312" w:eastAsia="仿宋_GB2312"/>
                <w:sz w:val="24"/>
              </w:rPr>
              <w:t>；</w:t>
            </w:r>
          </w:p>
          <w:p>
            <w:pPr>
              <w:pStyle w:val="null3"/>
              <w:ind w:left="480"/>
              <w:jc w:val="both"/>
            </w:pPr>
            <w:r>
              <w:rPr>
                <w:rFonts w:ascii="仿宋_GB2312" w:hAnsi="仿宋_GB2312" w:cs="仿宋_GB2312" w:eastAsia="仿宋_GB2312"/>
                <w:sz w:val="24"/>
              </w:rPr>
              <w:t>2.</w:t>
            </w:r>
            <w:r>
              <w:rPr>
                <w:rFonts w:ascii="仿宋_GB2312" w:hAnsi="仿宋_GB2312" w:cs="仿宋_GB2312" w:eastAsia="仿宋_GB2312"/>
                <w:sz w:val="24"/>
              </w:rPr>
              <w:t>本项目本项目定额依据：《陕西省建筑、装饰工程消耗量定额》（</w:t>
            </w:r>
            <w:r>
              <w:rPr>
                <w:rFonts w:ascii="仿宋_GB2312" w:hAnsi="仿宋_GB2312" w:cs="仿宋_GB2312" w:eastAsia="仿宋_GB2312"/>
                <w:sz w:val="24"/>
              </w:rPr>
              <w:t>2004）、《陕西省安装工程消耗量定额》（2004）、《陕西省建筑、装饰、安装、市政、园林绿化工程价目表》（2009）、《陕西省建设工程消耗量定额勘误及补充定额》（2009）及其配套文件；</w:t>
            </w:r>
          </w:p>
          <w:p>
            <w:pPr>
              <w:pStyle w:val="null3"/>
              <w:ind w:left="480"/>
              <w:jc w:val="both"/>
            </w:pPr>
            <w:r>
              <w:rPr>
                <w:rFonts w:ascii="仿宋_GB2312" w:hAnsi="仿宋_GB2312" w:cs="仿宋_GB2312" w:eastAsia="仿宋_GB2312"/>
                <w:sz w:val="24"/>
              </w:rPr>
              <w:t>3.</w:t>
            </w:r>
            <w:r>
              <w:rPr>
                <w:rFonts w:ascii="仿宋_GB2312" w:hAnsi="仿宋_GB2312" w:cs="仿宋_GB2312" w:eastAsia="仿宋_GB2312"/>
                <w:sz w:val="24"/>
              </w:rPr>
              <w:t>本项目取费依据：《陕西省建设工程工程量清单计价费率》（</w:t>
            </w:r>
            <w:r>
              <w:rPr>
                <w:rFonts w:ascii="仿宋_GB2312" w:hAnsi="仿宋_GB2312" w:cs="仿宋_GB2312" w:eastAsia="仿宋_GB2312"/>
                <w:sz w:val="24"/>
              </w:rPr>
              <w:t>2009）；扬尘治理费按照《关于增加建设工程扬尘治理专项措施费及综合人工单价的调整的通知》（陕建发【2017】270号）；安全文明施工费按照《关于发布我省落实建筑工人实名制管理计价依据的通知》（陕建发【2019】1246号）；增值税、综合系数按照《关于调整我省建设工程计价依据的通知》（陕建发【2019】45号）执行；建筑施工安全生产责任保险按照《关于建筑施工安全生产责任保险费用计价的通知》陕建发【2020】1097号；建筑业劳保费用按照《关于全省统一停止收缴建筑业劳保费用的通知》陕建发【2021】1021号；人工费按照《关于调整房屋建筑和市政基础设施工程工程量清单计价综合人工单价的通知》陕建发【2021】1097号；</w:t>
            </w:r>
          </w:p>
          <w:p>
            <w:pPr>
              <w:pStyle w:val="null3"/>
              <w:ind w:left="480"/>
              <w:jc w:val="both"/>
            </w:pPr>
            <w:r>
              <w:rPr>
                <w:rFonts w:ascii="仿宋_GB2312" w:hAnsi="仿宋_GB2312" w:cs="仿宋_GB2312" w:eastAsia="仿宋_GB2312"/>
                <w:sz w:val="24"/>
              </w:rPr>
              <w:t>4.</w:t>
            </w:r>
            <w:r>
              <w:rPr>
                <w:rFonts w:ascii="仿宋_GB2312" w:hAnsi="仿宋_GB2312" w:cs="仿宋_GB2312" w:eastAsia="仿宋_GB2312"/>
                <w:sz w:val="24"/>
              </w:rPr>
              <w:t>主要材料价按</w:t>
            </w:r>
            <w:r>
              <w:rPr>
                <w:rFonts w:ascii="仿宋_GB2312" w:hAnsi="仿宋_GB2312" w:cs="仿宋_GB2312" w:eastAsia="仿宋_GB2312"/>
                <w:sz w:val="24"/>
              </w:rPr>
              <w:t>2025年第6期《陕西工程造价信息价》，信息价与市场价差异较大的以市场价计入进行编制；</w:t>
            </w:r>
          </w:p>
          <w:p>
            <w:pPr>
              <w:pStyle w:val="null3"/>
              <w:ind w:left="480"/>
              <w:jc w:val="both"/>
            </w:pPr>
            <w:r>
              <w:rPr>
                <w:rFonts w:ascii="仿宋_GB2312" w:hAnsi="仿宋_GB2312" w:cs="仿宋_GB2312" w:eastAsia="仿宋_GB2312"/>
                <w:sz w:val="24"/>
              </w:rPr>
              <w:t>5.</w:t>
            </w:r>
            <w:r>
              <w:rPr>
                <w:rFonts w:ascii="仿宋_GB2312" w:hAnsi="仿宋_GB2312" w:cs="仿宋_GB2312" w:eastAsia="仿宋_GB2312"/>
                <w:sz w:val="24"/>
              </w:rPr>
              <w:t>本项目最高限价采用人工调整计入差价模式。</w:t>
            </w:r>
          </w:p>
          <w:p>
            <w:pPr>
              <w:pStyle w:val="null3"/>
              <w:ind w:firstLine="482"/>
              <w:jc w:val="both"/>
            </w:pPr>
            <w:r>
              <w:rPr>
                <w:rFonts w:ascii="仿宋_GB2312" w:hAnsi="仿宋_GB2312" w:cs="仿宋_GB2312" w:eastAsia="仿宋_GB2312"/>
                <w:sz w:val="24"/>
              </w:rPr>
              <w:t>6.</w:t>
            </w:r>
            <w:r>
              <w:rPr>
                <w:rFonts w:ascii="仿宋_GB2312" w:hAnsi="仿宋_GB2312" w:cs="仿宋_GB2312" w:eastAsia="仿宋_GB2312"/>
                <w:sz w:val="24"/>
              </w:rPr>
              <w:t>陕西广联达云计价平台</w:t>
            </w:r>
            <w:r>
              <w:rPr>
                <w:rFonts w:ascii="仿宋_GB2312" w:hAnsi="仿宋_GB2312" w:cs="仿宋_GB2312" w:eastAsia="仿宋_GB2312"/>
                <w:sz w:val="24"/>
              </w:rPr>
              <w:t>GCCP6.4100.23.122。</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其他说明：</w:t>
            </w:r>
          </w:p>
          <w:p>
            <w:pPr>
              <w:pStyle w:val="null3"/>
              <w:numPr>
                <w:ilvl w:val="0"/>
                <w:numId w:val="1"/>
              </w:numPr>
              <w:jc w:val="both"/>
            </w:pPr>
            <w:r>
              <w:rPr>
                <w:rFonts w:ascii="仿宋_GB2312" w:hAnsi="仿宋_GB2312" w:cs="仿宋_GB2312" w:eastAsia="仿宋_GB2312"/>
                <w:sz w:val="24"/>
              </w:rPr>
              <w:t>本项目计取暂列金</w:t>
            </w:r>
            <w:r>
              <w:rPr>
                <w:rFonts w:ascii="仿宋_GB2312" w:hAnsi="仿宋_GB2312" w:cs="仿宋_GB2312" w:eastAsia="仿宋_GB2312"/>
                <w:sz w:val="24"/>
              </w:rPr>
              <w:t>15万元整；</w:t>
            </w:r>
          </w:p>
          <w:p>
            <w:pPr>
              <w:pStyle w:val="null3"/>
              <w:numPr>
                <w:ilvl w:val="0"/>
                <w:numId w:val="1"/>
              </w:numPr>
              <w:jc w:val="both"/>
            </w:pPr>
            <w:r>
              <w:rPr>
                <w:rFonts w:ascii="仿宋_GB2312" w:hAnsi="仿宋_GB2312" w:cs="仿宋_GB2312" w:eastAsia="仿宋_GB2312"/>
                <w:sz w:val="24"/>
              </w:rPr>
              <w:t>密集母线实际走径需结合现场实际，避开障碍物满足规范要求；密集母线</w:t>
            </w:r>
            <w:r>
              <w:rPr>
                <w:rFonts w:ascii="仿宋_GB2312" w:hAnsi="仿宋_GB2312" w:cs="仿宋_GB2312" w:eastAsia="仿宋_GB2312"/>
                <w:sz w:val="24"/>
              </w:rPr>
              <w:t>1-5层因安装在公共区域，为满足规范和确保安全需封堵密集母线并做好防水措施及警示标识；楼层改造后的配电间需砸墙恢复并新做防火门，配电间内原有下水管需包裹改造、原有设施需拆除改造等内容计取2万元整。</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工程量清单、图纸：具体详见本项目清单工程量、图纸。</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280"/>
              <w:gridCol w:w="481"/>
              <w:gridCol w:w="743"/>
              <w:gridCol w:w="1042"/>
              <w:gridCol w:w="261"/>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材料设备名称</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规格型号</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技术参数、性能指标及配置要求</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1.国标全铜缆；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符合本项目磋商文件</w:t>
                  </w:r>
                  <w:r>
                    <w:rPr>
                      <w:rFonts w:ascii="仿宋_GB2312" w:hAnsi="仿宋_GB2312" w:cs="仿宋_GB2312" w:eastAsia="仿宋_GB2312"/>
                      <w:sz w:val="24"/>
                    </w:rPr>
                    <w:t>、</w:t>
                  </w:r>
                  <w:r>
                    <w:rPr>
                      <w:rFonts w:ascii="仿宋_GB2312" w:hAnsi="仿宋_GB2312" w:cs="仿宋_GB2312" w:eastAsia="仿宋_GB2312"/>
                      <w:sz w:val="24"/>
                    </w:rPr>
                    <w:t>图纸</w:t>
                  </w:r>
                  <w:r>
                    <w:rPr>
                      <w:rFonts w:ascii="仿宋_GB2312" w:hAnsi="仿宋_GB2312" w:cs="仿宋_GB2312" w:eastAsia="仿宋_GB2312"/>
                      <w:sz w:val="24"/>
                    </w:rPr>
                    <w:t>、</w:t>
                  </w:r>
                  <w:r>
                    <w:rPr>
                      <w:rFonts w:ascii="仿宋_GB2312" w:hAnsi="仿宋_GB2312" w:cs="仿宋_GB2312" w:eastAsia="仿宋_GB2312"/>
                      <w:sz w:val="24"/>
                    </w:rPr>
                    <w:t>工程量清单相关要求，符合国家相关标准、规范</w:t>
                  </w:r>
                  <w:r>
                    <w:rPr>
                      <w:rFonts w:ascii="仿宋_GB2312" w:hAnsi="仿宋_GB2312" w:cs="仿宋_GB2312" w:eastAsia="仿宋_GB2312"/>
                      <w:sz w:val="24"/>
                    </w:rPr>
                    <w: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低压开关柜</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技术指标：（冷轧钢板</w:t>
                  </w:r>
                  <w:r>
                    <w:rPr>
                      <w:rFonts w:ascii="仿宋_GB2312" w:hAnsi="仿宋_GB2312" w:cs="仿宋_GB2312" w:eastAsia="仿宋_GB2312"/>
                      <w:sz w:val="24"/>
                    </w:rPr>
                    <w:t>≥2.0mm、表面需做防腐处理，喷塑厚度≥60μm）</w:t>
                  </w:r>
                  <w:r>
                    <w:rPr>
                      <w:rFonts w:ascii="仿宋_GB2312" w:hAnsi="仿宋_GB2312" w:cs="仿宋_GB2312" w:eastAsia="仿宋_GB2312"/>
                      <w:sz w:val="24"/>
                    </w:rPr>
                    <w:t>，</w:t>
                  </w:r>
                  <w:r>
                    <w:rPr>
                      <w:rFonts w:ascii="仿宋_GB2312" w:hAnsi="仿宋_GB2312" w:cs="仿宋_GB2312" w:eastAsia="仿宋_GB2312"/>
                      <w:sz w:val="24"/>
                    </w:rPr>
                    <w:t>ipanel(2500A)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动力柜、</w:t>
                  </w:r>
                  <w:r>
                    <w:rPr>
                      <w:rFonts w:ascii="仿宋_GB2312" w:hAnsi="仿宋_GB2312" w:cs="仿宋_GB2312" w:eastAsia="仿宋_GB2312"/>
                      <w:sz w:val="24"/>
                    </w:rPr>
                    <w:t>配电箱</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技术指标：</w:t>
                  </w:r>
                  <w:r>
                    <w:rPr>
                      <w:rFonts w:ascii="仿宋_GB2312" w:hAnsi="仿宋_GB2312" w:cs="仿宋_GB2312" w:eastAsia="仿宋_GB2312"/>
                      <w:sz w:val="24"/>
                    </w:rPr>
                    <w:t>XL-21等，冷轧钢板喷塑，板材厚度≥1.5mm，二层底板≥2mm、表面需做防腐处理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框架断路器、塑壳断路器、微型断路器</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1.技术指标：</w:t>
                  </w:r>
                  <w:r>
                    <w:rPr>
                      <w:rFonts w:ascii="仿宋_GB2312" w:hAnsi="仿宋_GB2312" w:cs="仿宋_GB2312" w:eastAsia="仿宋_GB2312"/>
                      <w:sz w:val="24"/>
                    </w:rPr>
                    <w:t>MTZ-2500A/3P,MIC5.0X；</w:t>
                  </w:r>
                  <w:r>
                    <w:rPr>
                      <w:rFonts w:ascii="仿宋_GB2312" w:hAnsi="仿宋_GB2312" w:cs="仿宋_GB2312" w:eastAsia="仿宋_GB2312"/>
                      <w:sz w:val="21"/>
                    </w:rPr>
                    <w:t xml:space="preserve"> </w:t>
                  </w:r>
                  <w:r>
                    <w:rPr>
                      <w:rFonts w:ascii="仿宋_GB2312" w:hAnsi="仿宋_GB2312" w:cs="仿宋_GB2312" w:eastAsia="仿宋_GB2312"/>
                      <w:sz w:val="24"/>
                    </w:rPr>
                    <w:t>NSX-630A/3P,TMD;</w:t>
                  </w:r>
                </w:p>
                <w:p>
                  <w:pPr>
                    <w:pStyle w:val="null3"/>
                    <w:jc w:val="left"/>
                  </w:pPr>
                  <w:r>
                    <w:rPr>
                      <w:rFonts w:ascii="仿宋_GB2312" w:hAnsi="仿宋_GB2312" w:cs="仿宋_GB2312" w:eastAsia="仿宋_GB2312"/>
                      <w:sz w:val="24"/>
                    </w:rPr>
                    <w:t>NSX-400A/3P,TMD</w:t>
                  </w:r>
                </w:p>
                <w:p>
                  <w:pPr>
                    <w:pStyle w:val="null3"/>
                    <w:jc w:val="left"/>
                  </w:pPr>
                  <w:r>
                    <w:rPr>
                      <w:rFonts w:ascii="仿宋_GB2312" w:hAnsi="仿宋_GB2312" w:cs="仿宋_GB2312" w:eastAsia="仿宋_GB2312"/>
                      <w:sz w:val="24"/>
                    </w:rPr>
                    <w:t>NSX-250A/3P,TMD;</w:t>
                  </w:r>
                </w:p>
                <w:p>
                  <w:pPr>
                    <w:pStyle w:val="null3"/>
                    <w:jc w:val="left"/>
                  </w:pPr>
                  <w:r>
                    <w:rPr>
                      <w:rFonts w:ascii="仿宋_GB2312" w:hAnsi="仿宋_GB2312" w:cs="仿宋_GB2312" w:eastAsia="仿宋_GB2312"/>
                      <w:sz w:val="24"/>
                    </w:rPr>
                    <w:t>NSX-160A/3P,TMD;</w:t>
                  </w:r>
                </w:p>
                <w:p>
                  <w:pPr>
                    <w:pStyle w:val="null3"/>
                    <w:jc w:val="left"/>
                  </w:pPr>
                  <w:r>
                    <w:rPr>
                      <w:rFonts w:ascii="仿宋_GB2312" w:hAnsi="仿宋_GB2312" w:cs="仿宋_GB2312" w:eastAsia="仿宋_GB2312"/>
                      <w:sz w:val="24"/>
                    </w:rPr>
                    <w:t>iC65N-C20A/2P;</w:t>
                  </w:r>
                </w:p>
                <w:p>
                  <w:pPr>
                    <w:pStyle w:val="null3"/>
                    <w:jc w:val="left"/>
                  </w:pPr>
                  <w:r>
                    <w:rPr>
                      <w:rFonts w:ascii="仿宋_GB2312" w:hAnsi="仿宋_GB2312" w:cs="仿宋_GB2312" w:eastAsia="仿宋_GB2312"/>
                      <w:sz w:val="24"/>
                    </w:rPr>
                    <w:t>iC65N-C20A/3P，带漏电等;</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密集母排</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1.技术指标：</w:t>
                  </w:r>
                  <w:r>
                    <w:rPr>
                      <w:rFonts w:ascii="仿宋_GB2312" w:hAnsi="仿宋_GB2312" w:cs="仿宋_GB2312" w:eastAsia="仿宋_GB2312"/>
                      <w:sz w:val="24"/>
                    </w:rPr>
                    <w:t>2500A/5P，国标全铜，耐火型,防护等级IP65以上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p>
                  <w:pPr>
                    <w:pStyle w:val="null3"/>
                    <w:jc w:val="center"/>
                  </w:pP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多功能仪表</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1.技术指标：PZ96L-E4/ZRKC；</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电缆桥架</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所有规格型号</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1.厚度1.5mm以上，冷轧钢板喷塑；</w:t>
                  </w:r>
                </w:p>
                <w:p>
                  <w:pPr>
                    <w:pStyle w:val="null3"/>
                    <w:jc w:val="left"/>
                  </w:pPr>
                  <w:r>
                    <w:rPr>
                      <w:rFonts w:ascii="仿宋_GB2312" w:hAnsi="仿宋_GB2312" w:cs="仿宋_GB2312" w:eastAsia="仿宋_GB2312"/>
                      <w:sz w:val="24"/>
                    </w:rPr>
                    <w:t>2.符合本项目磋商文件、图纸、工程量清单相关要求，符合国家相关标准、规范。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bl>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商务要求（实质性要求，不允许负偏离）：</w:t>
            </w:r>
          </w:p>
          <w:p>
            <w:pPr>
              <w:pStyle w:val="null3"/>
            </w:pPr>
            <w:r>
              <w:rPr>
                <w:rFonts w:ascii="仿宋_GB2312" w:hAnsi="仿宋_GB2312" w:cs="仿宋_GB2312" w:eastAsia="仿宋_GB2312"/>
                <w:sz w:val="24"/>
                <w:b/>
              </w:rPr>
              <w:t>商务要求：</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工期：</w:t>
            </w:r>
            <w:r>
              <w:rPr>
                <w:rFonts w:ascii="仿宋_GB2312" w:hAnsi="仿宋_GB2312" w:cs="仿宋_GB2312" w:eastAsia="仿宋_GB2312"/>
                <w:b/>
              </w:rPr>
              <w:t xml:space="preserve"> </w:t>
            </w:r>
            <w:r>
              <w:rPr>
                <w:rFonts w:ascii="仿宋_GB2312" w:hAnsi="仿宋_GB2312" w:cs="仿宋_GB2312" w:eastAsia="仿宋_GB2312"/>
                <w:sz w:val="24"/>
                <w:b/>
              </w:rPr>
              <w:t>30</w:t>
            </w:r>
            <w:r>
              <w:rPr>
                <w:rFonts w:ascii="仿宋_GB2312" w:hAnsi="仿宋_GB2312" w:cs="仿宋_GB2312" w:eastAsia="仿宋_GB2312"/>
                <w:sz w:val="24"/>
                <w:b/>
              </w:rPr>
              <w:t>日历天</w:t>
            </w:r>
            <w:r>
              <w:rPr>
                <w:rFonts w:ascii="仿宋_GB2312" w:hAnsi="仿宋_GB2312" w:cs="仿宋_GB2312" w:eastAsia="仿宋_GB2312"/>
                <w:sz w:val="24"/>
              </w:rPr>
              <w:t>。</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付款方式要求及履约保证金</w:t>
            </w:r>
          </w:p>
          <w:p>
            <w:pPr>
              <w:pStyle w:val="null3"/>
              <w:spacing w:before="120"/>
              <w:ind w:firstLine="482"/>
              <w:jc w:val="both"/>
            </w:pPr>
            <w:r>
              <w:rPr>
                <w:rFonts w:ascii="仿宋_GB2312" w:hAnsi="仿宋_GB2312" w:cs="仿宋_GB2312" w:eastAsia="仿宋_GB2312"/>
                <w:sz w:val="24"/>
                <w:b/>
              </w:rPr>
              <w:t>（</w:t>
            </w:r>
            <w:r>
              <w:rPr>
                <w:rFonts w:ascii="仿宋_GB2312" w:hAnsi="仿宋_GB2312" w:cs="仿宋_GB2312" w:eastAsia="仿宋_GB2312"/>
                <w:sz w:val="24"/>
                <w:b/>
              </w:rPr>
              <w:t>1）付款方式要求</w:t>
            </w:r>
          </w:p>
          <w:p>
            <w:pPr>
              <w:pStyle w:val="null3"/>
              <w:spacing w:before="120"/>
              <w:ind w:firstLine="482"/>
              <w:jc w:val="both"/>
            </w:pPr>
            <w:r>
              <w:rPr>
                <w:rFonts w:ascii="仿宋_GB2312" w:hAnsi="仿宋_GB2312" w:cs="仿宋_GB2312" w:eastAsia="仿宋_GB2312"/>
                <w:sz w:val="24"/>
                <w:b/>
                <w:u w:val="single"/>
              </w:rPr>
              <w:t>□签订合同完毕，供应商提供银行、保险公司等金融机构出具的预付款保函，甲方支付合同总价的40%作为预付款。</w:t>
            </w:r>
          </w:p>
          <w:p>
            <w:pPr>
              <w:pStyle w:val="null3"/>
              <w:spacing w:before="120"/>
              <w:ind w:firstLine="482"/>
              <w:jc w:val="both"/>
            </w:pPr>
            <w:r>
              <w:rPr>
                <w:rFonts w:ascii="仿宋_GB2312" w:hAnsi="仿宋_GB2312" w:cs="仿宋_GB2312" w:eastAsia="仿宋_GB2312"/>
                <w:sz w:val="24"/>
                <w:b/>
                <w:u w:val="single"/>
              </w:rPr>
              <w:t>□签订合同完毕，供应商无法提供预付款保函，施工完成墙面粉刷、线路改造工程内容后，支付合同额50%进度款。</w:t>
            </w:r>
          </w:p>
          <w:p>
            <w:pPr>
              <w:pStyle w:val="null3"/>
              <w:ind w:firstLine="482"/>
              <w:jc w:val="both"/>
            </w:pPr>
            <w:r>
              <w:rPr>
                <w:rFonts w:ascii="仿宋_GB2312" w:hAnsi="仿宋_GB2312" w:cs="仿宋_GB2312" w:eastAsia="仿宋_GB2312"/>
                <w:sz w:val="24"/>
                <w:b/>
                <w:u w:val="single"/>
              </w:rPr>
              <w:t xml:space="preserve"> </w:t>
            </w:r>
            <w:r>
              <w:rPr>
                <w:rFonts w:ascii="仿宋_GB2312" w:hAnsi="仿宋_GB2312" w:cs="仿宋_GB2312" w:eastAsia="仿宋_GB2312"/>
                <w:sz w:val="24"/>
                <w:b/>
                <w:u w:val="single"/>
              </w:rPr>
              <w:t>工程竣工验收合格后经审计部门或其委托有工程造价咨询资质的机构审定结算后，缴纳施工水电费后，支付至审定结算价的</w:t>
            </w:r>
            <w:r>
              <w:rPr>
                <w:rFonts w:ascii="仿宋_GB2312" w:hAnsi="仿宋_GB2312" w:cs="仿宋_GB2312" w:eastAsia="仿宋_GB2312"/>
                <w:sz w:val="24"/>
                <w:b/>
                <w:u w:val="single"/>
              </w:rPr>
              <w:t>100%。但在国家规定的保修期限内，保修责任仍由承包人继续承担。</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4"/>
                <w:b/>
              </w:rPr>
              <w:t>（</w:t>
            </w:r>
            <w:r>
              <w:rPr>
                <w:rFonts w:ascii="仿宋_GB2312" w:hAnsi="仿宋_GB2312" w:cs="仿宋_GB2312" w:eastAsia="仿宋_GB2312"/>
                <w:sz w:val="24"/>
                <w:b/>
              </w:rPr>
              <w:t>2）履约保证金要求</w:t>
            </w:r>
          </w:p>
          <w:p>
            <w:pPr>
              <w:pStyle w:val="null3"/>
              <w:ind w:firstLine="480"/>
              <w:jc w:val="both"/>
            </w:pPr>
            <w:r>
              <w:rPr>
                <w:rFonts w:ascii="仿宋_GB2312" w:hAnsi="仿宋_GB2312" w:cs="仿宋_GB2312" w:eastAsia="仿宋_GB2312"/>
                <w:sz w:val="24"/>
                <w:u w:val="single"/>
              </w:rPr>
              <w:t>履约保证金基本要求：供应商成交后凭成交通知书向采购人缴纳成交金额的</w:t>
            </w:r>
            <w:r>
              <w:rPr>
                <w:rFonts w:ascii="仿宋_GB2312" w:hAnsi="仿宋_GB2312" w:cs="仿宋_GB2312" w:eastAsia="仿宋_GB2312"/>
                <w:sz w:val="24"/>
                <w:u w:val="single"/>
              </w:rPr>
              <w:t>5%作为履约保证金，待合同履约完毕后无息退还。</w:t>
            </w:r>
          </w:p>
          <w:p>
            <w:pPr>
              <w:pStyle w:val="null3"/>
            </w:pPr>
            <w:r>
              <w:rPr>
                <w:rFonts w:ascii="仿宋_GB2312" w:hAnsi="仿宋_GB2312" w:cs="仿宋_GB2312" w:eastAsia="仿宋_GB2312"/>
                <w:sz w:val="24"/>
                <w:b/>
              </w:rPr>
              <w:t>3.质保期及质保保修要求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1）质保期：</w:t>
            </w:r>
            <w:r>
              <w:rPr>
                <w:rFonts w:ascii="仿宋_GB2312" w:hAnsi="仿宋_GB2312" w:cs="仿宋_GB2312" w:eastAsia="仿宋_GB2312"/>
                <w:sz w:val="24"/>
                <w:b/>
              </w:rPr>
              <w:t>本项目竣工验收合格通过之日起</w:t>
            </w:r>
            <w:r>
              <w:rPr>
                <w:rFonts w:ascii="仿宋_GB2312" w:hAnsi="仿宋_GB2312" w:cs="仿宋_GB2312" w:eastAsia="仿宋_GB2312"/>
                <w:sz w:val="24"/>
                <w:b/>
                <w:u w:val="single"/>
              </w:rPr>
              <w:t xml:space="preserve">  </w:t>
            </w:r>
            <w:r>
              <w:rPr>
                <w:rFonts w:ascii="仿宋_GB2312" w:hAnsi="仿宋_GB2312" w:cs="仿宋_GB2312" w:eastAsia="仿宋_GB2312"/>
                <w:sz w:val="24"/>
                <w:b/>
                <w:u w:val="single"/>
              </w:rPr>
              <w:t>贰</w:t>
            </w:r>
            <w:r>
              <w:rPr>
                <w:rFonts w:ascii="仿宋_GB2312" w:hAnsi="仿宋_GB2312" w:cs="仿宋_GB2312" w:eastAsia="仿宋_GB2312"/>
                <w:sz w:val="24"/>
                <w:b/>
                <w:u w:val="single"/>
              </w:rPr>
              <w:t xml:space="preserve">  </w:t>
            </w:r>
            <w:r>
              <w:rPr>
                <w:rFonts w:ascii="仿宋_GB2312" w:hAnsi="仿宋_GB2312" w:cs="仿宋_GB2312" w:eastAsia="仿宋_GB2312"/>
                <w:sz w:val="24"/>
                <w:b/>
              </w:rPr>
              <w:t>年</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2）保修要求</w:t>
            </w:r>
          </w:p>
          <w:p>
            <w:pPr>
              <w:pStyle w:val="null3"/>
              <w:ind w:firstLine="480"/>
              <w:jc w:val="both"/>
            </w:pPr>
            <w:r>
              <w:rPr>
                <w:rFonts w:ascii="仿宋_GB2312" w:hAnsi="仿宋_GB2312" w:cs="仿宋_GB2312" w:eastAsia="仿宋_GB2312"/>
                <w:sz w:val="24"/>
              </w:rPr>
              <w:t>①属于保修范围和内容的项目，承包人应在接到维修通知后，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 </w:t>
            </w:r>
            <w:r>
              <w:rPr>
                <w:rFonts w:ascii="仿宋_GB2312" w:hAnsi="仿宋_GB2312" w:cs="仿宋_GB2312" w:eastAsia="仿宋_GB2312"/>
                <w:sz w:val="24"/>
              </w:rPr>
              <w:t>天内派人维修。</w:t>
            </w:r>
          </w:p>
          <w:p>
            <w:pPr>
              <w:pStyle w:val="null3"/>
              <w:ind w:firstLine="482"/>
              <w:jc w:val="both"/>
            </w:pPr>
            <w:r>
              <w:rPr>
                <w:rFonts w:ascii="仿宋_GB2312" w:hAnsi="仿宋_GB2312" w:cs="仿宋_GB2312" w:eastAsia="仿宋_GB2312"/>
                <w:sz w:val="24"/>
                <w:b/>
              </w:rPr>
              <w:t>4.施工地点：</w:t>
            </w:r>
            <w:r>
              <w:rPr>
                <w:rFonts w:ascii="仿宋_GB2312" w:hAnsi="仿宋_GB2312" w:cs="仿宋_GB2312" w:eastAsia="仿宋_GB2312"/>
                <w:sz w:val="24"/>
              </w:rPr>
              <w:t>西安建筑科技大学雁塔校区</w:t>
            </w:r>
            <w:r>
              <w:rPr>
                <w:rFonts w:ascii="仿宋_GB2312" w:hAnsi="仿宋_GB2312" w:cs="仿宋_GB2312" w:eastAsia="仿宋_GB2312"/>
                <w:sz w:val="24"/>
              </w:rPr>
              <w:t>北</w:t>
            </w:r>
            <w:r>
              <w:rPr>
                <w:rFonts w:ascii="仿宋_GB2312" w:hAnsi="仿宋_GB2312" w:cs="仿宋_GB2312" w:eastAsia="仿宋_GB2312"/>
                <w:sz w:val="24"/>
              </w:rPr>
              <w:t>院。</w:t>
            </w:r>
          </w:p>
          <w:p>
            <w:pPr>
              <w:pStyle w:val="null3"/>
            </w:pPr>
            <w:r>
              <w:rPr>
                <w:rFonts w:ascii="仿宋_GB2312" w:hAnsi="仿宋_GB2312" w:cs="仿宋_GB2312" w:eastAsia="仿宋_GB2312"/>
                <w:sz w:val="24"/>
              </w:rPr>
              <w:t>五</w:t>
            </w:r>
            <w:r>
              <w:rPr>
                <w:rFonts w:ascii="仿宋_GB2312" w:hAnsi="仿宋_GB2312" w:cs="仿宋_GB2312" w:eastAsia="仿宋_GB2312"/>
                <w:sz w:val="24"/>
              </w:rPr>
              <w:t>、供应商针对本项目的施工，必须执行的国家标准、行业标准、地方标准或者其他标准、规范等：</w:t>
            </w:r>
          </w:p>
          <w:tbl>
            <w:tblPr>
              <w:tblInd w:type="dxa" w:w="390"/>
              <w:tblBorders>
                <w:top w:val="none" w:color="000000" w:sz="4"/>
                <w:left w:val="none" w:color="000000" w:sz="4"/>
                <w:bottom w:val="none" w:color="000000" w:sz="4"/>
                <w:right w:val="none" w:color="000000" w:sz="4"/>
                <w:insideH w:val="none"/>
                <w:insideV w:val="none"/>
              </w:tblBorders>
            </w:tblPr>
            <w:tblGrid>
              <w:gridCol w:w="353"/>
              <w:gridCol w:w="2460"/>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标准、规范、规程名称</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GB 50168-2018 《电气装置安装工程 电缆线路施工及验收规范》</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GB 50171-2012 《电气装置安装工程 盘、柜及二次回路接线施工及验收规范》</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GB 50015-2019 《建筑给水排水设计标准》</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GB 50300-2013《建筑工程施工质量验收统一标准》</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质量标准符合采购要求及供配电相关安装规范 。</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1、本工程为交钥匙工程，为清单报价，报价中包含暂列金，最终工程量按照实际发生量计取。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1、成交供应商领取成交通知书时，提交纸质响应文件正本壹份、副本贰份、电子版壹份（U盘壹份注明单位名称）编辑目录和页码，内容和通过电子化交易平台实施的政府采购项目提交的响应文件一致。 2、纸质响应文件正副本分别胶装。3、请确认踏勘的供应商在踏勘时间前一天将公司名称、踏勘联系人、联系电话编辑文字发送至邮箱1106712518@qq.com。）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并出具合法有效的营业执照或事业单位法人证书等国家规定的相关证明，自然人参与的提供其身份证明。②提供2024年7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③提供2024年7月至今已缴存的至少一个月的社会保障资金缴存单据或社保机构开具的社会保险参保缴费情况证明，依法不需要缴纳社会保障资金的单位应提供相关证明材料。④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⑤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拟派项目经理具备合法有效的机电工程专业二级及以上注册建造师资格和安全生产考核合格证，且无其他在建工程（提供无在建工程的承诺函）。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供应商应具备建设行政主管部门颁发合法有效的电力工程施工总承包三级及以上资质，且具备合法有效的安全生产许可证。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陕西省外的供应商及其拟派项目经理相关信息须在“陕西省住房和城乡建设厅”官方网站可查询。</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本项目专门面向中小企业采购，供应商须为中小企业，并提供声明函。</w:t>
            </w:r>
          </w:p>
        </w:tc>
        <w:tc>
          <w:tcPr>
            <w:tcW w:type="dxa" w:w="1661"/>
          </w:tcPr>
          <w:p>
            <w:pPr>
              <w:pStyle w:val="null3"/>
            </w:pPr>
            <w:r>
              <w:rPr>
                <w:rFonts w:ascii="仿宋_GB2312" w:hAnsi="仿宋_GB2312" w:cs="仿宋_GB2312" w:eastAsia="仿宋_GB2312"/>
              </w:rPr>
              <w:t>残疾人福利性单位声明函 中小企业声明函 监狱企业的证明文件 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响应报价表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磋商小组应当对供应商提交的响应文件进行初步审查，包括响应文件的有效性、完整性、符合性。除可变动的技术、服务要求以及合同草案条款外，首次提交的响应文件有不符合下列情况的，其响应文件无效。(1) 供应商名称与营业执照、资质证书一致；(2) 响应文件按磋商文件要求的数量、计量单位、报价货币及签字盖章；(3) 响应文件的有效期达到磋商文件要求；(4) 响应文件中主要材料技术指标无负偏离的； (5) 符合法律、法规和磋商文件中规定的其他实质性要求；(6) 已标价工程量清单扉页需加盖有注册或登记在工程造价咨询企业的造价人员签字并盖执业印章（委托第三方造价咨询企业需提供相关证明材料）；(7) 提供拟派项目经理及项目组成员在项目结束前不可更换的承诺函；(8) 提供拟派项目经理及项目组成员本单位近3个月内社保缴纳证明；(9) 保证金交纳符合磋商文件要求。</w:t>
            </w:r>
          </w:p>
        </w:tc>
        <w:tc>
          <w:tcPr>
            <w:tcW w:type="dxa" w:w="1661"/>
          </w:tcPr>
          <w:p>
            <w:pPr>
              <w:pStyle w:val="null3"/>
            </w:pPr>
            <w:r>
              <w:rPr>
                <w:rFonts w:ascii="仿宋_GB2312" w:hAnsi="仿宋_GB2312" w:cs="仿宋_GB2312" w:eastAsia="仿宋_GB2312"/>
              </w:rPr>
              <w:t>已标价工程量清单 中小企业声明函 保证金交纳凭证 主材技术要求响应偏差表 强制优先采购产品承诺函 商务条款响应说明 响应文件封面 响应方案说明 项目管理机构组成表 响应报价表 残疾人福利性单位声明函 报价函 标的清单 供应商类似项目业绩一览表 供应商承诺书 主要材料品牌、价格表 响应函 主要人员简历表 项目经理及项目组人员承诺函 供应商资格证明文件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1、对项目实施的现场情况、难易程度、历史资料匹配、成品保护等重点、难点进行分析；根据对项目整体理解内容全面，可实施性强得1.1-2分；内容有缺项漏项，基本可行得0.1-1分；未提供不计分。 2、对易发生质量通病、易出现安全问题、施工难度大、技术含量高的分项工程等进行说明并给出施工保障措施和专项技术方案（含主要施工工法、组织措施、检验手段等）；内容完备、科学、合理、针对性强得1.1-2分；内容简单粗略、基本可行得0.1-1分；未提供的不计分。 3、影响本项目的外在因素和可能出现的问题进行分析，并制定相关应急预案或保证措施。内容完备、科学、合理、针对性强得1.1-2分；内容简单粗略、基本可行、针对性较弱得0.1-1分；未提供的不计分。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针对本项目工期、质量高的特点，制定切实可行的施工进度计划（网络图/横道图）和工期保证措施，施工顺序具体说明及施工流水段划分；工期控制要点及分级控制措施；进度监管手段、人材机组织保证。内容完备、科学、合理、针对性强得1.1-3分；内容简略、基本可行得0.1-1分；未提供的不计分。 2、针对本项目工期紧、质量高的特点，制定切实可行的现场调度及总包分包协调方案；赶工方案及奖惩措施；劳动力配置计划和生产效率及生活保障措施；检测及机具设备计划、材料准备计划及相关保证措施。内容完备、科学、合理、针对性强得1.1-3分；内容简略、基本可行得0.1-1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针对本项目特点制定切实可行质量管理预控措施（各项质量目标及控制措施、质量检验和实验计划、事前控制、材料质量控制、施工机具控制等）；内容科学、合理、针对性强得1.1-2分；内容较完备、合理、可行得0.1-1分；未提供的不计分。 2、分部分项工程质量保证措施；成品保护和工程保修管理措施。内容科学、合理、针对性强得1.1-2分；内容较完备、合理、可行得0.1-1分；未提供的不计分。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1、结合工程环境、特点分析安全隐患，给出有针对性的安全生产、文明施工、环保施工、防尘降噪等保证措施。内容完备、科学、合理、针对性强得1.1-2分；内容一般、基本可行得0.1-1分；缺项或未提供不得分。 2、安全文明、环保施工保证体系和控制点设置合理，满足国家、省市相关法规规定及采购文件要求。内容完备、科学、合理、针对性强得1.1-2分；内容简单粗略、基本可行、针对性较弱得0.1-1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系统试验调试</w:t>
            </w:r>
          </w:p>
        </w:tc>
        <w:tc>
          <w:tcPr>
            <w:tcW w:type="dxa" w:w="2492"/>
          </w:tcPr>
          <w:p>
            <w:pPr>
              <w:pStyle w:val="null3"/>
            </w:pPr>
            <w:r>
              <w:rPr>
                <w:rFonts w:ascii="仿宋_GB2312" w:hAnsi="仿宋_GB2312" w:cs="仿宋_GB2312" w:eastAsia="仿宋_GB2312"/>
              </w:rPr>
              <w:t>针对本项目提供安装前后对箱体内设备进行试验调试方案及针对特殊、突发状况的应对措施。方案及措施完备、科学、合理、符合项目实际情况得1.1-2分；方案及措施较完备、基本合理可行得0.1-1分；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供应商针对本项目提供的项目人员组成，技术负责人（职称、学历、工作年限），其他项目人员构成情况（岗位设置、专业种类及能力、有技术职称的人员比例）等进行进行赋分。 项目人员配置齐全、合理、职责划分清晰、针对性强得2.1-4分；内容一般、基本可行得0.1-2分；不提供不计分。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供应商提供拟派项目经理自2022年1月1日至今的类似业绩证明材料，每提供1项得1分，最多得3分。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1、主要材料品牌、价格表填写完整，无缺漏项计3分。 2、根据供应商针对本项目拟投入主要材料品牌、价格表的产品选型情况、品质进行评审：主要材料品牌、价格表的市场应用比例高与本次项目契合度高、为主流产品且符合相关要求，相关证明材料完整、清晰的得3.1-5分； 主要材料品牌、价格表的市场应用比例较高与本次项目契合度一般、为一般产品，相关证明材料基本完整的得1.1-3分； 主要材料品牌、价格表的市场占有率一般，相关证明材料不完整，缺失严重的得0.1-1分； 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主要材料品牌、价格表</w:t>
            </w:r>
          </w:p>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以上内容每提供一项得0.5分，最高得1分，不提供不计分。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方案完善、科学合理，针对性强、服务承诺明确，计1.1-3分，方案一般、基本可行、特点和承诺不明确，计0.1-1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详见附件：主材技术要求响应偏差表</w:t>
      </w:r>
    </w:p>
    <w:p>
      <w:pPr>
        <w:pStyle w:val="null3"/>
        <w:ind w:firstLine="960"/>
      </w:pPr>
      <w:r>
        <w:rPr>
          <w:rFonts w:ascii="仿宋_GB2312" w:hAnsi="仿宋_GB2312" w:cs="仿宋_GB2312" w:eastAsia="仿宋_GB2312"/>
        </w:rPr>
        <w:t>详见附件：主要材料品牌、价格表</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详见附件：项目经理及项目组人员承诺函</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详见附件：保证金交纳凭证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