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版本号：FHGJ-2025-071720250723001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残疾人事业宣传服务工作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FHGJ-2025-0717</w:t>
      </w:r>
      <w:r>
        <w:br/>
      </w:r>
      <w:r>
        <w:br/>
      </w:r>
      <w:r>
        <w:br/>
      </w:r>
    </w:p>
    <w:p>
      <w:pPr>
        <w:pStyle w:val="null3"/>
        <w:jc w:val="center"/>
        <w:outlineLvl w:val="2"/>
      </w:pPr>
      <w:r>
        <w:rPr>
          <w:rFonts w:ascii="仿宋_GB2312" w:hAnsi="仿宋_GB2312" w:cs="仿宋_GB2312" w:eastAsia="仿宋_GB2312"/>
          <w:sz w:val="28"/>
          <w:b/>
        </w:rPr>
        <w:t>陕西省残疾人联合会机关</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陕西省残疾人联合会机关</w:t>
      </w:r>
      <w:r>
        <w:rPr>
          <w:rFonts w:ascii="仿宋_GB2312" w:hAnsi="仿宋_GB2312" w:cs="仿宋_GB2312" w:eastAsia="仿宋_GB2312"/>
        </w:rPr>
        <w:t>委托，拟对</w:t>
      </w:r>
      <w:r>
        <w:rPr>
          <w:rFonts w:ascii="仿宋_GB2312" w:hAnsi="仿宋_GB2312" w:cs="仿宋_GB2312" w:eastAsia="仿宋_GB2312"/>
        </w:rPr>
        <w:t>残疾人事业宣传服务工作</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FHGJ-2025-0717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残疾人事业宣传服务工作</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用于残疾人事业宣传服务工作，完成与第三方平台运维、专题策划、视频服务、新媒体产品制作、信息监测等。 通过大力发展残疾人宣传文化事业，不断提高公众对残疾人事业的认识，增强残疾人的思想道德素质、科学文化素质和身心健康，让他们在愉悦的氛围中丰富知识、拓宽视野、陶冶情操，满足残疾人的精神文化需求，树立融入社会的自尊心和自信心，共享社会发展成果，在全社会形成理解、尊重、关心、帮助残疾人的和谐氛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1、营业执照或事业单位法人证书或其 他组织应提供合法登记证明文件：供应商为响应招标并参加投标的合法注册的企业法人、事业法人或其他组织。企业法人应提供合法有效的标识有统一社会信用代码的营业 执照；事业法人应提供事业单位法人证书；其他组织应提供合法登记证明文件。</w:t>
      </w:r>
    </w:p>
    <w:p>
      <w:pPr>
        <w:pStyle w:val="null3"/>
      </w:pPr>
      <w:r>
        <w:rPr>
          <w:rFonts w:ascii="仿宋_GB2312" w:hAnsi="仿宋_GB2312" w:cs="仿宋_GB2312" w:eastAsia="仿宋_GB2312"/>
        </w:rPr>
        <w:t>2、授权书：供应商应授权合法的人员参加投标全过程，其中法定代表人/负责人直接投标，须提交法定代表人/负责人身份证明书和身份证。法定代表人/ 负责人授权代表参加投标的，须出具法定代表 人/负责人授权书、授权代表身份证。</w:t>
      </w:r>
    </w:p>
    <w:p>
      <w:pPr>
        <w:pStyle w:val="null3"/>
      </w:pPr>
      <w:r>
        <w:rPr>
          <w:rFonts w:ascii="仿宋_GB2312" w:hAnsi="仿宋_GB2312" w:cs="仿宋_GB2312" w:eastAsia="仿宋_GB2312"/>
        </w:rPr>
        <w:t>3、财务状况报告：供应商提供2024年度经审计的完整财务审计报告，或其开标前三个月内基本存款账户开户银行出具的资信证明，或财政部门认可的政府采 购专业担保机构出具的投标担保函。</w:t>
      </w:r>
    </w:p>
    <w:p>
      <w:pPr>
        <w:pStyle w:val="null3"/>
      </w:pPr>
      <w:r>
        <w:rPr>
          <w:rFonts w:ascii="仿宋_GB2312" w:hAnsi="仿宋_GB2312" w:cs="仿宋_GB2312" w:eastAsia="仿宋_GB2312"/>
        </w:rPr>
        <w:t>4、社会保障资金缴纳证明：供应商提供2025年1月1日至今已缴存的至少一 个月的社会保障资金缴存单据或社保机构开具 的社会保险参保缴费情况证明，依法不需要缴 纳社会保障资金的供应商应提供相关文件证明 。</w:t>
      </w:r>
    </w:p>
    <w:p>
      <w:pPr>
        <w:pStyle w:val="null3"/>
      </w:pPr>
      <w:r>
        <w:rPr>
          <w:rFonts w:ascii="仿宋_GB2312" w:hAnsi="仿宋_GB2312" w:cs="仿宋_GB2312" w:eastAsia="仿宋_GB2312"/>
        </w:rPr>
        <w:t>5、税收缴纳证明：供应商提供2025年1月1日至今已缴纳的至少一 个月的纳税证明或完税证明，纳税证明或完税证明上应有代收机构或税务机关的公章，依法 免税的供应商应提供相关文件证明（时间以税 款所属日期为准，税种包含不限于增值税、企 业所得税、印花税、城市维护建设税等，提供 任意一种税种）。</w:t>
      </w:r>
    </w:p>
    <w:p>
      <w:pPr>
        <w:pStyle w:val="null3"/>
      </w:pPr>
      <w:r>
        <w:rPr>
          <w:rFonts w:ascii="仿宋_GB2312" w:hAnsi="仿宋_GB2312" w:cs="仿宋_GB2312" w:eastAsia="仿宋_GB2312"/>
        </w:rPr>
        <w:t>6、书面声明（信用记录）：供应商应具备良好的商业信誉，提供参加政府 采购活动前3年内在经营活动中没有重大违法记 录的书面声明。</w:t>
      </w:r>
    </w:p>
    <w:p>
      <w:pPr>
        <w:pStyle w:val="null3"/>
      </w:pPr>
      <w:r>
        <w:rPr>
          <w:rFonts w:ascii="仿宋_GB2312" w:hAnsi="仿宋_GB2312" w:cs="仿宋_GB2312" w:eastAsia="仿宋_GB2312"/>
        </w:rPr>
        <w:t>7、承诺书：提供具有履行合同所必需的设备和专业技术能力的承诺书。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陕西省残疾人联合会机关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029-63917932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陕西省西安市碑林区长安北路永宁国际（大话南门壹中心）13楼1309室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薛南、刘振和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18092049082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代理服务费收费标准：收费标准参照中华 人民共和国国家计划委员会计价格[2002]1980号文件的收取。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陕西省残疾人联合会机关</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陕西省残疾人联合会机关</w:t>
      </w:r>
      <w:r>
        <w:rPr>
          <w:rFonts w:ascii="仿宋_GB2312" w:hAnsi="仿宋_GB2312" w:cs="仿宋_GB2312" w:eastAsia="仿宋_GB2312"/>
        </w:rPr>
        <w:t>负责解释。除上述招标文件内容，其他内容由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陕西省残疾人联合会机关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联系人：薛南、刘振和</w:t>
      </w:r>
    </w:p>
    <w:p>
      <w:pPr>
        <w:pStyle w:val="null3"/>
      </w:pPr>
      <w:r>
        <w:rPr>
          <w:rFonts w:ascii="仿宋_GB2312" w:hAnsi="仿宋_GB2312" w:cs="仿宋_GB2312" w:eastAsia="仿宋_GB2312"/>
        </w:rPr>
        <w:t>联系电话：18092049082</w:t>
      </w:r>
    </w:p>
    <w:p>
      <w:pPr>
        <w:pStyle w:val="null3"/>
      </w:pPr>
      <w:r>
        <w:rPr>
          <w:rFonts w:ascii="仿宋_GB2312" w:hAnsi="仿宋_GB2312" w:cs="仿宋_GB2312" w:eastAsia="仿宋_GB2312"/>
        </w:rPr>
        <w:t>地址：陕西省西安市碑林区长安北路永宁国际（大话南门壹中心）13楼1309室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用于残疾人事业宣传服务工作，完成与第三方平台运维、专题策划、视频服务、新媒体产品制作、信息监测等。 通过大力发展残疾人宣传文化事业，不断提高公众对残疾人事业的认识，增强残疾人的思想道德素质、科学文化素质和身心健康，让他们在愉悦的氛围中丰富知识、拓宽视野、陶冶情操，满足残疾人的精神文化需求，树立融入社会的自尊心和自信心，共享社会发展成果，在全社会形成理解、尊重、关心、帮助残疾人的和谐氛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残疾人事业宣传服务工作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标的名称：残疾人事业宣传服务工作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9"/>
              <w:gridCol w:w="645"/>
              <w:gridCol w:w="988"/>
              <w:gridCol w:w="532"/>
            </w:tblGrid>
            <w:tr>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服务类型</w:t>
                  </w:r>
                </w:p>
              </w:tc>
              <w:tc>
                <w:tcPr>
                  <w:tcW w:type="dxa" w:w="9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服务周期</w:t>
                  </w:r>
                </w:p>
              </w:tc>
            </w:tr>
            <w:tr>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第三方</w:t>
                  </w:r>
                </w:p>
                <w:p>
                  <w:pPr>
                    <w:pStyle w:val="null3"/>
                    <w:jc w:val="center"/>
                  </w:pPr>
                  <w:r>
                    <w:rPr>
                      <w:rFonts w:ascii="仿宋_GB2312" w:hAnsi="仿宋_GB2312" w:cs="仿宋_GB2312" w:eastAsia="仿宋_GB2312"/>
                      <w:sz w:val="24"/>
                    </w:rPr>
                    <w:t>平台运维</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《陕西残疾人》杂志</w:t>
                  </w:r>
                </w:p>
              </w:tc>
              <w:tc>
                <w:tcPr>
                  <w:tcW w:type="dxa" w:w="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杂志策划、编辑、校对</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10期</w:t>
                  </w:r>
                </w:p>
              </w:tc>
            </w:tr>
            <w:tr>
              <w:tc>
                <w:tcPr>
                  <w:tcW w:type="dxa" w:w="379"/>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媒体抖音号</w:t>
                  </w:r>
                </w:p>
              </w:tc>
              <w:tc>
                <w:tcPr>
                  <w:tcW w:type="dxa" w:w="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视频宣传</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每周不少于</w:t>
                  </w:r>
                  <w:r>
                    <w:rPr>
                      <w:rFonts w:ascii="仿宋_GB2312" w:hAnsi="仿宋_GB2312" w:cs="仿宋_GB2312" w:eastAsia="仿宋_GB2312"/>
                      <w:sz w:val="24"/>
                    </w:rPr>
                    <w:t>1条</w:t>
                  </w:r>
                </w:p>
              </w:tc>
            </w:tr>
            <w:tr>
              <w:tc>
                <w:tcPr>
                  <w:tcW w:type="dxa" w:w="379"/>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媒体头条号</w:t>
                  </w:r>
                </w:p>
              </w:tc>
              <w:tc>
                <w:tcPr>
                  <w:tcW w:type="dxa" w:w="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图片、文章、视频等</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每天不少于</w:t>
                  </w:r>
                  <w:r>
                    <w:rPr>
                      <w:rFonts w:ascii="仿宋_GB2312" w:hAnsi="仿宋_GB2312" w:cs="仿宋_GB2312" w:eastAsia="仿宋_GB2312"/>
                      <w:sz w:val="24"/>
                    </w:rPr>
                    <w:t>1条</w:t>
                  </w:r>
                </w:p>
              </w:tc>
            </w:tr>
            <w:tr>
              <w:tc>
                <w:tcPr>
                  <w:tcW w:type="dxa" w:w="379"/>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视频直播</w:t>
                  </w:r>
                </w:p>
              </w:tc>
              <w:tc>
                <w:tcPr>
                  <w:tcW w:type="dxa" w:w="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活动直播</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5次</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专题策划</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重大活动线下策划、线上专题宣传策划及专题搭建</w:t>
                  </w:r>
                </w:p>
              </w:tc>
              <w:tc>
                <w:tcPr>
                  <w:tcW w:type="dxa" w:w="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结合全国助残日、全国残疾预防日、国际残疾人日等重要节日，重大活动开展系列宣传</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10次</w:t>
                  </w:r>
                </w:p>
              </w:tc>
            </w:tr>
            <w:tr>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宣传报道</w:t>
                  </w:r>
                </w:p>
                <w:p>
                  <w:pPr>
                    <w:pStyle w:val="null3"/>
                    <w:jc w:val="center"/>
                  </w:pPr>
                  <w:r>
                    <w:rPr>
                      <w:rFonts w:ascii="仿宋_GB2312" w:hAnsi="仿宋_GB2312" w:cs="仿宋_GB2312" w:eastAsia="仿宋_GB2312"/>
                      <w:sz w:val="24"/>
                    </w:rPr>
                    <w:t>及视频</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日常宣传报道及视频拍摄</w:t>
                  </w:r>
                </w:p>
              </w:tc>
              <w:tc>
                <w:tcPr>
                  <w:tcW w:type="dxa" w:w="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会议活动日常宣传报道、采访视频拍摄剪辑、制作</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根据工作需要</w:t>
                  </w:r>
                </w:p>
                <w:p>
                  <w:pPr>
                    <w:pStyle w:val="null3"/>
                    <w:jc w:val="center"/>
                  </w:pPr>
                  <w:r>
                    <w:rPr>
                      <w:rFonts w:ascii="仿宋_GB2312" w:hAnsi="仿宋_GB2312" w:cs="仿宋_GB2312" w:eastAsia="仿宋_GB2312"/>
                      <w:sz w:val="24"/>
                    </w:rPr>
                    <w:t>日常更新</w:t>
                  </w:r>
                </w:p>
              </w:tc>
            </w:tr>
            <w:tr>
              <w:tc>
                <w:tcPr>
                  <w:tcW w:type="dxa" w:w="379"/>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宣传汇总</w:t>
                  </w:r>
                </w:p>
              </w:tc>
              <w:tc>
                <w:tcPr>
                  <w:tcW w:type="dxa" w:w="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对每月重点工作及活动进行宣传汇总；年终进行宣传总结回顾</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每月</w:t>
                  </w:r>
                  <w:r>
                    <w:rPr>
                      <w:rFonts w:ascii="仿宋_GB2312" w:hAnsi="仿宋_GB2312" w:cs="仿宋_GB2312" w:eastAsia="仿宋_GB2312"/>
                      <w:sz w:val="24"/>
                    </w:rPr>
                    <w:t>1次</w:t>
                  </w:r>
                </w:p>
              </w:tc>
            </w:tr>
            <w:tr>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新媒体</w:t>
                  </w:r>
                </w:p>
                <w:p>
                  <w:pPr>
                    <w:pStyle w:val="null3"/>
                    <w:jc w:val="center"/>
                  </w:pPr>
                  <w:r>
                    <w:rPr>
                      <w:rFonts w:ascii="仿宋_GB2312" w:hAnsi="仿宋_GB2312" w:cs="仿宋_GB2312" w:eastAsia="仿宋_GB2312"/>
                      <w:sz w:val="24"/>
                    </w:rPr>
                    <w:t>产品制作</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H5、九宫格海报、长图、创意封面秀拍摄制作等</w:t>
                  </w:r>
                </w:p>
              </w:tc>
              <w:tc>
                <w:tcPr>
                  <w:tcW w:type="dxa" w:w="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结合重要节点制作推广</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根据工作需要</w:t>
                  </w:r>
                </w:p>
                <w:p>
                  <w:pPr>
                    <w:pStyle w:val="null3"/>
                    <w:jc w:val="center"/>
                  </w:pPr>
                  <w:r>
                    <w:rPr>
                      <w:rFonts w:ascii="仿宋_GB2312" w:hAnsi="仿宋_GB2312" w:cs="仿宋_GB2312" w:eastAsia="仿宋_GB2312"/>
                      <w:sz w:val="24"/>
                    </w:rPr>
                    <w:t>日常更新</w:t>
                  </w:r>
                </w:p>
              </w:tc>
            </w:tr>
            <w:tr>
              <w:tc>
                <w:tcPr>
                  <w:tcW w:type="dxa" w:w="379"/>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深度报道</w:t>
                  </w:r>
                </w:p>
              </w:tc>
              <w:tc>
                <w:tcPr>
                  <w:tcW w:type="dxa" w:w="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群众新闻网新媒体记者联合陕西日报记者报网联动，实现资源融合</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4次</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宣传报道</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陕西日报相关版面宣传</w:t>
                  </w:r>
                </w:p>
              </w:tc>
              <w:tc>
                <w:tcPr>
                  <w:tcW w:type="dxa" w:w="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结合陕西省残疾人联合会全年重点工作节点在陕西日报前版半版进行投放</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3次</w:t>
                  </w:r>
                </w:p>
              </w:tc>
            </w:tr>
            <w:tr>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信息监测</w:t>
                  </w:r>
                </w:p>
              </w:tc>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w:t>
                  </w:r>
                  <w:r>
                    <w:rPr>
                      <w:rFonts w:ascii="仿宋_GB2312" w:hAnsi="仿宋_GB2312" w:cs="仿宋_GB2312" w:eastAsia="仿宋_GB2312"/>
                      <w:sz w:val="24"/>
                    </w:rPr>
                    <w:t>24小时信息监测，信息研判、信息处置</w:t>
                  </w:r>
                </w:p>
              </w:tc>
              <w:tc>
                <w:tcPr>
                  <w:tcW w:type="dxa" w:w="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每月提供信息监测报告；</w:t>
                  </w:r>
                </w:p>
                <w:p>
                  <w:pPr>
                    <w:pStyle w:val="null3"/>
                    <w:jc w:val="center"/>
                  </w:pPr>
                  <w:r>
                    <w:rPr>
                      <w:rFonts w:ascii="仿宋_GB2312" w:hAnsi="仿宋_GB2312" w:cs="仿宋_GB2312" w:eastAsia="仿宋_GB2312"/>
                      <w:sz w:val="24"/>
                    </w:rPr>
                    <w:t>每半年提供一次分析、研判报告。针对突发网络事件，及时作出风险提示，稳妥处置，并形成信息监测分析报告。</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w:t>
                  </w:r>
                  <w:r>
                    <w:rPr>
                      <w:rFonts w:ascii="仿宋_GB2312" w:hAnsi="仿宋_GB2312" w:cs="仿宋_GB2312" w:eastAsia="仿宋_GB2312"/>
                      <w:sz w:val="24"/>
                    </w:rPr>
                    <w:t>2025年12月10日至2026年6月29日</w:t>
                  </w:r>
                </w:p>
              </w:tc>
            </w:tr>
            <w:tr>
              <w:tc>
                <w:tcPr>
                  <w:tcW w:type="dxa" w:w="379"/>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针对突发网络事件，及时作出风险提示，实时监测发展动向，并提出处置方向和方式建议。</w:t>
                  </w:r>
                </w:p>
              </w:tc>
              <w:tc>
                <w:tcPr>
                  <w:tcW w:type="dxa" w:w="532"/>
                  <w:vMerge/>
                  <w:tcBorders>
                    <w:top w:val="none" w:color="000000" w:sz="4"/>
                    <w:left w:val="single" w:color="000000" w:sz="4"/>
                    <w:bottom w:val="single" w:color="000000" w:sz="4"/>
                    <w:right w:val="single" w:color="000000" w:sz="4"/>
                  </w:tcBorders>
                </w:tcP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内容校检</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智能审校端口</w:t>
                  </w:r>
                </w:p>
              </w:tc>
              <w:tc>
                <w:tcPr>
                  <w:tcW w:type="dxa" w:w="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文本检测：针对内容生产过程中存在固定表述错误、知识性错误、逻辑错误、领导人姓名提供校对，对涉黄、涉赌、涉政、涉暴恐等内容提供风险提示。</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w:t>
                  </w:r>
                  <w:r>
                    <w:rPr>
                      <w:rFonts w:ascii="仿宋_GB2312" w:hAnsi="仿宋_GB2312" w:cs="仿宋_GB2312" w:eastAsia="仿宋_GB2312"/>
                      <w:sz w:val="24"/>
                    </w:rPr>
                    <w:t>2025年12月10日至2026年6月29日</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机构性质</w:t>
                  </w:r>
                </w:p>
              </w:tc>
              <w:tc>
                <w:tcPr>
                  <w:tcW w:type="dxa" w:w="216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省级及以上主流媒体平台</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w:t>
                  </w:r>
                  <w:r>
                    <w:rPr>
                      <w:rFonts w:ascii="仿宋_GB2312" w:hAnsi="仿宋_GB2312" w:cs="仿宋_GB2312" w:eastAsia="仿宋_GB2312"/>
                      <w:sz w:val="24"/>
                    </w:rPr>
                    <w:t>时间</w:t>
                  </w:r>
                </w:p>
              </w:tc>
              <w:tc>
                <w:tcPr>
                  <w:tcW w:type="dxa" w:w="216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自合同签署之日起</w:t>
                  </w:r>
                  <w:r>
                    <w:rPr>
                      <w:rFonts w:ascii="仿宋_GB2312" w:hAnsi="仿宋_GB2312" w:cs="仿宋_GB2312" w:eastAsia="仿宋_GB2312"/>
                      <w:sz w:val="24"/>
                    </w:rPr>
                    <w:t>1年时间</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自合同签署之日起1年时间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陕西省政府</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依据招标文件、响应文件、澄清表（函）、合同内容及附件文本；合同签订时国家及行业现行的标准和技术规范，自行组织验收。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合同签订后，采购人在收到中标单位开具的全额发票后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 。</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服务方案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营业执照或事业单位法人证书或其 他组织应提供合法登记证明文件</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 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 负责人授权代表参加投标的，须出具法定代表 人/负责人授权书、授权代表身份证。</w:t>
            </w:r>
          </w:p>
        </w:tc>
        <w:tc>
          <w:tcPr>
            <w:tcW w:type="dxa" w:w="1661"/>
          </w:tcPr>
          <w:p>
            <w:pPr>
              <w:pStyle w:val="null3"/>
            </w:pPr>
            <w:r>
              <w:rPr>
                <w:rFonts w:ascii="仿宋_GB2312" w:hAnsi="仿宋_GB2312" w:cs="仿宋_GB2312" w:eastAsia="仿宋_GB2312"/>
              </w:rPr>
              <w:t>服务内容及服务邀请应答表 商务应答表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供应商提供2024年度经审计的完整财务审计报告，或其开标前三个月内基本存款账户开户银行出具的资信证明，或财政部门认可的政府采 购专业担保机构出具的投标担保函。</w:t>
            </w:r>
          </w:p>
        </w:tc>
        <w:tc>
          <w:tcPr>
            <w:tcW w:type="dxa" w:w="1661"/>
          </w:tcPr>
          <w:p>
            <w:pPr>
              <w:pStyle w:val="null3"/>
            </w:pPr>
            <w:r>
              <w:rPr>
                <w:rFonts w:ascii="仿宋_GB2312" w:hAnsi="仿宋_GB2312" w:cs="仿宋_GB2312" w:eastAsia="仿宋_GB2312"/>
              </w:rPr>
              <w:t>服务内容及服务邀请应答表 投标函 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供应商提供2025年1月1日至今已缴存的至少一 个月的社会保障资金缴存单据或社保机构开具 的社会保险参保缴费情况证明，依法不需要缴 纳社会保障资金的供应商应提供相关文件证明 。</w:t>
            </w:r>
          </w:p>
        </w:tc>
        <w:tc>
          <w:tcPr>
            <w:tcW w:type="dxa" w:w="1661"/>
          </w:tcPr>
          <w:p>
            <w:pPr>
              <w:pStyle w:val="null3"/>
            </w:pPr>
            <w:r>
              <w:rPr>
                <w:rFonts w:ascii="仿宋_GB2312" w:hAnsi="仿宋_GB2312" w:cs="仿宋_GB2312" w:eastAsia="仿宋_GB2312"/>
              </w:rPr>
              <w:t>服务内容及服务邀请应答表 投标函 商务应答表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供应商提供2025年1月1日至今已缴纳的至少一 个月的纳税证明或完税证明，纳税证明或完税证明上应有代收机构或税务机关的公章，依法 免税的供应商应提供相关文件证明（时间以税 款所属日期为准，税种包含不限于增值税、企 业所得税、印花税、城市维护建设税等，提供 任意一种税种）。</w:t>
            </w:r>
          </w:p>
        </w:tc>
        <w:tc>
          <w:tcPr>
            <w:tcW w:type="dxa" w:w="1661"/>
          </w:tcPr>
          <w:p>
            <w:pPr>
              <w:pStyle w:val="null3"/>
            </w:pPr>
            <w:r>
              <w:rPr>
                <w:rFonts w:ascii="仿宋_GB2312" w:hAnsi="仿宋_GB2312" w:cs="仿宋_GB2312" w:eastAsia="仿宋_GB2312"/>
              </w:rPr>
              <w:t>服务内容及服务邀请应答表 投标函 商务应答表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供应商应具备良好的商业信誉，提供参加政府 采购活动前3年内在经营活动中没有重大违法记 录的书面声明。</w:t>
            </w:r>
          </w:p>
        </w:tc>
        <w:tc>
          <w:tcPr>
            <w:tcW w:type="dxa" w:w="1661"/>
          </w:tcPr>
          <w:p>
            <w:pPr>
              <w:pStyle w:val="null3"/>
            </w:pPr>
            <w:r>
              <w:rPr>
                <w:rFonts w:ascii="仿宋_GB2312" w:hAnsi="仿宋_GB2312" w:cs="仿宋_GB2312" w:eastAsia="仿宋_GB2312"/>
              </w:rPr>
              <w:t>服务内容及服务邀请应答表 投标函 商务应答表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服务内容及服务邀请应答表 投标函 商务应答表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供应商印刷体名称、公章名称与营 业执照名称</w:t>
            </w:r>
          </w:p>
        </w:tc>
        <w:tc>
          <w:tcPr>
            <w:tcW w:type="dxa" w:w="3322"/>
          </w:tcPr>
          <w:p>
            <w:pPr>
              <w:pStyle w:val="null3"/>
            </w:pPr>
            <w:r>
              <w:rPr>
                <w:rFonts w:ascii="仿宋_GB2312" w:hAnsi="仿宋_GB2312" w:cs="仿宋_GB2312" w:eastAsia="仿宋_GB2312"/>
              </w:rPr>
              <w:t>供应商印刷体名称、公章名称与营业执照名称不一致的，评标委员会应当将其投标文件作为 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投标文件的签字盖章未按照招标文件要求进行的，评标委员会应当将其投标文件作为无效处 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投标有效期不足招标最低要求的，评标委员会应当将其投标文件作为无效处理。</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投标报价不是唯一有效的或投标报价超过采购预算的，评标委员会应当将其投标文件作为无 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投标文件的技术要求、商务要求</w:t>
            </w:r>
          </w:p>
        </w:tc>
        <w:tc>
          <w:tcPr>
            <w:tcW w:type="dxa" w:w="3322"/>
          </w:tcPr>
          <w:p>
            <w:pPr>
              <w:pStyle w:val="null3"/>
            </w:pPr>
            <w:r>
              <w:rPr>
                <w:rFonts w:ascii="仿宋_GB2312" w:hAnsi="仿宋_GB2312" w:cs="仿宋_GB2312" w:eastAsia="仿宋_GB2312"/>
              </w:rPr>
              <w:t>投标文件的技术要求、商务要求不满足实质性 要求的，评标委员会应当将其投标文件作为无 效处理。</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根据供应商对本项目的理解，对本项目的宣传及推广重点、难点的理解与分析，并能提出合理建议；对本次主题、目的、整体要求、性质和特点的响应情况进行评审： 1、对项目服务内容理解、宣传及推广重点、难点的理解与分析清晰、准确，体现本次主题、 目的、整体要求、性质和特点的计10分； 2 、对项目服务内容理解、宣传及推广重点、难点的理解与分析较好的计7分； 3、对项目服务内容理解、响应情况一般的计4分。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针对本项目制订切实可行的整体服务方案，包括第三方平台运维、专题策划、宣传报道及视频、新媒体产品制作和信息监测。 1、整体服务方案完全满足采购人需求计20分；2、整体服务方案基本满足采购人需求计15分； 3、整体服务方案有欠缺计7分。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进度计划保障措施</w:t>
            </w:r>
          </w:p>
        </w:tc>
        <w:tc>
          <w:tcPr>
            <w:tcW w:type="dxa" w:w="2492"/>
          </w:tcPr>
          <w:p>
            <w:pPr>
              <w:pStyle w:val="null3"/>
            </w:pPr>
            <w:r>
              <w:rPr>
                <w:rFonts w:ascii="仿宋_GB2312" w:hAnsi="仿宋_GB2312" w:cs="仿宋_GB2312" w:eastAsia="仿宋_GB2312"/>
              </w:rPr>
              <w:t>供应商的工作计划具体、明确、可行，规划执行分工有序、时间安排合理，能够确保项目顺利实施。 1 、工作进度安排清晰、准确、完整 , 计划编制合理、可行，满足项目要求计10分； 2、工作进度安排较清晰、准确、完整，计划编 制较可行，基本满足项目要求计 7分； 3、工作进度安排不准确，计划编制有欠缺计4分。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结合本项目的特点，供应商具有完成本项目的资源及能力，提供详细的质量目标以及具体可行的保证措施。 1、完成本项目的资源及能力充足，质量目标详细，保证措施具体可行计10分； 2、完成本项目的资源及能力一般，质量目标一般，保证措施一般计7分； 3、完成本项目的资源及能力较差，质量目标一般，保证措施有欠缺计4分。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针对本项目的项目负责人应具备过硬的专业素质和丰富的管理经验，能够带领团队顺利完成项目并达到预期效果，根据任职经历、社保缴纳情况、文化水平、专业资质、项商务应答表目经验等做出详细说明并提供合法服务方案的证明材料。 1、根据项目负责人的专服务内容及服务邀请业素质及管理经验的证明材料优计应答表5分； 2、根据项目负责人的专业素质及管理经验的证明材料良计3分；3、 根据项目负责人的专业素质及管理经验的证明材料一般计1分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针对本项目有专业服务团队，各岗位职责分工明确，团队成员具有岗位对应的工作经验，就项目成员的专业资质、文化水平、社保缴纳等服务内容及服务邀请做出详细说明并提供合法的证明材应答表料。 1、根据服务团队的职责分工、工商务应答表作经验等的证明材料优计10分；2、服务方案； 根据服务团队的职责分工、工作经验等的证明材料良计7分；3、根据服务团队的职责分工、工作经验等的证明材料一般计4分。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针对本项目有合理、可行的突发事件处理措施和应急预案，保证项目的顺利进行。1、提供的应急方案内容详尽、方案合理、具体可行计10分；2、 提供的应急方案内容较详尽 、方案较合理、较可行计7分 ； 3、提供的应急方案内容不详尽、方案有欠缺计4分。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提供2022年1月1日至开标前(以合同签订时间为准)的类似 项目业绩（每提供一份合同得2分，最多得10分）。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 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