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CBFE9">
      <w:pPr>
        <w:widowControl/>
        <w:topLinePunct/>
        <w:spacing w:before="0" w:beforeAutospacing="0" w:after="0" w:afterAutospacing="0"/>
        <w:jc w:val="left"/>
        <w:rPr>
          <w:rFonts w:hint="eastAsia" w:ascii="宋体" w:hAnsi="宋体" w:cs="宋体"/>
          <w:bCs/>
          <w:kern w:val="0"/>
          <w:sz w:val="24"/>
          <w:szCs w:val="20"/>
        </w:rPr>
      </w:pPr>
    </w:p>
    <w:p w14:paraId="16BD136D">
      <w:pPr>
        <w:widowControl/>
        <w:topLinePunct/>
        <w:spacing w:before="0" w:beforeAutospacing="0" w:after="0" w:afterAutospacing="0"/>
        <w:jc w:val="left"/>
        <w:rPr>
          <w:rFonts w:hint="eastAsia" w:ascii="宋体" w:hAnsi="宋体" w:cs="宋体"/>
          <w:bCs/>
          <w:kern w:val="0"/>
          <w:sz w:val="24"/>
          <w:szCs w:val="20"/>
        </w:rPr>
      </w:pPr>
    </w:p>
    <w:p w14:paraId="7EAE2C31">
      <w:pPr>
        <w:widowControl/>
        <w:topLinePunct/>
        <w:spacing w:before="0" w:beforeAutospacing="0" w:after="0" w:afterAutospacing="0"/>
        <w:jc w:val="left"/>
        <w:rPr>
          <w:rFonts w:hint="eastAsia" w:ascii="宋体" w:hAnsi="宋体" w:cs="宋体"/>
          <w:bCs/>
          <w:kern w:val="0"/>
          <w:sz w:val="24"/>
          <w:szCs w:val="20"/>
        </w:rPr>
      </w:pPr>
    </w:p>
    <w:p w14:paraId="1FF8B495">
      <w:pPr>
        <w:widowControl/>
        <w:topLinePunct/>
        <w:spacing w:before="0" w:beforeAutospacing="0" w:after="0" w:afterAutospacing="0"/>
        <w:jc w:val="left"/>
        <w:rPr>
          <w:rFonts w:hint="eastAsia" w:ascii="宋体" w:hAnsi="宋体" w:cs="宋体"/>
          <w:bCs/>
          <w:kern w:val="0"/>
          <w:sz w:val="24"/>
          <w:szCs w:val="20"/>
        </w:rPr>
      </w:pPr>
    </w:p>
    <w:p w14:paraId="5906B432">
      <w:pPr>
        <w:widowControl/>
        <w:topLinePunct/>
        <w:spacing w:before="0" w:beforeAutospacing="0" w:after="0" w:afterAutospacing="0"/>
        <w:jc w:val="left"/>
        <w:rPr>
          <w:rFonts w:ascii="宋体" w:hAnsi="宋体" w:cs="宋体"/>
          <w:bCs/>
          <w:kern w:val="0"/>
          <w:sz w:val="24"/>
          <w:szCs w:val="20"/>
        </w:rPr>
      </w:pPr>
      <w:bookmarkStart w:id="0" w:name="_GoBack"/>
      <w:bookmarkEnd w:id="0"/>
      <w:r>
        <w:rPr>
          <w:rFonts w:hint="eastAsia" w:ascii="宋体" w:hAnsi="宋体" w:cs="宋体"/>
          <w:bCs/>
          <w:kern w:val="0"/>
          <w:sz w:val="24"/>
          <w:szCs w:val="20"/>
        </w:rPr>
        <w:t>合同编号：</w:t>
      </w:r>
    </w:p>
    <w:p w14:paraId="36C6251E">
      <w:pPr>
        <w:widowControl/>
        <w:wordWrap w:val="0"/>
        <w:topLinePunct/>
        <w:spacing w:before="0" w:beforeAutospacing="0" w:after="0" w:afterAutospacing="0"/>
        <w:ind w:firstLine="1560" w:firstLineChars="300"/>
        <w:rPr>
          <w:rFonts w:ascii="宋体" w:hAnsi="宋体" w:cs="宋体"/>
          <w:bCs/>
          <w:kern w:val="0"/>
          <w:sz w:val="52"/>
          <w:szCs w:val="52"/>
        </w:rPr>
      </w:pPr>
    </w:p>
    <w:p w14:paraId="6114EB1E">
      <w:pPr>
        <w:widowControl/>
        <w:spacing w:before="0" w:beforeAutospacing="0" w:after="0" w:afterAutospacing="0" w:line="360" w:lineRule="auto"/>
        <w:jc w:val="center"/>
        <w:rPr>
          <w:rFonts w:asciiTheme="minorHAnsi" w:hAnsiTheme="minorHAnsi" w:eastAsiaTheme="minorEastAsia" w:cstheme="minorBidi"/>
          <w:b/>
          <w:kern w:val="0"/>
          <w:sz w:val="36"/>
          <w:szCs w:val="20"/>
        </w:rPr>
      </w:pPr>
      <w:r>
        <w:rPr>
          <w:rFonts w:hint="eastAsia" w:asciiTheme="minorHAnsi" w:hAnsiTheme="minorHAnsi" w:eastAsiaTheme="minorEastAsia" w:cstheme="minorBidi"/>
          <w:b/>
          <w:kern w:val="0"/>
          <w:sz w:val="36"/>
          <w:szCs w:val="20"/>
        </w:rPr>
        <w:t>西安工程大学</w:t>
      </w:r>
    </w:p>
    <w:p w14:paraId="00FCBFF7">
      <w:pPr>
        <w:widowControl/>
        <w:spacing w:before="0" w:beforeAutospacing="0" w:after="0" w:afterAutospacing="0" w:line="360" w:lineRule="auto"/>
        <w:jc w:val="center"/>
        <w:rPr>
          <w:rFonts w:asciiTheme="minorHAnsi" w:hAnsiTheme="minorHAnsi" w:eastAsiaTheme="minorEastAsia" w:cstheme="minorBidi"/>
          <w:b/>
          <w:kern w:val="0"/>
          <w:sz w:val="36"/>
          <w:szCs w:val="20"/>
        </w:rPr>
      </w:pPr>
      <w:r>
        <w:rPr>
          <w:rFonts w:hint="eastAsia" w:asciiTheme="minorHAnsi" w:hAnsiTheme="minorHAnsi" w:eastAsiaTheme="minorEastAsia" w:cstheme="minorBidi"/>
          <w:b/>
          <w:kern w:val="0"/>
          <w:sz w:val="36"/>
          <w:szCs w:val="20"/>
        </w:rPr>
        <w:t>金花校区纺织楼环境提升工程</w:t>
      </w:r>
    </w:p>
    <w:p w14:paraId="22BA5C22">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4CF37278">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660E3EC1">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5332600E">
      <w:pPr>
        <w:widowControl/>
        <w:spacing w:before="0" w:beforeAutospacing="0" w:after="0" w:afterAutospacing="0" w:line="360" w:lineRule="auto"/>
        <w:jc w:val="center"/>
        <w:rPr>
          <w:rFonts w:asciiTheme="minorHAnsi" w:hAnsiTheme="minorHAnsi" w:eastAsiaTheme="minorEastAsia" w:cstheme="minorBidi"/>
          <w:b/>
          <w:kern w:val="0"/>
          <w:sz w:val="36"/>
          <w:szCs w:val="20"/>
        </w:rPr>
      </w:pPr>
    </w:p>
    <w:p w14:paraId="1CAEE9FF">
      <w:pPr>
        <w:adjustRightInd w:val="0"/>
        <w:snapToGrid w:val="0"/>
        <w:spacing w:line="360" w:lineRule="auto"/>
        <w:jc w:val="center"/>
        <w:rPr>
          <w:b/>
          <w:sz w:val="48"/>
          <w:szCs w:val="21"/>
        </w:rPr>
      </w:pPr>
      <w:r>
        <w:rPr>
          <w:rFonts w:hint="eastAsia"/>
          <w:b/>
          <w:sz w:val="48"/>
          <w:szCs w:val="21"/>
        </w:rPr>
        <w:t>建设工程施工合同</w:t>
      </w:r>
    </w:p>
    <w:p w14:paraId="5BB26815">
      <w:pPr>
        <w:jc w:val="center"/>
        <w:rPr>
          <w:rFonts w:ascii="宋体" w:hAnsi="宋体" w:cs="宋体"/>
          <w:b/>
          <w:bCs/>
          <w:sz w:val="36"/>
          <w:szCs w:val="36"/>
        </w:rPr>
      </w:pPr>
    </w:p>
    <w:p w14:paraId="188DB825">
      <w:pPr>
        <w:ind w:firstLine="200"/>
        <w:jc w:val="center"/>
        <w:rPr>
          <w:rFonts w:ascii="宋体" w:hAnsi="宋体" w:cs="宋体"/>
          <w:b/>
          <w:bCs/>
          <w:sz w:val="32"/>
          <w:szCs w:val="32"/>
        </w:rPr>
      </w:pPr>
    </w:p>
    <w:p w14:paraId="18062F11">
      <w:pPr>
        <w:adjustRightInd w:val="0"/>
        <w:snapToGrid w:val="0"/>
        <w:spacing w:before="0" w:beforeAutospacing="0" w:after="0" w:afterAutospacing="0" w:line="360" w:lineRule="auto"/>
        <w:ind w:firstLine="643" w:firstLineChars="200"/>
        <w:rPr>
          <w:rFonts w:ascii="宋体" w:hAnsi="宋体" w:cs="宋体"/>
          <w:b/>
          <w:bCs/>
          <w:sz w:val="32"/>
          <w:szCs w:val="32"/>
        </w:rPr>
      </w:pPr>
    </w:p>
    <w:p w14:paraId="020D4508">
      <w:pPr>
        <w:spacing w:after="340" w:line="520" w:lineRule="exact"/>
        <w:ind w:firstLine="2570" w:firstLineChars="800"/>
        <w:rPr>
          <w:b/>
          <w:kern w:val="0"/>
          <w:sz w:val="32"/>
          <w:szCs w:val="32"/>
        </w:rPr>
      </w:pPr>
      <w:r>
        <w:rPr>
          <w:rFonts w:hint="eastAsia" w:ascii="宋体" w:hAnsi="宋体"/>
          <w:b/>
          <w:kern w:val="0"/>
          <w:sz w:val="32"/>
          <w:szCs w:val="32"/>
        </w:rPr>
        <w:t>甲方：</w:t>
      </w:r>
      <w:r>
        <w:rPr>
          <w:rFonts w:hint="eastAsia" w:ascii="宋体" w:hAnsi="宋体"/>
          <w:b/>
          <w:kern w:val="0"/>
          <w:sz w:val="32"/>
          <w:szCs w:val="32"/>
          <w:u w:val="single"/>
        </w:rPr>
        <w:t>西安工程大学</w:t>
      </w:r>
    </w:p>
    <w:p w14:paraId="01BB9F3D">
      <w:pPr>
        <w:spacing w:line="520" w:lineRule="exact"/>
        <w:ind w:firstLine="2570" w:firstLineChars="800"/>
        <w:rPr>
          <w:rFonts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14:paraId="1FAF2C92">
      <w:pPr>
        <w:ind w:firstLine="200"/>
        <w:jc w:val="center"/>
        <w:rPr>
          <w:rFonts w:ascii="宋体" w:hAnsi="宋体" w:cs="宋体"/>
          <w:b/>
          <w:bCs/>
          <w:sz w:val="32"/>
          <w:szCs w:val="32"/>
        </w:rPr>
      </w:pPr>
    </w:p>
    <w:p w14:paraId="2A5BA74C">
      <w:pPr>
        <w:adjustRightInd w:val="0"/>
        <w:snapToGrid w:val="0"/>
        <w:spacing w:line="360" w:lineRule="auto"/>
        <w:ind w:firstLine="482" w:firstLineChars="200"/>
        <w:rPr>
          <w:rFonts w:ascii="宋体" w:hAnsi="宋体" w:cs="宋体"/>
          <w:b/>
          <w:bCs/>
          <w:sz w:val="24"/>
          <w:szCs w:val="24"/>
        </w:rPr>
      </w:pPr>
    </w:p>
    <w:p w14:paraId="16D3CD8C">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bCs/>
          <w:sz w:val="24"/>
          <w:highlight w:val="none"/>
        </w:rPr>
      </w:pPr>
      <w:r>
        <w:rPr>
          <w:rFonts w:hint="eastAsia" w:ascii="宋体" w:hAnsi="宋体" w:cs="宋体"/>
          <w:b/>
          <w:bCs/>
          <w:sz w:val="24"/>
          <w:highlight w:val="none"/>
        </w:rPr>
        <w:t>甲方：西安工程大学</w:t>
      </w:r>
    </w:p>
    <w:p w14:paraId="0EBDE81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bCs/>
          <w:sz w:val="24"/>
          <w:highlight w:val="none"/>
          <w:u w:val="single"/>
        </w:rPr>
      </w:pPr>
      <w:r>
        <w:rPr>
          <w:rFonts w:hint="eastAsia" w:ascii="宋体" w:hAnsi="宋体" w:cs="宋体"/>
          <w:b/>
          <w:bCs/>
          <w:sz w:val="24"/>
          <w:highlight w:val="none"/>
        </w:rPr>
        <w:t>乙方：</w:t>
      </w:r>
      <w:r>
        <w:rPr>
          <w:rFonts w:hint="eastAsia" w:ascii="宋体" w:hAnsi="宋体" w:cs="宋体"/>
          <w:b/>
          <w:bCs/>
          <w:sz w:val="24"/>
          <w:highlight w:val="none"/>
          <w:u w:val="single"/>
        </w:rPr>
        <w:t xml:space="preserve">            </w:t>
      </w:r>
    </w:p>
    <w:p w14:paraId="2E2BF07C">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为了维护甲乙双方权益，依据《中华人民共和国民法典》及相关法律、行政法规和政府采购招投标管理办法，按照公开、公正、平等、自愿的原则，在充分协商一致的基础上，特订立本合同，以资共同遵守。</w:t>
      </w:r>
    </w:p>
    <w:p w14:paraId="23618E46">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sz w:val="24"/>
          <w:highlight w:val="none"/>
        </w:rPr>
      </w:pPr>
      <w:r>
        <w:rPr>
          <w:rFonts w:hint="eastAsia" w:ascii="宋体" w:hAnsi="宋体" w:cs="宋体"/>
          <w:b/>
          <w:sz w:val="24"/>
          <w:highlight w:val="none"/>
        </w:rPr>
        <w:t>一、工程概况：</w:t>
      </w:r>
    </w:p>
    <w:p w14:paraId="07B36AF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u w:val="single"/>
        </w:rPr>
      </w:pPr>
      <w:r>
        <w:rPr>
          <w:rFonts w:hint="eastAsia" w:ascii="宋体" w:hAnsi="宋体" w:cs="宋体"/>
          <w:sz w:val="24"/>
          <w:highlight w:val="none"/>
        </w:rPr>
        <w:t xml:space="preserve">1、工程名称： </w:t>
      </w:r>
      <w:r>
        <w:rPr>
          <w:rFonts w:hint="eastAsia" w:ascii="宋体" w:hAnsi="宋体" w:cs="宋体"/>
          <w:sz w:val="24"/>
          <w:highlight w:val="none"/>
          <w:u w:val="single"/>
        </w:rPr>
        <w:t>西安工程大学金花校区纺织楼环境提升工程</w:t>
      </w:r>
    </w:p>
    <w:p w14:paraId="449E241F">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 xml:space="preserve">2、工程地点： </w:t>
      </w:r>
      <w:r>
        <w:rPr>
          <w:rFonts w:hint="eastAsia" w:ascii="宋体" w:hAnsi="宋体" w:cs="宋体"/>
          <w:sz w:val="24"/>
          <w:highlight w:val="none"/>
          <w:u w:val="single"/>
        </w:rPr>
        <w:t>陕西省西安市西安工程大学（金花校区）院内</w:t>
      </w:r>
    </w:p>
    <w:p w14:paraId="2394A43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sz w:val="24"/>
          <w:highlight w:val="none"/>
        </w:rPr>
      </w:pPr>
      <w:r>
        <w:rPr>
          <w:rFonts w:hint="eastAsia" w:ascii="宋体" w:hAnsi="宋体" w:cs="宋体"/>
          <w:b/>
          <w:sz w:val="24"/>
          <w:highlight w:val="none"/>
        </w:rPr>
        <w:t>二、工程内容、数量及技术要求：</w:t>
      </w:r>
    </w:p>
    <w:p w14:paraId="1572349F">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highlight w:val="none"/>
        </w:rPr>
      </w:pPr>
      <w:r>
        <w:rPr>
          <w:highlight w:val="none"/>
        </w:rPr>
        <w:t xml:space="preserve">      </w:t>
      </w:r>
      <w:r>
        <w:rPr>
          <w:rFonts w:hint="eastAsia"/>
          <w:highlight w:val="none"/>
        </w:rPr>
        <w:t>（详见</w:t>
      </w:r>
      <w:r>
        <w:rPr>
          <w:highlight w:val="none"/>
        </w:rPr>
        <w:t>采购要求</w:t>
      </w:r>
      <w:r>
        <w:rPr>
          <w:rFonts w:hint="eastAsia"/>
          <w:highlight w:val="none"/>
        </w:rPr>
        <w:t>）</w:t>
      </w:r>
    </w:p>
    <w:p w14:paraId="66418122">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b/>
          <w:sz w:val="24"/>
          <w:highlight w:val="none"/>
        </w:rPr>
      </w:pPr>
      <w:r>
        <w:rPr>
          <w:rFonts w:hint="eastAsia" w:ascii="宋体" w:hAnsi="宋体" w:cs="宋体"/>
          <w:sz w:val="24"/>
          <w:highlight w:val="none"/>
        </w:rPr>
        <w:t>三</w:t>
      </w:r>
      <w:r>
        <w:rPr>
          <w:rFonts w:hint="eastAsia" w:ascii="宋体" w:hAnsi="宋体" w:cs="宋体"/>
          <w:b/>
          <w:sz w:val="24"/>
          <w:highlight w:val="none"/>
        </w:rPr>
        <w:t>、合同价款：</w:t>
      </w:r>
    </w:p>
    <w:p w14:paraId="65F3510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szCs w:val="21"/>
          <w:highlight w:val="none"/>
        </w:rPr>
      </w:pPr>
      <w:r>
        <w:rPr>
          <w:rFonts w:hint="eastAsia" w:ascii="宋体" w:hAnsi="宋体" w:cs="宋体"/>
          <w:sz w:val="24"/>
          <w:szCs w:val="21"/>
          <w:highlight w:val="none"/>
        </w:rPr>
        <w:t>1</w:t>
      </w:r>
      <w:r>
        <w:rPr>
          <w:rFonts w:hint="eastAsia" w:ascii="宋体" w:hAnsi="宋体" w:cs="宋体"/>
          <w:sz w:val="24"/>
          <w:szCs w:val="21"/>
          <w:highlight w:val="none"/>
          <w:lang w:val="en-US" w:eastAsia="zh-CN"/>
        </w:rPr>
        <w:t>.</w:t>
      </w:r>
      <w:r>
        <w:rPr>
          <w:rFonts w:hint="eastAsia" w:ascii="宋体" w:hAnsi="宋体" w:cs="宋体"/>
          <w:sz w:val="24"/>
          <w:highlight w:val="none"/>
        </w:rPr>
        <w:t>合同暂定价款：</w:t>
      </w:r>
      <w:r>
        <w:rPr>
          <w:rFonts w:hint="eastAsia" w:ascii="宋体" w:hAnsi="宋体" w:cs="宋体"/>
          <w:color w:val="000000"/>
          <w:sz w:val="24"/>
          <w:highlight w:val="none"/>
        </w:rPr>
        <w:t>为</w:t>
      </w:r>
      <w:r>
        <w:rPr>
          <w:rFonts w:ascii="宋体" w:hAnsi="宋体" w:cs="宋体"/>
          <w:color w:val="000000"/>
          <w:sz w:val="24"/>
          <w:highlight w:val="none"/>
          <w:u w:val="single"/>
        </w:rPr>
        <w:t xml:space="preserve">         </w:t>
      </w:r>
      <w:r>
        <w:rPr>
          <w:rFonts w:hint="eastAsia" w:ascii="宋体" w:hAnsi="宋体" w:cs="宋体"/>
          <w:color w:val="000000"/>
          <w:sz w:val="24"/>
          <w:highlight w:val="none"/>
          <w:u w:val="single"/>
        </w:rPr>
        <w:t>元</w:t>
      </w:r>
      <w:r>
        <w:rPr>
          <w:rFonts w:hint="eastAsia" w:ascii="宋体" w:hAnsi="宋体" w:cs="宋体"/>
          <w:color w:val="000000"/>
          <w:sz w:val="24"/>
          <w:highlight w:val="none"/>
        </w:rPr>
        <w:t>（大写：</w:t>
      </w:r>
      <w:r>
        <w:rPr>
          <w:rFonts w:hint="eastAsia" w:ascii="宋体" w:hAnsi="宋体" w:cs="宋体"/>
          <w:color w:val="000000"/>
          <w:sz w:val="24"/>
          <w:highlight w:val="none"/>
          <w:u w:val="single"/>
        </w:rPr>
        <w:t xml:space="preserve">  </w:t>
      </w:r>
      <w:r>
        <w:rPr>
          <w:rFonts w:ascii="宋体" w:hAnsi="宋体" w:cs="宋体"/>
          <w:color w:val="000000"/>
          <w:sz w:val="24"/>
          <w:highlight w:val="none"/>
          <w:u w:val="singl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699D44ED">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本工程为固定综合单价合同，本合同执行乙方磋商优惠后中标固定综合单价。综合单价内含人工费、</w:t>
      </w:r>
      <w:r>
        <w:rPr>
          <w:rFonts w:hint="eastAsia" w:ascii="宋体" w:hAnsi="宋体" w:cs="宋体"/>
          <w:bCs/>
          <w:sz w:val="24"/>
          <w:szCs w:val="21"/>
          <w:highlight w:val="none"/>
        </w:rPr>
        <w:t>主辅材费</w:t>
      </w:r>
      <w:r>
        <w:rPr>
          <w:rFonts w:hint="eastAsia" w:ascii="宋体" w:hAnsi="宋体" w:cs="宋体"/>
          <w:sz w:val="24"/>
          <w:highlight w:val="none"/>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71E72E12">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3</w:t>
      </w:r>
      <w:r>
        <w:rPr>
          <w:rFonts w:hint="eastAsia" w:ascii="宋体" w:hAnsi="宋体" w:cs="宋体"/>
          <w:sz w:val="24"/>
          <w:highlight w:val="none"/>
          <w:lang w:val="en-US" w:eastAsia="zh-CN"/>
        </w:rPr>
        <w:t>.</w:t>
      </w:r>
      <w:r>
        <w:rPr>
          <w:rFonts w:hint="eastAsia" w:ascii="宋体" w:hAnsi="宋体" w:cs="宋体"/>
          <w:sz w:val="24"/>
          <w:highlight w:val="none"/>
        </w:rPr>
        <w:t>因施工产生的建筑垃圾清运及校外弃运费（含渣土外运相关手续办理）及成品保护费用均包含在综合单价内，不再另行计费。</w:t>
      </w:r>
    </w:p>
    <w:p w14:paraId="09C5905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ascii="宋体" w:hAnsi="宋体" w:cs="宋体"/>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所有分项工程施工工艺已在开标前由乙方详细勘查现场后根据行业规范及现场实际情况科学组价，与施工相关的一切费用均包含在相关综合单价中，不再另行计费。</w:t>
      </w:r>
    </w:p>
    <w:p w14:paraId="72553CC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bCs/>
          <w:sz w:val="24"/>
          <w:highlight w:val="none"/>
        </w:rPr>
      </w:pPr>
      <w:r>
        <w:rPr>
          <w:rFonts w:hint="eastAsia" w:ascii="宋体" w:hAnsi="宋体" w:cs="宋体"/>
          <w:b/>
          <w:bCs/>
          <w:sz w:val="24"/>
          <w:highlight w:val="none"/>
        </w:rPr>
        <w:t>四、合同工期：　</w:t>
      </w:r>
    </w:p>
    <w:p w14:paraId="25A14F7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ascii="宋体" w:hAnsi="宋体" w:cs="宋体"/>
          <w:sz w:val="24"/>
          <w:highlight w:val="none"/>
        </w:rPr>
      </w:pPr>
      <w:r>
        <w:rPr>
          <w:rFonts w:hint="eastAsia" w:ascii="宋体" w:hAnsi="宋体" w:cs="宋体"/>
          <w:sz w:val="24"/>
          <w:highlight w:val="none"/>
        </w:rPr>
        <w:t>总工期</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天（日历天），具体开工日期以双方商定为准。</w:t>
      </w:r>
    </w:p>
    <w:p w14:paraId="71676E0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bCs/>
          <w:sz w:val="24"/>
          <w:highlight w:val="none"/>
        </w:rPr>
      </w:pPr>
      <w:r>
        <w:rPr>
          <w:rFonts w:hint="eastAsia" w:ascii="宋体" w:hAnsi="宋体" w:cs="宋体"/>
          <w:b/>
          <w:bCs/>
          <w:sz w:val="24"/>
          <w:highlight w:val="none"/>
        </w:rPr>
        <w:t>五、工程结算及工程款支付方式：</w:t>
      </w:r>
    </w:p>
    <w:p w14:paraId="2BA2E72D">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包工包料、包工期、包质量、包安全、包文明施工的施工总承包，工程完工后工程量据实结算，工程造价最终以审计结算结果为准。</w:t>
      </w:r>
    </w:p>
    <w:p w14:paraId="0D08C890">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szCs w:val="21"/>
          <w:highlight w:val="none"/>
        </w:rPr>
      </w:pPr>
      <w:r>
        <w:rPr>
          <w:rFonts w:hint="eastAsia" w:ascii="宋体" w:hAnsi="宋体" w:cs="宋体"/>
          <w:sz w:val="24"/>
          <w:szCs w:val="21"/>
          <w:highlight w:val="none"/>
        </w:rPr>
        <w:t>2</w:t>
      </w:r>
      <w:r>
        <w:rPr>
          <w:rFonts w:hint="eastAsia" w:ascii="宋体" w:hAnsi="宋体" w:cs="宋体"/>
          <w:sz w:val="24"/>
          <w:szCs w:val="21"/>
          <w:highlight w:val="none"/>
          <w:lang w:val="en-US" w:eastAsia="zh-CN"/>
        </w:rPr>
        <w:t>.</w:t>
      </w:r>
      <w:r>
        <w:rPr>
          <w:rFonts w:hint="eastAsia" w:ascii="宋体" w:hAnsi="宋体" w:cs="宋体"/>
          <w:sz w:val="24"/>
          <w:szCs w:val="21"/>
          <w:highlight w:val="none"/>
        </w:rPr>
        <w:t>合同签订后，待乙方提供符合甲方要求的银行出具的预付款保函后，本项目支付合同总价款的</w:t>
      </w:r>
      <w:r>
        <w:rPr>
          <w:rFonts w:ascii="宋体" w:hAnsi="宋体" w:cs="宋体"/>
          <w:sz w:val="24"/>
          <w:szCs w:val="21"/>
          <w:highlight w:val="none"/>
        </w:rPr>
        <w:t>40%作为预付款。</w:t>
      </w:r>
      <w:r>
        <w:rPr>
          <w:rFonts w:hint="eastAsia" w:ascii="宋体" w:hAnsi="宋体" w:cs="宋体"/>
          <w:sz w:val="24"/>
          <w:szCs w:val="21"/>
          <w:highlight w:val="none"/>
        </w:rPr>
        <w:t>正式审计报告出具后甲方在办理完校内工程款支付审批手续后，支付至工程审定造价的95%；剩余5%余款在乙方履行保修义务无质量问题后支付。</w:t>
      </w:r>
      <w:r>
        <w:rPr>
          <w:rFonts w:ascii="宋体" w:hAnsi="宋体" w:cs="宋体"/>
          <w:sz w:val="24"/>
          <w:szCs w:val="21"/>
          <w:highlight w:val="none"/>
        </w:rPr>
        <w:t>付款前，乙方需向甲方出具合法有效的等额增值税专用或普通发票。</w:t>
      </w:r>
    </w:p>
    <w:p w14:paraId="38D4CB6B">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szCs w:val="21"/>
          <w:highlight w:val="none"/>
        </w:rPr>
      </w:pPr>
      <w:r>
        <w:rPr>
          <w:rFonts w:hint="eastAsia" w:ascii="宋体" w:hAnsi="宋体" w:cs="宋体"/>
          <w:sz w:val="24"/>
          <w:szCs w:val="21"/>
          <w:highlight w:val="none"/>
        </w:rPr>
        <w:t>3</w:t>
      </w:r>
      <w:r>
        <w:rPr>
          <w:rFonts w:hint="eastAsia" w:ascii="宋体" w:hAnsi="宋体" w:cs="宋体"/>
          <w:sz w:val="24"/>
          <w:szCs w:val="21"/>
          <w:highlight w:val="none"/>
          <w:lang w:val="en-US" w:eastAsia="zh-CN"/>
        </w:rPr>
        <w:t>.</w:t>
      </w:r>
      <w:r>
        <w:rPr>
          <w:rFonts w:hint="eastAsia" w:ascii="宋体" w:hAnsi="宋体" w:cs="宋体"/>
          <w:sz w:val="24"/>
          <w:szCs w:val="21"/>
          <w:highlight w:val="none"/>
        </w:rPr>
        <w:t>施工现场所发生施工合同以外的施工内容和新增加的其他工程量，经甲方书面认可该工程量后双方现场据实确认，费用一并计入工程结算中。</w:t>
      </w:r>
    </w:p>
    <w:p w14:paraId="2FE83C8F">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highlight w:val="none"/>
        </w:rPr>
      </w:pPr>
      <w:r>
        <w:rPr>
          <w:rFonts w:hint="eastAsia" w:ascii="宋体" w:hAnsi="宋体" w:cs="宋体"/>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施工现场所发生施工合同以外施工内容综合单价确认办法：</w:t>
      </w:r>
    </w:p>
    <w:p w14:paraId="53732814">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highlight w:val="none"/>
        </w:rPr>
      </w:pPr>
      <w:r>
        <w:rPr>
          <w:rFonts w:hint="eastAsia" w:ascii="宋体" w:hAnsi="宋体" w:cs="宋体"/>
          <w:sz w:val="24"/>
          <w:highlight w:val="none"/>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和学校规定执行。</w:t>
      </w:r>
    </w:p>
    <w:p w14:paraId="174C10EC">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highlight w:val="none"/>
        </w:rPr>
      </w:pPr>
      <w:r>
        <w:rPr>
          <w:rFonts w:hint="eastAsia" w:ascii="宋体" w:hAnsi="宋体" w:cs="宋体"/>
          <w:sz w:val="24"/>
          <w:highlight w:val="none"/>
        </w:rPr>
        <w:t>5</w:t>
      </w:r>
      <w:r>
        <w:rPr>
          <w:rFonts w:hint="eastAsia" w:ascii="宋体" w:hAnsi="宋体" w:cs="宋体"/>
          <w:sz w:val="24"/>
          <w:highlight w:val="none"/>
          <w:lang w:val="en-US" w:eastAsia="zh-CN"/>
        </w:rPr>
        <w:t>.</w:t>
      </w:r>
      <w:r>
        <w:rPr>
          <w:rFonts w:hint="eastAsia" w:ascii="宋体" w:hAnsi="宋体" w:cs="宋体"/>
          <w:sz w:val="24"/>
          <w:highlight w:val="none"/>
        </w:rPr>
        <w:t>工程施工结算阶段，乙方应据实申报结算资料及组价，经审计后审减率超出10%（含10%）时，发生的全部审计成果费由乙方承担。</w:t>
      </w:r>
    </w:p>
    <w:p w14:paraId="3CA981D5">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ascii="宋体" w:hAnsi="宋体" w:cs="宋体"/>
          <w:sz w:val="24"/>
          <w:highlight w:val="none"/>
        </w:rPr>
      </w:pPr>
      <w:r>
        <w:rPr>
          <w:rFonts w:hint="eastAsia" w:ascii="宋体" w:hAnsi="宋体" w:cs="宋体"/>
          <w:sz w:val="24"/>
          <w:highlight w:val="none"/>
        </w:rPr>
        <w:t>6</w:t>
      </w:r>
      <w:r>
        <w:rPr>
          <w:rFonts w:hint="eastAsia" w:ascii="宋体" w:hAnsi="宋体" w:cs="宋体"/>
          <w:sz w:val="24"/>
          <w:highlight w:val="none"/>
          <w:lang w:val="en-US" w:eastAsia="zh-CN"/>
        </w:rPr>
        <w:t>.</w:t>
      </w:r>
      <w:r>
        <w:rPr>
          <w:rFonts w:hint="eastAsia" w:ascii="宋体" w:hAnsi="宋体" w:cs="宋体"/>
          <w:sz w:val="24"/>
          <w:highlight w:val="none"/>
        </w:rPr>
        <w:t>本工程所发生的水电费由乙方承担，按工程审定造价的5‰（其中电费为3‰，水费为2‰）从工程款项中一次性扣除。</w:t>
      </w:r>
    </w:p>
    <w:p w14:paraId="035B5DE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hint="eastAsia" w:ascii="宋体" w:hAnsi="宋体" w:cs="宋体"/>
          <w:color w:val="000000"/>
          <w:sz w:val="24"/>
          <w:highlight w:val="none"/>
        </w:rPr>
      </w:pPr>
      <w:r>
        <w:rPr>
          <w:rFonts w:hint="eastAsia" w:ascii="宋体" w:hAnsi="宋体" w:cs="宋体"/>
          <w:color w:val="000000"/>
          <w:sz w:val="24"/>
          <w:highlight w:val="none"/>
        </w:rPr>
        <w:t>7</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受学校相关政策及制度影响，由此可能出现项目内容调整、减少甚至取消部分工程量的情况。对于调减工程量的，所涉及综合单价不予调整。</w:t>
      </w:r>
    </w:p>
    <w:p w14:paraId="24A81A4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8</w:t>
      </w:r>
      <w:r>
        <w:rPr>
          <w:rFonts w:hint="eastAsia" w:ascii="宋体" w:hAnsi="宋体" w:cs="宋体"/>
          <w:sz w:val="24"/>
          <w:highlight w:val="none"/>
          <w:lang w:val="en-US" w:eastAsia="zh-CN"/>
        </w:rPr>
        <w:t>.</w:t>
      </w:r>
      <w:r>
        <w:rPr>
          <w:rFonts w:hint="eastAsia" w:ascii="宋体" w:hAnsi="宋体" w:cs="宋体"/>
          <w:sz w:val="24"/>
          <w:highlight w:val="none"/>
        </w:rPr>
        <w:t>履约保证金</w:t>
      </w:r>
    </w:p>
    <w:p w14:paraId="1CF936CD">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（1）乙方成交后凭中标通知书向甲方缴纳合同金额的5%作为履约保证金；</w:t>
      </w:r>
    </w:p>
    <w:p w14:paraId="7075421E">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（2）履约保证金应使用人民币，可选择使用银行转账、支票、汇票、本票或者金融机构、担保机构出具的保函等非现金形式缴纳或提交；</w:t>
      </w:r>
    </w:p>
    <w:p w14:paraId="3663CEA9">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甲方验收合格后，乙方提出书面申请，甲方将履约保证金（无息）退还乙方。</w:t>
      </w:r>
    </w:p>
    <w:p w14:paraId="05BD9B82">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六、工程施工要求：</w:t>
      </w:r>
    </w:p>
    <w:p w14:paraId="2C82B9B0">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highlight w:val="none"/>
        </w:rPr>
      </w:pPr>
      <w:r>
        <w:rPr>
          <w:rFonts w:hint="eastAsia" w:ascii="宋体" w:hAnsi="宋体" w:cs="宋体"/>
          <w:sz w:val="24"/>
          <w:highlight w:val="none"/>
        </w:rPr>
        <w:t>乙方在施工中应严格管理，自觉遵守学校及政府关于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03AEAF69">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七、质量检查与验收：</w:t>
      </w:r>
    </w:p>
    <w:p w14:paraId="5697400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bCs/>
          <w:sz w:val="24"/>
          <w:highlight w:val="none"/>
        </w:rPr>
        <w:t>本工程所有设备、材料均由乙方负责采购，乙方必须对所采购物资质量负全部责任，</w:t>
      </w:r>
      <w:r>
        <w:rPr>
          <w:rFonts w:hint="eastAsia" w:ascii="宋体" w:hAnsi="宋体" w:cs="宋体"/>
          <w:sz w:val="24"/>
          <w:highlight w:val="none"/>
        </w:rPr>
        <w:t>工程所用所有材料必须符合国家、行业标准及甲方要求，并与乙方投标文件所标示品牌一致，所有材料进场前需由建设方、监理方考察认质，</w:t>
      </w:r>
      <w:r>
        <w:rPr>
          <w:rFonts w:hint="eastAsia" w:ascii="宋体" w:hAnsi="宋体" w:cs="宋体"/>
          <w:bCs/>
          <w:sz w:val="24"/>
          <w:highlight w:val="none"/>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6284F88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本工程质量等级：符合本工程招标文件技术要求及国家、行业标准，达到合格。</w:t>
      </w:r>
    </w:p>
    <w:p w14:paraId="0EB56EB9">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八、工程质保期：</w:t>
      </w:r>
    </w:p>
    <w:p w14:paraId="473CAACB">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color w:val="FF0000"/>
          <w:szCs w:val="21"/>
          <w:highlight w:val="none"/>
        </w:rPr>
      </w:pPr>
      <w:r>
        <w:rPr>
          <w:rFonts w:hint="eastAsia" w:ascii="宋体" w:hAnsi="宋体" w:cs="宋体"/>
          <w:sz w:val="24"/>
          <w:highlight w:val="none"/>
        </w:rPr>
        <w:t>本工程质保期</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年，工程竣工验收合格之日起计算，质保期内如因施工及设备质量问题需要维修，</w:t>
      </w:r>
      <w:r>
        <w:rPr>
          <w:rFonts w:hint="eastAsia" w:ascii="宋体" w:hAnsi="宋体" w:cs="仿宋"/>
          <w:bCs/>
          <w:sz w:val="24"/>
          <w:highlight w:val="none"/>
        </w:rPr>
        <w:t>乙方应保证48小时内提供维修方案，5天内完成维修，</w:t>
      </w:r>
      <w:r>
        <w:rPr>
          <w:rFonts w:hint="eastAsia" w:ascii="宋体" w:hAnsi="宋体" w:cs="宋体"/>
          <w:sz w:val="24"/>
          <w:highlight w:val="none"/>
        </w:rPr>
        <w:t>无条件免费维修，否则甲方有权另行委托他人完成，</w:t>
      </w:r>
      <w:r>
        <w:rPr>
          <w:rFonts w:ascii="宋体" w:hAnsi="宋体" w:cs="宋体"/>
          <w:sz w:val="24"/>
          <w:highlight w:val="none"/>
        </w:rPr>
        <w:t>所发生的费用均由乙方承担。</w:t>
      </w:r>
    </w:p>
    <w:p w14:paraId="007D7C0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b/>
          <w:bCs/>
          <w:sz w:val="24"/>
          <w:highlight w:val="none"/>
        </w:rPr>
      </w:pPr>
      <w:r>
        <w:rPr>
          <w:rFonts w:hint="eastAsia" w:ascii="宋体" w:hAnsi="宋体" w:cs="宋体"/>
          <w:sz w:val="24"/>
          <w:highlight w:val="none"/>
        </w:rPr>
        <w:t xml:space="preserve">    </w:t>
      </w:r>
      <w:r>
        <w:rPr>
          <w:rFonts w:hint="eastAsia" w:ascii="宋体" w:hAnsi="宋体" w:cs="宋体"/>
          <w:b/>
          <w:bCs/>
          <w:sz w:val="24"/>
          <w:highlight w:val="none"/>
        </w:rPr>
        <w:t>九、甲方责任：</w:t>
      </w:r>
    </w:p>
    <w:p w14:paraId="4E6BCAE9">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甲方指派</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作为甲方施工现场代表，负责施工的监督管理和协调，验收乙方设备、材料来货单及双方往来文件，协调办理乙方进场施工手续。</w:t>
      </w:r>
    </w:p>
    <w:p w14:paraId="6A38670D">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指定乙方施工时所需的材料及工具堆放地点，指定水电源接点位置；</w:t>
      </w:r>
    </w:p>
    <w:p w14:paraId="2F3AF6A1">
      <w:pPr>
        <w:keepNext w:val="0"/>
        <w:keepLines w:val="0"/>
        <w:pageBreakBefore w:val="0"/>
        <w:widowControl w:val="0"/>
        <w:tabs>
          <w:tab w:val="left" w:pos="900"/>
          <w:tab w:val="left" w:pos="108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color w:val="000000"/>
          <w:sz w:val="24"/>
          <w:highlight w:val="none"/>
        </w:rPr>
      </w:pPr>
      <w:r>
        <w:rPr>
          <w:rFonts w:hint="eastAsia" w:ascii="宋体" w:hAnsi="宋体" w:cs="宋体"/>
          <w:color w:val="000000"/>
          <w:sz w:val="24"/>
          <w:highlight w:val="none"/>
        </w:rPr>
        <w:t>3</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对乙方项目部组成人员名单、修改完善后的施工组织设计、施工进度计划横线图及相关技术资料进行审批和签署。</w:t>
      </w:r>
    </w:p>
    <w:p w14:paraId="233C8E9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bCs/>
          <w:sz w:val="24"/>
          <w:highlight w:val="none"/>
        </w:rPr>
      </w:pPr>
      <w:r>
        <w:rPr>
          <w:rFonts w:hint="eastAsia" w:ascii="宋体" w:hAnsi="宋体" w:cs="宋体"/>
          <w:b/>
          <w:bCs/>
          <w:sz w:val="24"/>
          <w:highlight w:val="none"/>
        </w:rPr>
        <w:t>十、乙方责任：</w:t>
      </w:r>
    </w:p>
    <w:p w14:paraId="27EB615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0" w:firstLineChars="196"/>
        <w:jc w:val="left"/>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乙方指派</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作为工地项目负责人，负责设备、材料安装、工程质量和施工安全的管理以及签收双方往来文件等。</w:t>
      </w:r>
      <w:r>
        <w:rPr>
          <w:rFonts w:hint="eastAsia" w:ascii="宋体" w:hAnsi="宋体" w:cs="仿宋"/>
          <w:bCs/>
          <w:sz w:val="24"/>
          <w:highlight w:val="none"/>
        </w:rPr>
        <w:t>乙方工地负责人，联系电话</w:t>
      </w:r>
      <w:r>
        <w:rPr>
          <w:rFonts w:hint="eastAsia" w:ascii="宋体" w:hAnsi="宋体" w:cs="仿宋"/>
          <w:bCs/>
          <w:sz w:val="24"/>
          <w:highlight w:val="none"/>
          <w:u w:val="single"/>
        </w:rPr>
        <w:t xml:space="preserve">         </w:t>
      </w:r>
      <w:r>
        <w:rPr>
          <w:rFonts w:hint="eastAsia" w:ascii="宋体" w:hAnsi="宋体" w:cs="仿宋"/>
          <w:bCs/>
          <w:sz w:val="24"/>
          <w:highlight w:val="none"/>
        </w:rPr>
        <w:t>，微信号</w:t>
      </w:r>
      <w:r>
        <w:rPr>
          <w:rFonts w:hint="eastAsia" w:ascii="宋体" w:hAnsi="宋体" w:cs="仿宋"/>
          <w:bCs/>
          <w:sz w:val="24"/>
          <w:highlight w:val="none"/>
          <w:u w:val="single"/>
        </w:rPr>
        <w:t xml:space="preserve">  </w:t>
      </w:r>
      <w:r>
        <w:rPr>
          <w:rFonts w:ascii="宋体" w:hAnsi="宋体" w:cs="仿宋"/>
          <w:bCs/>
          <w:sz w:val="24"/>
          <w:highlight w:val="none"/>
          <w:u w:val="single"/>
        </w:rPr>
        <w:t xml:space="preserve">       </w:t>
      </w:r>
      <w:r>
        <w:rPr>
          <w:rFonts w:hint="eastAsia" w:ascii="宋体" w:hAnsi="宋体" w:cs="仿宋"/>
          <w:bCs/>
          <w:sz w:val="24"/>
          <w:highlight w:val="none"/>
          <w:u w:val="single"/>
        </w:rPr>
        <w:t xml:space="preserve"> </w:t>
      </w:r>
      <w:r>
        <w:rPr>
          <w:rFonts w:hint="eastAsia" w:ascii="宋体" w:hAnsi="宋体" w:cs="仿宋"/>
          <w:bCs/>
          <w:sz w:val="24"/>
          <w:highlight w:val="none"/>
        </w:rPr>
        <w:t>，邮箱</w:t>
      </w:r>
      <w:r>
        <w:rPr>
          <w:rFonts w:hint="eastAsia" w:ascii="宋体" w:hAnsi="宋体" w:cs="仿宋"/>
          <w:bCs/>
          <w:sz w:val="24"/>
          <w:highlight w:val="none"/>
          <w:u w:val="single"/>
        </w:rPr>
        <w:t xml:space="preserve">  </w:t>
      </w:r>
      <w:r>
        <w:rPr>
          <w:rFonts w:ascii="宋体" w:hAnsi="宋体" w:cs="仿宋"/>
          <w:bCs/>
          <w:sz w:val="24"/>
          <w:highlight w:val="none"/>
          <w:u w:val="single"/>
        </w:rPr>
        <w:t xml:space="preserve">     </w:t>
      </w:r>
      <w:r>
        <w:rPr>
          <w:rFonts w:hint="eastAsia" w:ascii="宋体" w:hAnsi="宋体" w:cs="仿宋"/>
          <w:bCs/>
          <w:sz w:val="24"/>
          <w:highlight w:val="none"/>
          <w:u w:val="single"/>
        </w:rPr>
        <w:t xml:space="preserve"> </w:t>
      </w:r>
      <w:r>
        <w:rPr>
          <w:rFonts w:hint="eastAsia" w:ascii="宋体" w:hAnsi="宋体" w:cs="仿宋"/>
          <w:bCs/>
          <w:sz w:val="24"/>
          <w:highlight w:val="none"/>
        </w:rPr>
        <w:t>。</w:t>
      </w:r>
    </w:p>
    <w:p w14:paraId="4432C56F">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设备、材料进场及安装时接受甲方的全程监督管理。</w:t>
      </w:r>
    </w:p>
    <w:p w14:paraId="186ABA38">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3</w:t>
      </w:r>
      <w:r>
        <w:rPr>
          <w:rFonts w:hint="eastAsia" w:ascii="宋体" w:hAnsi="宋体" w:cs="宋体"/>
          <w:sz w:val="24"/>
          <w:highlight w:val="none"/>
          <w:lang w:val="en-US" w:eastAsia="zh-CN"/>
        </w:rPr>
        <w:t>.</w:t>
      </w:r>
      <w:r>
        <w:rPr>
          <w:rFonts w:hint="eastAsia" w:ascii="宋体" w:hAnsi="宋体" w:cs="宋体"/>
          <w:sz w:val="24"/>
          <w:highlight w:val="none"/>
        </w:rPr>
        <w:t>严格按照技术要求、施工内容和制作要求进行生产和施工安装，对不符合合同要求的设备、材料及不符合验收标准的设备、材料进行改造和更换。</w:t>
      </w:r>
    </w:p>
    <w:p w14:paraId="5EDD9F7A">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负责做好施工期间材料、设备的保管。</w:t>
      </w:r>
    </w:p>
    <w:p w14:paraId="2523BDA0">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5</w:t>
      </w:r>
      <w:r>
        <w:rPr>
          <w:rFonts w:hint="eastAsia" w:ascii="宋体" w:hAnsi="宋体" w:cs="宋体"/>
          <w:sz w:val="24"/>
          <w:highlight w:val="none"/>
          <w:lang w:val="en-US" w:eastAsia="zh-CN"/>
        </w:rPr>
        <w:t>.</w:t>
      </w:r>
      <w:r>
        <w:rPr>
          <w:rFonts w:hint="eastAsia" w:ascii="宋体" w:hAnsi="宋体" w:cs="宋体"/>
          <w:sz w:val="24"/>
          <w:highlight w:val="none"/>
        </w:rPr>
        <w:t>按时按质完成设备、材料的制作、采购和安装调试，保证甲方的正常使用，并向甲方及时提交工程审计结算所需完整资料。</w:t>
      </w:r>
    </w:p>
    <w:p w14:paraId="3A6B9605">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6</w:t>
      </w:r>
      <w:r>
        <w:rPr>
          <w:rFonts w:hint="eastAsia" w:ascii="宋体" w:hAnsi="宋体" w:cs="宋体"/>
          <w:sz w:val="24"/>
          <w:highlight w:val="none"/>
          <w:lang w:val="en-US" w:eastAsia="zh-CN"/>
        </w:rPr>
        <w:t>.</w:t>
      </w:r>
      <w:r>
        <w:rPr>
          <w:rFonts w:hint="eastAsia" w:ascii="宋体" w:hAnsi="宋体" w:cs="宋体"/>
          <w:sz w:val="24"/>
          <w:highlight w:val="none"/>
        </w:rPr>
        <w:t>在工程施工和设备、材料安装过程中，不得任意破坏甲方土建结构，如确实需要改动土建结构的，需经甲方书面同意，否则，需向甲方支付30%的违约金，造成甲方损失的，还应赔偿甲方全部经济损失。</w:t>
      </w:r>
    </w:p>
    <w:p w14:paraId="4EBC7205">
      <w:pPr>
        <w:keepNext w:val="0"/>
        <w:keepLines w:val="0"/>
        <w:pageBreakBefore w:val="0"/>
        <w:widowControl w:val="0"/>
        <w:tabs>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482"/>
        <w:textAlignment w:val="auto"/>
        <w:rPr>
          <w:rFonts w:ascii="宋体" w:hAnsi="宋体" w:cs="宋体"/>
          <w:b/>
          <w:bCs/>
          <w:sz w:val="24"/>
          <w:highlight w:val="none"/>
        </w:rPr>
      </w:pPr>
      <w:r>
        <w:rPr>
          <w:rFonts w:hint="eastAsia" w:ascii="宋体" w:hAnsi="宋体" w:cs="宋体"/>
          <w:b/>
          <w:bCs/>
          <w:sz w:val="24"/>
          <w:highlight w:val="none"/>
        </w:rPr>
        <w:t>十一、违约责任：</w:t>
      </w:r>
    </w:p>
    <w:p w14:paraId="20FACAC2">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本工程施工时间为暑假学生离校有限期间，</w:t>
      </w:r>
      <w:r>
        <w:rPr>
          <w:rFonts w:hint="eastAsia" w:ascii="宋体" w:hAnsi="宋体" w:cs="宋体"/>
          <w:sz w:val="24"/>
          <w:szCs w:val="21"/>
          <w:highlight w:val="none"/>
        </w:rPr>
        <w:t>乙方必须提前做好准备，科学合理组织人力、物力及设备投入，必须保证保质、保量、按期完工，</w:t>
      </w:r>
      <w:r>
        <w:rPr>
          <w:rFonts w:hint="eastAsia" w:ascii="宋体" w:hAnsi="宋体" w:cs="宋体"/>
          <w:sz w:val="24"/>
          <w:highlight w:val="none"/>
        </w:rPr>
        <w:t>需无条件保证所施工工程8月底开学前如期使用，未经甲方书面同意，工期每推迟一天，按照合同价的1%按天累计从工程款项中一次性扣除。延期超过30天，甲方有权解除合同。</w:t>
      </w:r>
    </w:p>
    <w:p w14:paraId="3416BA6C">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4054BFC4">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仿宋"/>
          <w:bCs/>
          <w:sz w:val="24"/>
          <w:highlight w:val="none"/>
        </w:rPr>
      </w:pPr>
      <w:r>
        <w:rPr>
          <w:rFonts w:hint="eastAsia" w:ascii="宋体" w:hAnsi="宋体" w:cs="仿宋"/>
          <w:bCs/>
          <w:sz w:val="24"/>
          <w:highlight w:val="none"/>
        </w:rPr>
        <w:t>3</w:t>
      </w:r>
      <w:r>
        <w:rPr>
          <w:rFonts w:hint="eastAsia" w:ascii="宋体" w:hAnsi="宋体" w:cs="仿宋"/>
          <w:bCs/>
          <w:sz w:val="24"/>
          <w:highlight w:val="none"/>
          <w:lang w:val="en-US" w:eastAsia="zh-CN"/>
        </w:rPr>
        <w:t>.</w:t>
      </w:r>
      <w:r>
        <w:rPr>
          <w:rFonts w:hint="eastAsia" w:ascii="宋体" w:hAnsi="宋体" w:cs="仿宋"/>
          <w:bCs/>
          <w:sz w:val="24"/>
          <w:highlight w:val="none"/>
        </w:rPr>
        <w:t>除</w:t>
      </w:r>
      <w:r>
        <w:rPr>
          <w:rFonts w:ascii="宋体" w:hAnsi="宋体" w:cs="仿宋"/>
          <w:bCs/>
          <w:sz w:val="24"/>
          <w:highlight w:val="none"/>
        </w:rPr>
        <w:t>不可抗力外，</w:t>
      </w:r>
      <w:r>
        <w:rPr>
          <w:rFonts w:hint="eastAsia" w:ascii="宋体" w:hAnsi="宋体" w:cs="仿宋"/>
          <w:bCs/>
          <w:sz w:val="24"/>
          <w:highlight w:val="none"/>
        </w:rPr>
        <w:t>因一方原因，合同无法继续履行时，应在不可抗力发生之日起30日内书面通知另一方，双方协商一致后办理合同终止协议，并由责任方赔偿对方由此造成的经济损失。</w:t>
      </w:r>
    </w:p>
    <w:p w14:paraId="09DF117D">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仿宋"/>
          <w:bCs/>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6EB60148">
      <w:pPr>
        <w:keepNext w:val="0"/>
        <w:keepLines w:val="0"/>
        <w:pageBreakBefore w:val="0"/>
        <w:widowControl w:val="0"/>
        <w:tabs>
          <w:tab w:val="left" w:pos="1080"/>
          <w:tab w:val="left" w:pos="1260"/>
          <w:tab w:val="left" w:pos="8120"/>
        </w:tabs>
        <w:kinsoku/>
        <w:wordWrap/>
        <w:overflowPunct/>
        <w:topLinePunct w:val="0"/>
        <w:autoSpaceDE/>
        <w:autoSpaceDN/>
        <w:bidi w:val="0"/>
        <w:adjustRightInd w:val="0"/>
        <w:snapToGrid w:val="0"/>
        <w:spacing w:before="0" w:beforeAutospacing="0" w:after="0" w:afterAutospacing="0" w:line="360" w:lineRule="auto"/>
        <w:ind w:left="0" w:firstLine="482"/>
        <w:textAlignment w:val="auto"/>
        <w:rPr>
          <w:rFonts w:ascii="宋体" w:hAnsi="宋体" w:cs="宋体"/>
          <w:color w:val="000000"/>
          <w:sz w:val="24"/>
          <w:highlight w:val="none"/>
        </w:rPr>
      </w:pPr>
      <w:r>
        <w:rPr>
          <w:rFonts w:hint="eastAsia" w:ascii="宋体" w:hAnsi="宋体" w:cs="宋体"/>
          <w:b/>
          <w:bCs/>
          <w:sz w:val="24"/>
          <w:highlight w:val="none"/>
        </w:rPr>
        <w:t>十二、争议解决方式：</w:t>
      </w:r>
      <w:r>
        <w:rPr>
          <w:rFonts w:hint="eastAsia" w:ascii="宋体" w:hAnsi="宋体" w:cs="宋体"/>
          <w:b/>
          <w:bCs/>
          <w:sz w:val="24"/>
          <w:highlight w:val="none"/>
        </w:rPr>
        <w:tab/>
      </w:r>
    </w:p>
    <w:p w14:paraId="6566036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24" w:firstLineChars="177"/>
        <w:textAlignment w:val="auto"/>
        <w:rPr>
          <w:rFonts w:ascii="宋体" w:hAnsi="宋体" w:cs="宋体"/>
          <w:sz w:val="28"/>
          <w:szCs w:val="28"/>
          <w:highlight w:val="none"/>
        </w:rPr>
      </w:pPr>
      <w:r>
        <w:rPr>
          <w:rFonts w:hint="eastAsia" w:ascii="宋体" w:hAnsi="宋体" w:cs="宋体"/>
          <w:sz w:val="24"/>
          <w:highlight w:val="none"/>
        </w:rPr>
        <w:t xml:space="preserve"> 此合同未尽事宜，双方友好协商解决，如协商未果，交由施工所在地人民法院诉讼解决</w:t>
      </w:r>
      <w:r>
        <w:rPr>
          <w:rFonts w:hint="eastAsia" w:ascii="宋体" w:hAnsi="宋体" w:cs="宋体"/>
          <w:sz w:val="28"/>
          <w:szCs w:val="28"/>
          <w:highlight w:val="none"/>
        </w:rPr>
        <w:t xml:space="preserve">。   </w:t>
      </w:r>
    </w:p>
    <w:p w14:paraId="2CC5700C">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26" w:firstLineChars="177"/>
        <w:textAlignment w:val="auto"/>
        <w:rPr>
          <w:rFonts w:ascii="宋体" w:hAnsi="宋体" w:cs="宋体"/>
          <w:b/>
          <w:bCs/>
          <w:sz w:val="24"/>
          <w:highlight w:val="none"/>
        </w:rPr>
      </w:pPr>
      <w:r>
        <w:rPr>
          <w:rFonts w:hint="eastAsia" w:ascii="宋体" w:hAnsi="宋体" w:cs="宋体"/>
          <w:b/>
          <w:bCs/>
          <w:sz w:val="24"/>
          <w:highlight w:val="none"/>
        </w:rPr>
        <w:t>十三、其他约定</w:t>
      </w:r>
    </w:p>
    <w:p w14:paraId="34497BB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sz w:val="24"/>
          <w:highlight w:val="none"/>
        </w:rPr>
      </w:pPr>
      <w:r>
        <w:rPr>
          <w:rFonts w:hint="eastAsia" w:ascii="宋体" w:hAnsi="宋体" w:cs="宋体"/>
          <w:sz w:val="24"/>
          <w:highlight w:val="none"/>
        </w:rPr>
        <w:t xml:space="preserve">    1</w:t>
      </w:r>
      <w:r>
        <w:rPr>
          <w:rFonts w:hint="eastAsia" w:ascii="宋体" w:hAnsi="宋体" w:cs="宋体"/>
          <w:sz w:val="24"/>
          <w:highlight w:val="none"/>
          <w:lang w:val="en-US" w:eastAsia="zh-CN"/>
        </w:rPr>
        <w:t>.</w:t>
      </w:r>
      <w:r>
        <w:rPr>
          <w:rFonts w:hint="eastAsia" w:ascii="宋体" w:hAnsi="宋体" w:cs="宋体"/>
          <w:sz w:val="24"/>
          <w:highlight w:val="none"/>
        </w:rPr>
        <w:t>与本合同有关的招标文件、施工图纸、工程量清单、投标文件、工程变更资料、会议纪要、工程签证、工程预决算、技术资料、业务往来文件均为本合同之附件，与本合同具有同等法律效力。</w:t>
      </w:r>
    </w:p>
    <w:p w14:paraId="2644B90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color w:val="000000"/>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本合同一式</w:t>
      </w:r>
      <w:r>
        <w:rPr>
          <w:rFonts w:hint="eastAsia" w:ascii="宋体" w:hAnsi="宋体" w:cs="宋体"/>
          <w:b/>
          <w:bCs/>
          <w:sz w:val="24"/>
          <w:highlight w:val="none"/>
          <w:u w:val="single"/>
        </w:rPr>
        <w:t>_</w:t>
      </w:r>
      <w:r>
        <w:rPr>
          <w:rFonts w:hint="eastAsia" w:ascii="宋体" w:hAnsi="宋体" w:cs="宋体"/>
          <w:sz w:val="24"/>
          <w:highlight w:val="none"/>
          <w:u w:val="single"/>
        </w:rPr>
        <w:t>陆</w:t>
      </w:r>
      <w:r>
        <w:rPr>
          <w:rFonts w:hint="eastAsia" w:ascii="宋体" w:hAnsi="宋体" w:cs="宋体"/>
          <w:b/>
          <w:bCs/>
          <w:sz w:val="24"/>
          <w:highlight w:val="none"/>
          <w:u w:val="single"/>
        </w:rPr>
        <w:t>_</w:t>
      </w:r>
      <w:r>
        <w:rPr>
          <w:rFonts w:hint="eastAsia" w:ascii="宋体" w:hAnsi="宋体" w:cs="宋体"/>
          <w:sz w:val="24"/>
          <w:highlight w:val="none"/>
        </w:rPr>
        <w:t>份，甲方执</w:t>
      </w:r>
      <w:r>
        <w:rPr>
          <w:rFonts w:hint="eastAsia" w:ascii="宋体" w:hAnsi="宋体" w:cs="宋体"/>
          <w:sz w:val="24"/>
          <w:highlight w:val="none"/>
          <w:u w:val="single"/>
        </w:rPr>
        <w:t xml:space="preserve"> 肆 </w:t>
      </w:r>
      <w:r>
        <w:rPr>
          <w:rFonts w:hint="eastAsia" w:ascii="宋体" w:hAnsi="宋体" w:cs="宋体"/>
          <w:sz w:val="24"/>
          <w:highlight w:val="none"/>
        </w:rPr>
        <w:t>份，乙方执</w:t>
      </w:r>
      <w:r>
        <w:rPr>
          <w:rFonts w:hint="eastAsia" w:ascii="宋体" w:hAnsi="宋体" w:cs="宋体"/>
          <w:b/>
          <w:bCs/>
          <w:sz w:val="24"/>
          <w:highlight w:val="none"/>
        </w:rPr>
        <w:t>_</w:t>
      </w:r>
      <w:r>
        <w:rPr>
          <w:rFonts w:hint="eastAsia" w:ascii="宋体" w:hAnsi="宋体" w:cs="宋体"/>
          <w:sz w:val="24"/>
          <w:highlight w:val="none"/>
          <w:u w:val="single"/>
        </w:rPr>
        <w:t>贰</w:t>
      </w:r>
      <w:r>
        <w:rPr>
          <w:rFonts w:hint="eastAsia" w:ascii="宋体" w:hAnsi="宋体" w:cs="宋体"/>
          <w:b/>
          <w:bCs/>
          <w:sz w:val="24"/>
          <w:highlight w:val="none"/>
          <w:u w:val="single"/>
        </w:rPr>
        <w:t>_</w:t>
      </w:r>
      <w:r>
        <w:rPr>
          <w:rFonts w:hint="eastAsia" w:ascii="宋体" w:hAnsi="宋体" w:cs="宋体"/>
          <w:sz w:val="24"/>
          <w:highlight w:val="none"/>
        </w:rPr>
        <w:t>份，</w:t>
      </w:r>
      <w:r>
        <w:rPr>
          <w:rFonts w:hint="eastAsia" w:ascii="宋体" w:hAnsi="宋体" w:cs="宋体"/>
          <w:color w:val="000000"/>
          <w:sz w:val="24"/>
          <w:highlight w:val="none"/>
        </w:rPr>
        <w:t>经双方签字并盖章生效，具有同等的法律效力，至合同履行完毕时自行解除。</w:t>
      </w:r>
    </w:p>
    <w:p w14:paraId="51B023D3">
      <w:pPr>
        <w:spacing w:line="360" w:lineRule="auto"/>
        <w:rPr>
          <w:rFonts w:ascii="宋体" w:hAnsi="宋体" w:cs="宋体"/>
          <w:color w:val="000000"/>
          <w:sz w:val="24"/>
          <w:highlight w:val="none"/>
        </w:rPr>
      </w:pPr>
    </w:p>
    <w:tbl>
      <w:tblPr>
        <w:tblStyle w:val="4"/>
        <w:tblW w:w="8300" w:type="dxa"/>
        <w:jc w:val="center"/>
        <w:tblLayout w:type="autofit"/>
        <w:tblCellMar>
          <w:top w:w="0" w:type="dxa"/>
          <w:left w:w="108" w:type="dxa"/>
          <w:bottom w:w="0" w:type="dxa"/>
          <w:right w:w="108" w:type="dxa"/>
        </w:tblCellMar>
      </w:tblPr>
      <w:tblGrid>
        <w:gridCol w:w="4150"/>
        <w:gridCol w:w="4150"/>
      </w:tblGrid>
      <w:tr w14:paraId="6939E019">
        <w:tblPrEx>
          <w:tblCellMar>
            <w:top w:w="0" w:type="dxa"/>
            <w:left w:w="108" w:type="dxa"/>
            <w:bottom w:w="0" w:type="dxa"/>
            <w:right w:w="108" w:type="dxa"/>
          </w:tblCellMar>
        </w:tblPrEx>
        <w:trPr>
          <w:trHeight w:val="540" w:hRule="atLeast"/>
          <w:jc w:val="center"/>
        </w:trPr>
        <w:tc>
          <w:tcPr>
            <w:tcW w:w="0" w:type="auto"/>
            <w:noWrap w:val="0"/>
            <w:vAlign w:val="center"/>
          </w:tcPr>
          <w:p w14:paraId="1C2F053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甲方（盖章）：</w:t>
            </w:r>
          </w:p>
        </w:tc>
        <w:tc>
          <w:tcPr>
            <w:tcW w:w="0" w:type="auto"/>
            <w:noWrap w:val="0"/>
            <w:vAlign w:val="center"/>
          </w:tcPr>
          <w:p w14:paraId="3A690B2A">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乙方（盖章）：</w:t>
            </w:r>
          </w:p>
        </w:tc>
      </w:tr>
      <w:tr w14:paraId="1FB131A5">
        <w:tblPrEx>
          <w:tblCellMar>
            <w:top w:w="0" w:type="dxa"/>
            <w:left w:w="108" w:type="dxa"/>
            <w:bottom w:w="0" w:type="dxa"/>
            <w:right w:w="108" w:type="dxa"/>
          </w:tblCellMar>
        </w:tblPrEx>
        <w:trPr>
          <w:trHeight w:val="540" w:hRule="atLeast"/>
          <w:jc w:val="center"/>
        </w:trPr>
        <w:tc>
          <w:tcPr>
            <w:tcW w:w="0" w:type="auto"/>
            <w:noWrap w:val="0"/>
            <w:vAlign w:val="center"/>
          </w:tcPr>
          <w:p w14:paraId="4127E09C">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0" w:type="auto"/>
            <w:noWrap w:val="0"/>
            <w:vAlign w:val="center"/>
          </w:tcPr>
          <w:p w14:paraId="74C11939">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r>
      <w:tr w14:paraId="7D905045">
        <w:tblPrEx>
          <w:tblCellMar>
            <w:top w:w="0" w:type="dxa"/>
            <w:left w:w="108" w:type="dxa"/>
            <w:bottom w:w="0" w:type="dxa"/>
            <w:right w:w="108" w:type="dxa"/>
          </w:tblCellMar>
        </w:tblPrEx>
        <w:trPr>
          <w:trHeight w:val="1082" w:hRule="atLeast"/>
          <w:jc w:val="center"/>
        </w:trPr>
        <w:tc>
          <w:tcPr>
            <w:tcW w:w="0" w:type="auto"/>
            <w:noWrap w:val="0"/>
            <w:vAlign w:val="center"/>
          </w:tcPr>
          <w:p w14:paraId="5196A22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p w14:paraId="3ADFA847">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c>
          <w:tcPr>
            <w:tcW w:w="0" w:type="auto"/>
            <w:noWrap w:val="0"/>
            <w:vAlign w:val="center"/>
          </w:tcPr>
          <w:p w14:paraId="173F5E7E">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p w14:paraId="4B10E809">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r>
      <w:tr w14:paraId="7613F4AA">
        <w:tblPrEx>
          <w:tblCellMar>
            <w:top w:w="0" w:type="dxa"/>
            <w:left w:w="108" w:type="dxa"/>
            <w:bottom w:w="0" w:type="dxa"/>
            <w:right w:w="108" w:type="dxa"/>
          </w:tblCellMar>
        </w:tblPrEx>
        <w:trPr>
          <w:trHeight w:val="540" w:hRule="atLeast"/>
          <w:jc w:val="center"/>
        </w:trPr>
        <w:tc>
          <w:tcPr>
            <w:tcW w:w="0" w:type="auto"/>
            <w:noWrap w:val="0"/>
            <w:vAlign w:val="center"/>
          </w:tcPr>
          <w:p w14:paraId="0DF23F9A">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0" w:type="auto"/>
            <w:noWrap w:val="0"/>
            <w:vAlign w:val="center"/>
          </w:tcPr>
          <w:p w14:paraId="7B6D8954">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14:paraId="119800F0">
        <w:tblPrEx>
          <w:tblCellMar>
            <w:top w:w="0" w:type="dxa"/>
            <w:left w:w="108" w:type="dxa"/>
            <w:bottom w:w="0" w:type="dxa"/>
            <w:right w:w="108" w:type="dxa"/>
          </w:tblCellMar>
        </w:tblPrEx>
        <w:trPr>
          <w:trHeight w:val="540" w:hRule="atLeast"/>
          <w:jc w:val="center"/>
        </w:trPr>
        <w:tc>
          <w:tcPr>
            <w:tcW w:w="0" w:type="auto"/>
            <w:noWrap w:val="0"/>
            <w:vAlign w:val="center"/>
          </w:tcPr>
          <w:p w14:paraId="6D4EEAA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0" w:type="auto"/>
            <w:noWrap w:val="0"/>
            <w:vAlign w:val="center"/>
          </w:tcPr>
          <w:p w14:paraId="0038CF0D">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r>
      <w:tr w14:paraId="44804837">
        <w:tblPrEx>
          <w:tblCellMar>
            <w:top w:w="0" w:type="dxa"/>
            <w:left w:w="108" w:type="dxa"/>
            <w:bottom w:w="0" w:type="dxa"/>
            <w:right w:w="108" w:type="dxa"/>
          </w:tblCellMar>
        </w:tblPrEx>
        <w:trPr>
          <w:trHeight w:val="540" w:hRule="atLeast"/>
          <w:jc w:val="center"/>
        </w:trPr>
        <w:tc>
          <w:tcPr>
            <w:tcW w:w="0" w:type="auto"/>
            <w:noWrap w:val="0"/>
            <w:vAlign w:val="center"/>
          </w:tcPr>
          <w:p w14:paraId="28DEFDAB">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0" w:type="auto"/>
            <w:noWrap w:val="0"/>
            <w:vAlign w:val="center"/>
          </w:tcPr>
          <w:p w14:paraId="5DE8524E">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w:t>
            </w:r>
          </w:p>
        </w:tc>
      </w:tr>
      <w:tr w14:paraId="753FDEAA">
        <w:tblPrEx>
          <w:tblCellMar>
            <w:top w:w="0" w:type="dxa"/>
            <w:left w:w="108" w:type="dxa"/>
            <w:bottom w:w="0" w:type="dxa"/>
            <w:right w:w="108" w:type="dxa"/>
          </w:tblCellMar>
        </w:tblPrEx>
        <w:trPr>
          <w:trHeight w:val="540" w:hRule="atLeast"/>
          <w:jc w:val="center"/>
        </w:trPr>
        <w:tc>
          <w:tcPr>
            <w:tcW w:w="0" w:type="auto"/>
            <w:noWrap w:val="0"/>
            <w:vAlign w:val="center"/>
          </w:tcPr>
          <w:p w14:paraId="47F4EB3A">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c>
          <w:tcPr>
            <w:tcW w:w="0" w:type="auto"/>
            <w:noWrap w:val="0"/>
            <w:vAlign w:val="center"/>
          </w:tcPr>
          <w:p w14:paraId="16214E59">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r>
      <w:tr w14:paraId="1279DBF1">
        <w:tblPrEx>
          <w:tblCellMar>
            <w:top w:w="0" w:type="dxa"/>
            <w:left w:w="108" w:type="dxa"/>
            <w:bottom w:w="0" w:type="dxa"/>
            <w:right w:w="108" w:type="dxa"/>
          </w:tblCellMar>
        </w:tblPrEx>
        <w:trPr>
          <w:trHeight w:val="540" w:hRule="atLeast"/>
          <w:jc w:val="center"/>
        </w:trPr>
        <w:tc>
          <w:tcPr>
            <w:tcW w:w="0" w:type="auto"/>
            <w:noWrap w:val="0"/>
            <w:vAlign w:val="center"/>
          </w:tcPr>
          <w:p w14:paraId="4DCD0D2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c>
          <w:tcPr>
            <w:tcW w:w="0" w:type="auto"/>
            <w:noWrap w:val="0"/>
            <w:vAlign w:val="center"/>
          </w:tcPr>
          <w:p w14:paraId="5D2275FC">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r>
    </w:tbl>
    <w:p w14:paraId="3811C192">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p>
    <w:p w14:paraId="0FB79EE4">
      <w:pPr>
        <w:adjustRightInd w:val="0"/>
        <w:snapToGrid w:val="0"/>
        <w:spacing w:before="0" w:beforeAutospacing="0" w:after="0" w:afterAutospacing="0" w:line="348" w:lineRule="auto"/>
        <w:jc w:val="left"/>
        <w:rPr>
          <w:rFonts w:asciiTheme="minorHAnsi" w:hAnsiTheme="minorHAnsi" w:eastAsiaTheme="minorEastAsia" w:cstheme="minorBidi"/>
          <w:b/>
          <w:kern w:val="0"/>
          <w:sz w:val="36"/>
          <w:szCs w:val="20"/>
          <w:lang w:eastAsia="zh-Hans"/>
        </w:rPr>
      </w:pPr>
    </w:p>
    <w:p w14:paraId="28F15293"/>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0A22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A5465">
                          <w:pPr>
                            <w:pStyle w:val="3"/>
                          </w:pPr>
                          <w:r>
                            <w:t xml:space="preserve">第 </w:t>
                          </w:r>
                          <w:r>
                            <w:fldChar w:fldCharType="begin"/>
                          </w:r>
                          <w:r>
                            <w:instrText xml:space="preserve"> PAGE  \* MERGEFORMAT </w:instrText>
                          </w:r>
                          <w:r>
                            <w:fldChar w:fldCharType="separate"/>
                          </w:r>
                          <w:r>
                            <w:t>102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11A5465">
                    <w:pPr>
                      <w:pStyle w:val="3"/>
                    </w:pPr>
                    <w:r>
                      <w:t xml:space="preserve">第 </w:t>
                    </w:r>
                    <w:r>
                      <w:fldChar w:fldCharType="begin"/>
                    </w:r>
                    <w:r>
                      <w:instrText xml:space="preserve"> PAGE  \* MERGEFORMAT </w:instrText>
                    </w:r>
                    <w:r>
                      <w:fldChar w:fldCharType="separate"/>
                    </w:r>
                    <w:r>
                      <w:t>102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09374">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B3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2025-07-18T10:14:57Z</dcterms:created>
  <dc:creator>dell</dc:creator>
  <cp:lastModifiedBy>开瑞【代理机构】</cp:lastModifiedBy>
  <dcterms:modified xsi:type="dcterms:W3CDTF">2025-07-18T10:15:12Z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A4ED181A1A1549A6B6F70D5628C342CE_12</vt:lpwstr>
  </property>
</Properties>
</file>