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版本号：ZX2025-07-2420250718001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骊山校园教学楼卫生间维修改造项目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ZX2025-07-24</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骊山校园教学楼卫生间维修改造项目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ZX2025-07-24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骊山校园教学楼卫生间维修改造项目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科技大学骊山校园教学楼卫生间维修改造主要维修改造内容涉及拆除洗手台、拆除瓷砖洗手台、拆除改造矮墙、拆除铝扣板吊顶、拆除拖把池、拆除小便池地台等，新做定制洗手台、铝扣板吊顶、银镜、LED平板灯、换气扇、品牌陶瓷水池、节水龙头、陶瓷拖把池、地面瓷砖及小便池及隔板等内容，并进行暖气片刷漆、管道维修，其他墙地砖修补等，具体根据各教学楼卫生间具体实际情况而定。</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采购包1（骊山校园教学楼卫生间维修改造项目）：属于专门面向中小企业采购。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1、法定代表人授权委托书：法定代表人参加磋商的，须提供法定代表人身份证；法定代表人授权本单位他人参加磋商的，须提供法定代表人授权委托书。</w:t>
      </w:r>
    </w:p>
    <w:p>
      <w:pPr>
        <w:pStyle w:val="null3"/>
      </w:pPr>
      <w:r>
        <w:rPr>
          <w:rFonts w:ascii="仿宋_GB2312" w:hAnsi="仿宋_GB2312" w:cs="仿宋_GB2312" w:eastAsia="仿宋_GB2312"/>
        </w:rPr>
        <w:t>2、不接受联合体投标，不允许分包：本项目不接受联合体投标，不允许分包。供应商应提供《非联合体不分包投标声明》。</w:t>
      </w:r>
    </w:p>
    <w:p>
      <w:pPr>
        <w:pStyle w:val="null3"/>
      </w:pPr>
      <w:r>
        <w:rPr>
          <w:rFonts w:ascii="仿宋_GB2312" w:hAnsi="仿宋_GB2312" w:cs="仿宋_GB2312" w:eastAsia="仿宋_GB2312"/>
        </w:rPr>
        <w:t>3、施工资质：供应商具备建筑装修装饰工程专业承包二级及以上（含二级）资质，同时具备有效期内的安全生产许可证。</w:t>
      </w:r>
    </w:p>
    <w:p>
      <w:pPr>
        <w:pStyle w:val="null3"/>
      </w:pPr>
      <w:r>
        <w:rPr>
          <w:rFonts w:ascii="仿宋_GB2312" w:hAnsi="仿宋_GB2312" w:cs="仿宋_GB2312" w:eastAsia="仿宋_GB2312"/>
        </w:rPr>
        <w:t>4、拟派项目负责人资质和专业要求：拟派项目经理须具备建筑工程专业二级及以上（含二级）注册建造师证书，同时具有安全生产考核合格证（B证），且无其他在建工程（提供无在建工程承诺）。</w:t>
      </w:r>
    </w:p>
    <w:p>
      <w:pPr>
        <w:pStyle w:val="null3"/>
      </w:pPr>
      <w:r>
        <w:rPr>
          <w:rFonts w:ascii="仿宋_GB2312" w:hAnsi="仿宋_GB2312" w:cs="仿宋_GB2312" w:eastAsia="仿宋_GB2312"/>
        </w:rPr>
        <w:t>5、陕西省建筑市场监管与诚信信息发布平台：供应商及供应商拟派项目经理须在“陕西省建筑市场监管与诚信信息发布平台”可查询（附查询结果截图）。</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029-83858191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杨镇萍 王琦 马演 王宇轩 曹婷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水龙头、小便器</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采购包1保证金金额：30,724.00元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供应商凭成交通知书向采购人缴纳合同总价3%的履约保证金，待合同履约完毕后无息退还。交纳形式为银行转账等非现金形式，供应商以银行、保险公司出具保函形式提交履约保证金的，采购单位不得拒收。</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代理服务费收费标准：参照国家计委计价格[2002]1980号及发改办价格[2003]857号通知规定的77.5%，由成交供应商支付代理服务费。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踏勘时间：2025-07-28 10:00:00</w:t>
            </w:r>
          </w:p>
          <w:p>
            <w:pPr>
              <w:pStyle w:val="null3"/>
              <w:ind w:firstLine="975"/>
            </w:pPr>
            <w:r>
              <w:rPr>
                <w:rFonts w:ascii="仿宋_GB2312" w:hAnsi="仿宋_GB2312" w:cs="仿宋_GB2312" w:eastAsia="仿宋_GB2312"/>
              </w:rPr>
              <w:t>踏勘地点：西安科技大学临潼校区骊山校园（西安市临潼区秦唐大道48号）北门（注：现场统一组织踏勘，未进行现场踏勘供应商按照评分标准进行评分。准时踏勘的供应商在集合地点签到，请准时参加，过时不候。代理机构专人组织各供应商签到，迟到供应商一律不予签到；踏勘签到过程及密封过程均录音录像，密封条上各踏勘供应商代表须签字，评审现场监控下拆封复核。）</w:t>
            </w:r>
          </w:p>
          <w:p>
            <w:pPr>
              <w:pStyle w:val="null3"/>
              <w:ind w:firstLine="975"/>
            </w:pPr>
            <w:r>
              <w:rPr>
                <w:rFonts w:ascii="仿宋_GB2312" w:hAnsi="仿宋_GB2312" w:cs="仿宋_GB2312" w:eastAsia="仿宋_GB2312"/>
              </w:rPr>
              <w:t>联系人：王琦</w:t>
            </w:r>
          </w:p>
          <w:p>
            <w:pPr>
              <w:pStyle w:val="null3"/>
              <w:ind w:firstLine="975"/>
            </w:pPr>
            <w:r>
              <w:rPr>
                <w:rFonts w:ascii="仿宋_GB2312" w:hAnsi="仿宋_GB2312" w:cs="仿宋_GB2312" w:eastAsia="仿宋_GB2312"/>
              </w:rPr>
              <w:t>联系电话号码：029-88110800转8028、18202913007</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西安科技大学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按照磋商文件、响应文件和合同文本执行。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联系人：王琦、杨镇萍</w:t>
      </w:r>
    </w:p>
    <w:p>
      <w:pPr>
        <w:pStyle w:val="null3"/>
      </w:pPr>
      <w:r>
        <w:rPr>
          <w:rFonts w:ascii="仿宋_GB2312" w:hAnsi="仿宋_GB2312" w:cs="仿宋_GB2312" w:eastAsia="仿宋_GB2312"/>
        </w:rPr>
        <w:t>联系电话：029-88110800转8028（577124021@qq.com）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1,970,000.00</w:t>
      </w:r>
    </w:p>
    <w:p>
      <w:pPr>
        <w:pStyle w:val="null3"/>
      </w:pPr>
      <w:r>
        <w:rPr>
          <w:rFonts w:ascii="仿宋_GB2312" w:hAnsi="仿宋_GB2312" w:cs="仿宋_GB2312" w:eastAsia="仿宋_GB2312"/>
        </w:rPr>
        <w:t>采购包最高限价（元）: 1,970,000.00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骊山校园教学楼卫生间维修改造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1,970,000.00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标的名称：骊山校园教学楼卫生间维修改造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1、本项目为西安科技大学临潼校区骊山校园1教、2教、3教、实验楼、9教等区域的卫生间改造，具体详见本项目工程量清单、施工图纸及效果图（详见附件）。</w:t>
            </w:r>
          </w:p>
          <w:p>
            <w:pPr>
              <w:pStyle w:val="null3"/>
            </w:pPr>
            <w:r>
              <w:rPr>
                <w:rFonts w:ascii="仿宋_GB2312" w:hAnsi="仿宋_GB2312" w:cs="仿宋_GB2312" w:eastAsia="仿宋_GB2312"/>
              </w:rPr>
              <w:t>2、现场踏勘</w:t>
            </w:r>
          </w:p>
          <w:p>
            <w:pPr>
              <w:pStyle w:val="null3"/>
            </w:pPr>
            <w:r>
              <w:rPr>
                <w:rFonts w:ascii="仿宋_GB2312" w:hAnsi="仿宋_GB2312" w:cs="仿宋_GB2312" w:eastAsia="仿宋_GB2312"/>
              </w:rPr>
              <w:t>①本项目组织统一踏勘。为保证供应商充分了解施工现场环境及现状，合理实施本项目，供应商应踏勘现场，提供更合理的方案和报价。</w:t>
            </w:r>
          </w:p>
          <w:p>
            <w:pPr>
              <w:pStyle w:val="null3"/>
            </w:pPr>
            <w:r>
              <w:rPr>
                <w:rFonts w:ascii="仿宋_GB2312" w:hAnsi="仿宋_GB2312" w:cs="仿宋_GB2312" w:eastAsia="仿宋_GB2312"/>
              </w:rPr>
              <w:t>赋分依据：以代理机构评审现场拆封的踏勘签到表为准。</w:t>
            </w:r>
          </w:p>
          <w:p>
            <w:pPr>
              <w:pStyle w:val="null3"/>
            </w:pPr>
            <w:r>
              <w:rPr>
                <w:rFonts w:ascii="仿宋_GB2312" w:hAnsi="仿宋_GB2312" w:cs="仿宋_GB2312" w:eastAsia="仿宋_GB2312"/>
              </w:rPr>
              <w:t>②凡因对施工现场、施工环境、市场行情等了解不清而造成的后果和风险，由供应商自行承担。供应商充分考虑定额人工费调价、材料价格波动、工期定额、资金拨付、政策性调整、采购需求未能全部罗列验收合格标准中的细节问题等全部未知风险因素，在项目实施过程中不再因为上述任何因素调整价格。</w:t>
            </w:r>
          </w:p>
          <w:p>
            <w:pPr>
              <w:pStyle w:val="null3"/>
            </w:pPr>
            <w:r>
              <w:rPr>
                <w:rFonts w:ascii="仿宋_GB2312" w:hAnsi="仿宋_GB2312" w:cs="仿宋_GB2312" w:eastAsia="仿宋_GB2312"/>
              </w:rPr>
              <w:t>③踏勘相关费用及安全由供应商自行承担。</w:t>
            </w:r>
          </w:p>
          <w:p>
            <w:pPr>
              <w:pStyle w:val="null3"/>
            </w:pPr>
            <w:r>
              <w:rPr>
                <w:rFonts w:ascii="仿宋_GB2312" w:hAnsi="仿宋_GB2312" w:cs="仿宋_GB2312" w:eastAsia="仿宋_GB2312"/>
              </w:rPr>
              <w:t>④踏勘时各供应商有疑问可以在现场提出，由采购人当场解答，否则视为供应商再无疑义。</w:t>
            </w:r>
          </w:p>
          <w:p>
            <w:pPr>
              <w:pStyle w:val="null3"/>
            </w:pPr>
            <w:r>
              <w:rPr>
                <w:rFonts w:ascii="仿宋_GB2312" w:hAnsi="仿宋_GB2312" w:cs="仿宋_GB2312" w:eastAsia="仿宋_GB2312"/>
              </w:rPr>
              <w:t>3、主要关键设备特殊需求表</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关键设备名称</w:t>
                  </w:r>
                </w:p>
              </w:tc>
              <w:tc>
                <w:tcPr>
                  <w:tcW w:type="dxa" w:w="638"/>
                </w:tcPr>
                <w:p>
                  <w:pPr>
                    <w:pStyle w:val="null3"/>
                  </w:pPr>
                  <w:r>
                    <w:rPr>
                      <w:rFonts w:ascii="仿宋_GB2312" w:hAnsi="仿宋_GB2312" w:cs="仿宋_GB2312" w:eastAsia="仿宋_GB2312"/>
                    </w:rPr>
                    <w:t>规格型号</w:t>
                  </w:r>
                </w:p>
              </w:tc>
              <w:tc>
                <w:tcPr>
                  <w:tcW w:type="dxa" w:w="638"/>
                </w:tcPr>
                <w:p>
                  <w:pPr>
                    <w:pStyle w:val="null3"/>
                  </w:pPr>
                  <w:r>
                    <w:rPr>
                      <w:rFonts w:ascii="仿宋_GB2312" w:hAnsi="仿宋_GB2312" w:cs="仿宋_GB2312" w:eastAsia="仿宋_GB2312"/>
                    </w:rPr>
                    <w:t>材质及质量等级</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铝扣板</w:t>
                  </w:r>
                </w:p>
              </w:tc>
              <w:tc>
                <w:tcPr>
                  <w:tcW w:type="dxa" w:w="638"/>
                </w:tcPr>
                <w:p>
                  <w:pPr>
                    <w:pStyle w:val="null3"/>
                  </w:pPr>
                  <w:r>
                    <w:rPr>
                      <w:rFonts w:ascii="仿宋_GB2312" w:hAnsi="仿宋_GB2312" w:cs="仿宋_GB2312" w:eastAsia="仿宋_GB2312"/>
                    </w:rPr>
                    <w:t>300*600*0.7mm</w:t>
                  </w:r>
                </w:p>
              </w:tc>
              <w:tc>
                <w:tcPr>
                  <w:tcW w:type="dxa" w:w="638"/>
                </w:tcPr>
                <w:p>
                  <w:pPr>
                    <w:pStyle w:val="null3"/>
                  </w:pPr>
                  <w:r>
                    <w:rPr>
                      <w:rFonts w:ascii="仿宋_GB2312" w:hAnsi="仿宋_GB2312" w:cs="仿宋_GB2312" w:eastAsia="仿宋_GB2312"/>
                    </w:rPr>
                    <w:t>铝/A级</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隔断</w:t>
                  </w:r>
                </w:p>
              </w:tc>
              <w:tc>
                <w:tcPr>
                  <w:tcW w:type="dxa" w:w="638"/>
                </w:tcPr>
                <w:p>
                  <w:pPr>
                    <w:pStyle w:val="null3"/>
                  </w:pPr>
                  <w:r>
                    <w:rPr>
                      <w:rFonts w:ascii="仿宋_GB2312" w:hAnsi="仿宋_GB2312" w:cs="仿宋_GB2312" w:eastAsia="仿宋_GB2312"/>
                    </w:rPr>
                    <w:t>1200×900×2100mm</w:t>
                  </w:r>
                </w:p>
              </w:tc>
              <w:tc>
                <w:tcPr>
                  <w:tcW w:type="dxa" w:w="638"/>
                </w:tcPr>
                <w:p>
                  <w:pPr>
                    <w:pStyle w:val="null3"/>
                  </w:pPr>
                  <w:r>
                    <w:rPr>
                      <w:rFonts w:ascii="仿宋_GB2312" w:hAnsi="仿宋_GB2312" w:cs="仿宋_GB2312" w:eastAsia="仿宋_GB2312"/>
                    </w:rPr>
                    <w:t>实木贴皮/A级</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 xml:space="preserve"> 小便器</w:t>
                  </w:r>
                </w:p>
              </w:tc>
              <w:tc>
                <w:tcPr>
                  <w:tcW w:type="dxa" w:w="638"/>
                </w:tcPr>
                <w:p>
                  <w:pPr>
                    <w:pStyle w:val="null3"/>
                  </w:pPr>
                  <w:r>
                    <w:rPr>
                      <w:rFonts w:ascii="仿宋_GB2312" w:hAnsi="仿宋_GB2312" w:cs="仿宋_GB2312" w:eastAsia="仿宋_GB2312"/>
                    </w:rPr>
                    <w:t>600× 200× 150mm</w:t>
                  </w:r>
                </w:p>
              </w:tc>
              <w:tc>
                <w:tcPr>
                  <w:tcW w:type="dxa" w:w="638"/>
                </w:tcPr>
                <w:p>
                  <w:pPr>
                    <w:pStyle w:val="null3"/>
                  </w:pPr>
                  <w:r>
                    <w:rPr>
                      <w:rFonts w:ascii="仿宋_GB2312" w:hAnsi="仿宋_GB2312" w:cs="仿宋_GB2312" w:eastAsia="仿宋_GB2312"/>
                    </w:rPr>
                    <w:t xml:space="preserve">卫生陶瓷/一级 </w:t>
                  </w:r>
                </w:p>
              </w:tc>
            </w:tr>
            <w:tr>
              <w:tc>
                <w:tcPr>
                  <w:tcW w:type="dxa" w:w="638"/>
                </w:tcPr>
                <w:p>
                  <w:pPr>
                    <w:pStyle w:val="null3"/>
                  </w:pPr>
                  <w:r>
                    <w:rPr>
                      <w:rFonts w:ascii="仿宋_GB2312" w:hAnsi="仿宋_GB2312" w:cs="仿宋_GB2312" w:eastAsia="仿宋_GB2312"/>
                    </w:rPr>
                    <w:t xml:space="preserve"> 4</w:t>
                  </w:r>
                </w:p>
              </w:tc>
              <w:tc>
                <w:tcPr>
                  <w:tcW w:type="dxa" w:w="638"/>
                </w:tcPr>
                <w:p>
                  <w:pPr>
                    <w:pStyle w:val="null3"/>
                  </w:pPr>
                  <w:r>
                    <w:rPr>
                      <w:rFonts w:ascii="仿宋_GB2312" w:hAnsi="仿宋_GB2312" w:cs="仿宋_GB2312" w:eastAsia="仿宋_GB2312"/>
                    </w:rPr>
                    <w:t>蹲便器按压阀</w:t>
                  </w:r>
                </w:p>
              </w:tc>
              <w:tc>
                <w:tcPr>
                  <w:tcW w:type="dxa" w:w="638"/>
                </w:tcPr>
                <w:p>
                  <w:pPr>
                    <w:pStyle w:val="null3"/>
                  </w:pPr>
                  <w:r>
                    <w:rPr>
                      <w:rFonts w:ascii="仿宋_GB2312" w:hAnsi="仿宋_GB2312" w:cs="仿宋_GB2312" w:eastAsia="仿宋_GB2312"/>
                    </w:rPr>
                    <w:t xml:space="preserve">Q18R3-L5 型 </w:t>
                  </w:r>
                </w:p>
              </w:tc>
              <w:tc>
                <w:tcPr>
                  <w:tcW w:type="dxa" w:w="638"/>
                </w:tcPr>
                <w:p>
                  <w:pPr>
                    <w:pStyle w:val="null3"/>
                  </w:pPr>
                  <w:r>
                    <w:rPr>
                      <w:rFonts w:ascii="仿宋_GB2312" w:hAnsi="仿宋_GB2312" w:cs="仿宋_GB2312" w:eastAsia="仿宋_GB2312"/>
                    </w:rPr>
                    <w:t>不锈钢/一级</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平板灯</w:t>
                  </w:r>
                </w:p>
              </w:tc>
              <w:tc>
                <w:tcPr>
                  <w:tcW w:type="dxa" w:w="638"/>
                </w:tcPr>
                <w:p>
                  <w:pPr>
                    <w:pStyle w:val="null3"/>
                  </w:pPr>
                  <w:r>
                    <w:rPr>
                      <w:rFonts w:ascii="仿宋_GB2312" w:hAnsi="仿宋_GB2312" w:cs="仿宋_GB2312" w:eastAsia="仿宋_GB2312"/>
                    </w:rPr>
                    <w:t>300*600mm</w:t>
                  </w:r>
                </w:p>
              </w:tc>
              <w:tc>
                <w:tcPr>
                  <w:tcW w:type="dxa" w:w="638"/>
                </w:tcPr>
                <w:p>
                  <w:pPr>
                    <w:pStyle w:val="null3"/>
                  </w:pPr>
                  <w:r>
                    <w:rPr>
                      <w:rFonts w:ascii="仿宋_GB2312" w:hAnsi="仿宋_GB2312" w:cs="仿宋_GB2312" w:eastAsia="仿宋_GB2312"/>
                    </w:rPr>
                    <w:t>铝/一级</w:t>
                  </w:r>
                </w:p>
              </w:tc>
            </w:tr>
          </w:tbl>
          <w:p>
            <w:pPr>
              <w:pStyle w:val="null3"/>
              <w:jc w:val="both"/>
            </w:pPr>
            <w:r>
              <w:rPr>
                <w:rFonts w:ascii="仿宋_GB2312" w:hAnsi="仿宋_GB2312" w:cs="仿宋_GB2312" w:eastAsia="仿宋_GB2312"/>
              </w:rPr>
              <w:t>★4、成交供应商成交后需要于合同签订前向方案设计单位支付1.9万元方案设计服务费，该项费用已包含在本项目投标报价中，由供应商自行综合考虑在分项工程报价中，供应商须提供承诺函并加盖供应商公章，否则按无效文件处理。</w:t>
            </w:r>
          </w:p>
          <w:p>
            <w:pPr>
              <w:pStyle w:val="null3"/>
            </w:pPr>
            <w:r>
              <w:rPr>
                <w:rFonts w:ascii="仿宋_GB2312" w:hAnsi="仿宋_GB2312" w:cs="仿宋_GB2312" w:eastAsia="仿宋_GB2312"/>
              </w:rPr>
              <w:t>5、因供应商原因造成工期延误，逾期竣工违约金的计算方法为：因供应商原因，工程工期每延误一天，供应商按10000元/天向采购人支付违约金，如工期延误超过10天（含第10天），采购人还有权单方面解除合同，违约金不足以弥补采购人损失的，供应商应补足。</w:t>
            </w:r>
          </w:p>
          <w:p>
            <w:pPr>
              <w:pStyle w:val="null3"/>
            </w:pPr>
            <w:r>
              <w:rPr>
                <w:rFonts w:ascii="仿宋_GB2312" w:hAnsi="仿宋_GB2312" w:cs="仿宋_GB2312" w:eastAsia="仿宋_GB2312"/>
              </w:rPr>
              <w:t>当供应商在规定工期内未完成本项目承包范围内施工内容，采购人有权利对分项工程进行单独分包，由采购人直接与具有相应资质的分包单位另行签订合同并结算，该部分工程量从承包范围中直接扣除，同时，供应商应支付约定的违约金，违约金不足以弥补采购人损失的，供应商应补足。</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质量标准执行国家、陕西省、西安市现行工程质量验评标准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1.工期要求：45个日历日。 2.施工地点：西安科技大学指定地点。 3.质保期：2年。 属于保修范围和内容的项目，供应商应在接到维修通知后，1天内派人维修。发生紧急抢修事故（如上水管跑水、爆裂，供电设施漏、断电等），供应商应在接到事故通知后 6小时内到达事故现场并于3小时内完成应急维修。 4.工程质量：合格。 5.采购资金的支付方式及时间：（1）合同签订后，供应商向采购人缴纳成交金额的3%作为履约保证金，采购人支付合同金额的40%作为预付款；（2）工程完工经学校验收合格后支付20%工程款；（3）经工程审计，支付至审定价的100%。</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3.3.1磋商保证金注意事项：（1）磋商保证金须从供应商户名支付，如从个人户名或非供应商户名支付，将被拒绝，视为自动放弃投标权利（该个人是供应商的情形除外）；以保函形式交纳磋商保证金的，供应商应在磋商截止时间前将保函扫描成清晰的PDF文件，发送至邮箱2559647209@qq.com（邮件命名：项目编号），并将保函原件单独递交至代理机构财务；供应商应在响应文件中附保函复印件。保函必须由具有开具投标保函资格的单位开具；若供应商违约，开具保函单位承担 连带责任； （2）磋商保证金的提交金额、时间不满足磋商文件要求的，响应无效； （3）磋商保证金以采购代理机构到账凭证为准，供应商无需更换交纳凭证，由采购代理机构统一提供。 （4）未按指定账户提交的，我公司将退回，供应商须在文件递交截止时间前按照指定账户再次提交。 3.3.2报价说明 （1）供应商应充分考虑磋商文件的各项要求和本工程的实际情况，根据自身实力，充分考虑材料价格、人工费、物价上涨等市场变化的风险，自主报价，风险自担。（2）不可竞争的规费、税金、安全文明施工费按计价规则的规定计取，营改增按陕建发调整陕西省建设工程计价依据的通知执行，磋商报价中包含所有费用。（3）本工程材料采购需采购人进行认质。 3.3.3成交通知书发出后，成交供应商需提供响应文件正本壹份、副本贰份、电子版壹套(U盘一套标明供应商名称)且提供的响应文件纸质版与电子版必须与在陕西省政府采购网电子化交易系统上提交的电子响应文件内容一致。 3.3.4因磋商现场时间有限，供应商难以做到最终报价总价的分项按照广联达格式拆分，故只能报最终报价的总价。若最终报价在签订合同时，进行分项报价拆分时，因各种因素导致广联达拆分后的总价与最终报价大概率会不一致，若两者误差在0.5‰，甲乙双方均应认可。此约定不改变本项目的付款方式，最终结算学校工程审计后方可结算。</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7月1日以来至少一个月的纳税证明或完税证明，纳税证明或完税证明上应有代收机构或税务机关的公章或业务专用章；其他组织和自然人提供自2024年7月1日以来至少一个月缴纳税收的凭据；依法免税的或者依法不需缴税的供应商应提供相关文件证明； ③社会保障资金缴纳证明：提供自2024年7月1日以来至少一个月已缴纳的社会保障资金的证明（社会保障资金缴存单据或社保机构开具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响应文件截止时间不足一年的可提供成立后任意时段的资产负债表），或提交自2025年1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1供应商资格证明文件.docx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w:t>
            </w:r>
          </w:p>
        </w:tc>
        <w:tc>
          <w:tcPr>
            <w:tcW w:type="dxa" w:w="1661"/>
          </w:tcPr>
          <w:p>
            <w:pPr>
              <w:pStyle w:val="null3"/>
            </w:pPr>
            <w:r>
              <w:rPr>
                <w:rFonts w:ascii="仿宋_GB2312" w:hAnsi="仿宋_GB2312" w:cs="仿宋_GB2312" w:eastAsia="仿宋_GB2312"/>
              </w:rPr>
              <w:t>1供应商资格证明文件.docx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本项目不接受联合体投标，不允许分包。供应商应提供《非联合体不分包投标声明》。</w:t>
            </w:r>
          </w:p>
        </w:tc>
        <w:tc>
          <w:tcPr>
            <w:tcW w:type="dxa" w:w="1661"/>
          </w:tcPr>
          <w:p>
            <w:pPr>
              <w:pStyle w:val="null3"/>
            </w:pPr>
            <w:r>
              <w:rPr>
                <w:rFonts w:ascii="仿宋_GB2312" w:hAnsi="仿宋_GB2312" w:cs="仿宋_GB2312" w:eastAsia="仿宋_GB2312"/>
              </w:rPr>
              <w:t>1供应商资格证明文件.docx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施工资质</w:t>
            </w:r>
          </w:p>
        </w:tc>
        <w:tc>
          <w:tcPr>
            <w:tcW w:type="dxa" w:w="3322"/>
          </w:tcPr>
          <w:p>
            <w:pPr>
              <w:pStyle w:val="null3"/>
            </w:pPr>
            <w:r>
              <w:rPr>
                <w:rFonts w:ascii="仿宋_GB2312" w:hAnsi="仿宋_GB2312" w:cs="仿宋_GB2312" w:eastAsia="仿宋_GB2312"/>
              </w:rPr>
              <w:t>供应商具备建筑装修装饰工程专业承包二级及以上（含二级）资质，同时具备有效期内的安全生产许可证。</w:t>
            </w:r>
          </w:p>
        </w:tc>
        <w:tc>
          <w:tcPr>
            <w:tcW w:type="dxa" w:w="1661"/>
          </w:tcPr>
          <w:p>
            <w:pPr>
              <w:pStyle w:val="null3"/>
            </w:pPr>
            <w:r>
              <w:rPr>
                <w:rFonts w:ascii="仿宋_GB2312" w:hAnsi="仿宋_GB2312" w:cs="仿宋_GB2312" w:eastAsia="仿宋_GB2312"/>
              </w:rPr>
              <w:t>1供应商资格证明文件.docx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拟派项目经理须具备建筑工程专业二级及以上（含二级）注册建造师证书，同时具有安全生产考核合格证（B证），且无其他在建工程（提供无在建工程承诺）。</w:t>
            </w:r>
          </w:p>
        </w:tc>
        <w:tc>
          <w:tcPr>
            <w:tcW w:type="dxa" w:w="1661"/>
          </w:tcPr>
          <w:p>
            <w:pPr>
              <w:pStyle w:val="null3"/>
            </w:pPr>
            <w:r>
              <w:rPr>
                <w:rFonts w:ascii="仿宋_GB2312" w:hAnsi="仿宋_GB2312" w:cs="仿宋_GB2312" w:eastAsia="仿宋_GB2312"/>
              </w:rPr>
              <w:t>1供应商资格证明文件.docx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陕西省建筑市场监管与诚信信息发布平台</w:t>
            </w:r>
          </w:p>
        </w:tc>
        <w:tc>
          <w:tcPr>
            <w:tcW w:type="dxa" w:w="3322"/>
          </w:tcPr>
          <w:p>
            <w:pPr>
              <w:pStyle w:val="null3"/>
            </w:pPr>
            <w:r>
              <w:rPr>
                <w:rFonts w:ascii="仿宋_GB2312" w:hAnsi="仿宋_GB2312" w:cs="仿宋_GB2312" w:eastAsia="仿宋_GB2312"/>
              </w:rPr>
              <w:t>供应商及供应商拟派项目经理须在“陕西省建筑市场监管与诚信信息发布平台”可查询（附查询结果截图）。</w:t>
            </w:r>
          </w:p>
        </w:tc>
        <w:tc>
          <w:tcPr>
            <w:tcW w:type="dxa" w:w="1661"/>
          </w:tcPr>
          <w:p>
            <w:pPr>
              <w:pStyle w:val="null3"/>
            </w:pPr>
            <w:r>
              <w:rPr>
                <w:rFonts w:ascii="仿宋_GB2312" w:hAnsi="仿宋_GB2312" w:cs="仿宋_GB2312" w:eastAsia="仿宋_GB2312"/>
              </w:rPr>
              <w:t>1供应商资格证明文件.docx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响应文件按照磋商文件规定要求签署、盖章的</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报价未超过磋商文件中规定的最高限价的</w:t>
            </w:r>
          </w:p>
        </w:tc>
        <w:tc>
          <w:tcPr>
            <w:tcW w:type="dxa" w:w="1661"/>
          </w:tcPr>
          <w:p>
            <w:pPr>
              <w:pStyle w:val="null3"/>
            </w:pPr>
            <w:r>
              <w:rPr>
                <w:rFonts w:ascii="仿宋_GB2312" w:hAnsi="仿宋_GB2312" w:cs="仿宋_GB2312" w:eastAsia="仿宋_GB2312"/>
              </w:rPr>
              <w:t>已标价工程量清单 报价函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满足本磋商文件中“三、针对本项目的其他技术服务要求”和“技术参数与性能指标”中加★项要求的</w:t>
            </w:r>
          </w:p>
        </w:tc>
        <w:tc>
          <w:tcPr>
            <w:tcW w:type="dxa" w:w="1661"/>
          </w:tcPr>
          <w:p>
            <w:pPr>
              <w:pStyle w:val="null3"/>
            </w:pPr>
            <w:r>
              <w:rPr>
                <w:rFonts w:ascii="仿宋_GB2312" w:hAnsi="仿宋_GB2312" w:cs="仿宋_GB2312" w:eastAsia="仿宋_GB2312"/>
              </w:rPr>
              <w:t>3商务部分偏离表.docx 4设计服务费承诺书.docx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2承诺书.docx 强制优先采购产品承诺函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供应商提供针对本项目施工组织设计，包括①施工方案（内容包括但不限于施工准备、施工阶段划分及施工方法、分项工程施工方案等）、②工程质量技术组织措施、③应急保障措施、④安全生产与文明施工组织措施方面。根据其内容是否齐全、是否合理、是否契合项目需求等综合评审。 1.方案包括上述4部分内容，且各项内容详细完善、合理可行，契合本项目采购需求，同时方案中部分响应优于国家及行业相关规范（有醒目说明），计16分； 2.方案包括上述4部分内容，且部分内容详细、合理，基本契合本项目采购需求，方案响应符合国家标准的计14分； 3.方案包括上述3部分内容，且各项内容详细完善、合理可行，契合本项目采购需求，同时方案中部分响应优于国家及行业相关规范（有醒目说明），计12分； 4.方案包括上述3部分内容，且部分内容详细、合理，基本契合本项目采购需求，方案响应符合国家标准的，计10分； 5.方案包括上述2部分内容，且各项内容详细完善、合理可行，契合本项目采购需求，计8分； 6.方案包括上述2部分内容，且部分内容详细、合理，基本契合本项目采购需求，计6分； 7.方案包括上述1部分内容，且提供方案均详细、合理，契合本项目采购需求，计4分； 8.方案包括上述1部分内容，但内容欠缺、可行性一般，计2分； 9.未提供不计分。 备注：1、上述内容，各供应商必须在响应文件施工组织设计模块中清晰体现。2、国家及行业相关规范应是现行有效规范，优于国标规范的需要提供说明及必要的证明材料。</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5施工组织设计.docx</w:t>
            </w:r>
          </w:p>
        </w:tc>
      </w:tr>
      <w:tr>
        <w:tc>
          <w:tcPr>
            <w:tcW w:type="dxa" w:w="831"/>
            <w:vMerge/>
          </w:tcPr>
          <w:p/>
        </w:tc>
        <w:tc>
          <w:tcPr>
            <w:tcW w:type="dxa" w:w="1661"/>
          </w:tcPr>
          <w:p>
            <w:pPr>
              <w:pStyle w:val="null3"/>
            </w:pPr>
            <w:r>
              <w:rPr>
                <w:rFonts w:ascii="仿宋_GB2312" w:hAnsi="仿宋_GB2312" w:cs="仿宋_GB2312" w:eastAsia="仿宋_GB2312"/>
              </w:rPr>
              <w:t>施工计划</w:t>
            </w:r>
          </w:p>
        </w:tc>
        <w:tc>
          <w:tcPr>
            <w:tcW w:type="dxa" w:w="2492"/>
          </w:tcPr>
          <w:p>
            <w:pPr>
              <w:pStyle w:val="null3"/>
            </w:pPr>
            <w:r>
              <w:rPr>
                <w:rFonts w:ascii="仿宋_GB2312" w:hAnsi="仿宋_GB2312" w:cs="仿宋_GB2312" w:eastAsia="仿宋_GB2312"/>
              </w:rPr>
              <w:t>供应商提供针对本项目施工计划，包括①施工进度计划（内容包括但不限于进度计划安排表、进度保障措施等）②施工机械配备和材料投入计划（内容包括但不限于设备、材料选型与工程特征匹配、结合施工进度制定分阶段采购清单等）③劳动力安排与计划（内容包括但不限于人员配置情况、人员进场安排情况、人员职责分工）。根据其内容是否齐全、是否合理、是否契合项目需求等综合评审。 1.计划包括上述3部分内容，且各项内容详细完善、合理可行，契合本项目采购需求，计8分； 2.计划包括上述3部分内容，且部分内容详细、合理，基本契合本项目采购需求的计6分； 3.计划包括上述2部分内容，且各项内容详细完善、合理可行，计4分； 4.计划包括上述2部分内容，且部分内容详细、合理，基本契合本项目采购需求，计2分； 5.上述情形之外的，均不计分。 备注：上述内容，各供应商必须在响应文件施工计划模块中清晰体现。</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6施工计划.docx</w:t>
            </w:r>
          </w:p>
        </w:tc>
      </w:tr>
      <w:tr>
        <w:tc>
          <w:tcPr>
            <w:tcW w:type="dxa" w:w="831"/>
            <w:vMerge/>
          </w:tcPr>
          <w:p/>
        </w:tc>
        <w:tc>
          <w:tcPr>
            <w:tcW w:type="dxa" w:w="1661"/>
          </w:tcPr>
          <w:p>
            <w:pPr>
              <w:pStyle w:val="null3"/>
            </w:pPr>
            <w:r>
              <w:rPr>
                <w:rFonts w:ascii="仿宋_GB2312" w:hAnsi="仿宋_GB2312" w:cs="仿宋_GB2312" w:eastAsia="仿宋_GB2312"/>
              </w:rPr>
              <w:t>主要材料选择</w:t>
            </w:r>
          </w:p>
        </w:tc>
        <w:tc>
          <w:tcPr>
            <w:tcW w:type="dxa" w:w="2492"/>
          </w:tcPr>
          <w:p>
            <w:pPr>
              <w:pStyle w:val="null3"/>
            </w:pPr>
            <w:r>
              <w:rPr>
                <w:rFonts w:ascii="仿宋_GB2312" w:hAnsi="仿宋_GB2312" w:cs="仿宋_GB2312" w:eastAsia="仿宋_GB2312"/>
              </w:rPr>
              <w:t>供应商提供所投主要材料清单，清单内容包括但不限于所投主要材料名称、品牌、规格、技术参数。 1.设备明细，技术指标完全满足采购需求，设备选型全部合理，契合本项目采购需求，计10分； 2.设备明细，技术指标完全满足采购需求，设备选型部分合理，基本契合本项目采购需求，计8分； 3.设备明细提供齐全，但技术指标与采购需求存在1项偏差，选型部分合理，基本契合本项目采购需求，计6分； 4.设备明细提供齐全，但技术指标与采购需求存在2项偏差，选型部分合理，基本契合本项目采购需求，计4分； 5.设备明细提供齐全，但技术指标与采购需求存在3项偏差，设备选型部分合理，计2分； 6.上述情形之外的，均计0分。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7主要材料选择.docx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针对本项目对材料质量要求，供应商提供拟投入本项目的新技术、新产品、新工艺、新材料。内容包括但不限于拟投入新技术、新产品、新工艺、新材料的明细清单、应用案例以及相应的技术证明文件。每提供1个完整可行的新技术/新产品/新工艺/新材料应用计2分，满分6分。 注：①一个完整的新技术/新产品/新工艺/新材料应用，须同时提供应用案例以及相应的技术证明文件。 ②供应商拟投入的新技术/新产品/新工艺/新材料是否可行，须经磋商小组一致认定。</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8新技术、新产品、新工艺、新材料应用.docx</w:t>
            </w:r>
          </w:p>
        </w:tc>
      </w:tr>
      <w:tr>
        <w:tc>
          <w:tcPr>
            <w:tcW w:type="dxa" w:w="831"/>
            <w:vMerge/>
          </w:tcPr>
          <w:p/>
        </w:tc>
        <w:tc>
          <w:tcPr>
            <w:tcW w:type="dxa" w:w="1661"/>
          </w:tcPr>
          <w:p>
            <w:pPr>
              <w:pStyle w:val="null3"/>
            </w:pPr>
            <w:r>
              <w:rPr>
                <w:rFonts w:ascii="仿宋_GB2312" w:hAnsi="仿宋_GB2312" w:cs="仿宋_GB2312" w:eastAsia="仿宋_GB2312"/>
              </w:rPr>
              <w:t>踏勘</w:t>
            </w:r>
          </w:p>
        </w:tc>
        <w:tc>
          <w:tcPr>
            <w:tcW w:type="dxa" w:w="2492"/>
          </w:tcPr>
          <w:p>
            <w:pPr>
              <w:pStyle w:val="null3"/>
            </w:pPr>
            <w:r>
              <w:rPr>
                <w:rFonts w:ascii="仿宋_GB2312" w:hAnsi="仿宋_GB2312" w:cs="仿宋_GB2312" w:eastAsia="仿宋_GB2312"/>
              </w:rPr>
              <w:t>为保证供应商充分了解施工现场环境及现状，合理实施本项目，供应商需对现场进行踏勘，参与本项目踏勘的供应商计2分。对于未参与本项目踏勘的供应商本项不得分。 赋分依据：以代理机构评审现场拆封的踏勘签到表为准。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2承诺书.docx</w:t>
            </w:r>
          </w:p>
        </w:tc>
      </w:tr>
      <w:tr>
        <w:tc>
          <w:tcPr>
            <w:tcW w:type="dxa" w:w="831"/>
            <w:vMerge/>
          </w:tcPr>
          <w:p/>
        </w:tc>
        <w:tc>
          <w:tcPr>
            <w:tcW w:type="dxa" w:w="1661"/>
          </w:tcPr>
          <w:p>
            <w:pPr>
              <w:pStyle w:val="null3"/>
            </w:pPr>
            <w:r>
              <w:rPr>
                <w:rFonts w:ascii="仿宋_GB2312" w:hAnsi="仿宋_GB2312" w:cs="仿宋_GB2312" w:eastAsia="仿宋_GB2312"/>
              </w:rPr>
              <w:t>项目经理部</w:t>
            </w:r>
          </w:p>
        </w:tc>
        <w:tc>
          <w:tcPr>
            <w:tcW w:type="dxa" w:w="2492"/>
          </w:tcPr>
          <w:p>
            <w:pPr>
              <w:pStyle w:val="null3"/>
            </w:pPr>
            <w:r>
              <w:rPr>
                <w:rFonts w:ascii="仿宋_GB2312" w:hAnsi="仿宋_GB2312" w:cs="仿宋_GB2312" w:eastAsia="仿宋_GB2312"/>
              </w:rPr>
              <w:t>供应商针对本项目提供项目经理部组成方案。 方案内容包括但不限于①层级清晰的组织机构设置、②职责分工、③管理制度。 每提供上述一项内容计2分，满分6分。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9项目经理部.docx</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供应商承诺的质保期在满足磋商文件要求（2年）的基础上，每增加1年计1分，满分5分。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3商务部分偏离表.docx</w:t>
            </w:r>
          </w:p>
        </w:tc>
      </w:tr>
      <w:tr>
        <w:tc>
          <w:tcPr>
            <w:tcW w:type="dxa" w:w="831"/>
            <w:vMerge/>
          </w:tcPr>
          <w:p/>
        </w:tc>
        <w:tc>
          <w:tcPr>
            <w:tcW w:type="dxa" w:w="1661"/>
          </w:tcPr>
          <w:p>
            <w:pPr>
              <w:pStyle w:val="null3"/>
            </w:pPr>
            <w:r>
              <w:rPr>
                <w:rFonts w:ascii="仿宋_GB2312" w:hAnsi="仿宋_GB2312" w:cs="仿宋_GB2312" w:eastAsia="仿宋_GB2312"/>
              </w:rPr>
              <w:t>工期</w:t>
            </w:r>
          </w:p>
        </w:tc>
        <w:tc>
          <w:tcPr>
            <w:tcW w:type="dxa" w:w="2492"/>
          </w:tcPr>
          <w:p>
            <w:pPr>
              <w:pStyle w:val="null3"/>
            </w:pPr>
            <w:r>
              <w:rPr>
                <w:rFonts w:ascii="仿宋_GB2312" w:hAnsi="仿宋_GB2312" w:cs="仿宋_GB2312" w:eastAsia="仿宋_GB2312"/>
              </w:rPr>
              <w:t>供应商承诺的工期在满足磋商文件要求（45个日历日）的基础上，每提前2个日历日计1分，满分5分。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3商务部分偏离表.docx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供应商提供2022年1月1日（以合同签订日期为准）至今承担过的类似项目的业绩合同，每提供一份计2分，满分10分。 注：（1）响应文件须提供中标通知书、合同、以及工程接收证书或工程竣工验收证书复印件资料并加盖供应商公章，以上资料须同时具备且相互印证相符才能得分； （2）证明材料须字迹清晰，如无法辨认或有歧义等情况带来的不利后果由供应商承担。 （3）供应商提供虚假材料的，则响应文件无效。已经签订合同的，采购人有权解除合同。由此造成的所有损失，全部由供应商承担。</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11业绩.docx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磋商产品中每有一项为节能产品经国家认证的得1分，每有一项为环境标志产品经国家认证的得1分，最多得2分。（以经国家确定的认证机构出具的、处于有效期内的节能产品、环境标志产品认证证书为准。） 注：水龙头、小便器为强制节能产品，不参与本项评分。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价格分统一采用低价优先法计算，即满足磋商文件要求且响应价格最低的响应报价为评标基准价，其价格分为满分。其他供应商的价格分统一按照下列公式计算： 价格分=(评标基准价／响应报价)×报价分值。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详见附件：1供应商资格证明文件.docx</w:t>
      </w:r>
    </w:p>
    <w:p>
      <w:pPr>
        <w:pStyle w:val="null3"/>
        <w:ind w:firstLine="960"/>
      </w:pPr>
      <w:r>
        <w:rPr>
          <w:rFonts w:ascii="仿宋_GB2312" w:hAnsi="仿宋_GB2312" w:cs="仿宋_GB2312" w:eastAsia="仿宋_GB2312"/>
        </w:rPr>
        <w:t>详见附件：2承诺书.docx</w:t>
      </w:r>
    </w:p>
    <w:p>
      <w:pPr>
        <w:pStyle w:val="null3"/>
        <w:ind w:firstLine="960"/>
      </w:pPr>
      <w:r>
        <w:rPr>
          <w:rFonts w:ascii="仿宋_GB2312" w:hAnsi="仿宋_GB2312" w:cs="仿宋_GB2312" w:eastAsia="仿宋_GB2312"/>
        </w:rPr>
        <w:t>详见附件：3商务部分偏离表.docx</w:t>
      </w:r>
    </w:p>
    <w:p>
      <w:pPr>
        <w:pStyle w:val="null3"/>
        <w:ind w:firstLine="960"/>
      </w:pPr>
      <w:r>
        <w:rPr>
          <w:rFonts w:ascii="仿宋_GB2312" w:hAnsi="仿宋_GB2312" w:cs="仿宋_GB2312" w:eastAsia="仿宋_GB2312"/>
        </w:rPr>
        <w:t>详见附件：4设计服务费承诺书.docx</w:t>
      </w:r>
    </w:p>
    <w:p>
      <w:pPr>
        <w:pStyle w:val="null3"/>
        <w:ind w:firstLine="960"/>
      </w:pPr>
      <w:r>
        <w:rPr>
          <w:rFonts w:ascii="仿宋_GB2312" w:hAnsi="仿宋_GB2312" w:cs="仿宋_GB2312" w:eastAsia="仿宋_GB2312"/>
        </w:rPr>
        <w:t>详见附件：5施工组织设计.docx</w:t>
      </w:r>
    </w:p>
    <w:p>
      <w:pPr>
        <w:pStyle w:val="null3"/>
        <w:ind w:firstLine="960"/>
      </w:pPr>
      <w:r>
        <w:rPr>
          <w:rFonts w:ascii="仿宋_GB2312" w:hAnsi="仿宋_GB2312" w:cs="仿宋_GB2312" w:eastAsia="仿宋_GB2312"/>
        </w:rPr>
        <w:t>详见附件：6施工计划.docx</w:t>
      </w:r>
    </w:p>
    <w:p>
      <w:pPr>
        <w:pStyle w:val="null3"/>
        <w:ind w:firstLine="960"/>
      </w:pPr>
      <w:r>
        <w:rPr>
          <w:rFonts w:ascii="仿宋_GB2312" w:hAnsi="仿宋_GB2312" w:cs="仿宋_GB2312" w:eastAsia="仿宋_GB2312"/>
        </w:rPr>
        <w:t>详见附件：7主要材料选择.docx</w:t>
      </w:r>
    </w:p>
    <w:p>
      <w:pPr>
        <w:pStyle w:val="null3"/>
        <w:ind w:firstLine="960"/>
      </w:pPr>
      <w:r>
        <w:rPr>
          <w:rFonts w:ascii="仿宋_GB2312" w:hAnsi="仿宋_GB2312" w:cs="仿宋_GB2312" w:eastAsia="仿宋_GB2312"/>
        </w:rPr>
        <w:t>详见附件：8新技术、新产品、新工艺、新材料应用.docx</w:t>
      </w:r>
    </w:p>
    <w:p>
      <w:pPr>
        <w:pStyle w:val="null3"/>
        <w:ind w:firstLine="960"/>
      </w:pPr>
      <w:r>
        <w:rPr>
          <w:rFonts w:ascii="仿宋_GB2312" w:hAnsi="仿宋_GB2312" w:cs="仿宋_GB2312" w:eastAsia="仿宋_GB2312"/>
        </w:rPr>
        <w:t>详见附件：9项目经理部.docx</w:t>
      </w:r>
    </w:p>
    <w:p>
      <w:pPr>
        <w:pStyle w:val="null3"/>
        <w:ind w:firstLine="960"/>
      </w:pPr>
      <w:r>
        <w:rPr>
          <w:rFonts w:ascii="仿宋_GB2312" w:hAnsi="仿宋_GB2312" w:cs="仿宋_GB2312" w:eastAsia="仿宋_GB2312"/>
        </w:rPr>
        <w:t>详见附件：10节能环保.docx</w:t>
      </w:r>
    </w:p>
    <w:p>
      <w:pPr>
        <w:pStyle w:val="null3"/>
        <w:ind w:firstLine="960"/>
      </w:pPr>
      <w:r>
        <w:rPr>
          <w:rFonts w:ascii="仿宋_GB2312" w:hAnsi="仿宋_GB2312" w:cs="仿宋_GB2312" w:eastAsia="仿宋_GB2312"/>
        </w:rPr>
        <w:t>详见附件：11业绩.docx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