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8117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sz w:val="44"/>
          <w:szCs w:val="44"/>
          <w:highlight w:val="none"/>
          <w:lang w:val="en-US" w:eastAsia="zh-CN"/>
        </w:rPr>
      </w:pPr>
    </w:p>
    <w:p w14:paraId="154DAAD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sz w:val="44"/>
          <w:szCs w:val="44"/>
          <w:highlight w:val="none"/>
          <w:lang w:val="en-US" w:eastAsia="zh-CN"/>
        </w:rPr>
      </w:pPr>
    </w:p>
    <w:p w14:paraId="14B20F2C">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sz w:val="44"/>
          <w:szCs w:val="44"/>
          <w:highlight w:val="none"/>
          <w:lang w:val="en-US" w:eastAsia="zh-CN"/>
        </w:rPr>
      </w:pPr>
    </w:p>
    <w:p w14:paraId="41B223B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sz w:val="44"/>
          <w:szCs w:val="44"/>
          <w:highlight w:val="none"/>
          <w:lang w:val="en-US" w:eastAsia="zh-CN"/>
        </w:rPr>
      </w:pPr>
    </w:p>
    <w:p w14:paraId="60FEA56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西安邮电大学长安校区西区</w:t>
      </w:r>
    </w:p>
    <w:p w14:paraId="097A795B">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7号学生公寓楼项目场地清表及考古发掘</w:t>
      </w:r>
    </w:p>
    <w:p w14:paraId="08FC171E">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劳务配合服务采购项目</w:t>
      </w:r>
    </w:p>
    <w:p w14:paraId="42B0DFD8">
      <w:pPr>
        <w:jc w:val="center"/>
        <w:rPr>
          <w:rFonts w:hint="eastAsia" w:ascii="宋体" w:hAnsi="宋体" w:cs="宋体"/>
          <w:b/>
          <w:bCs/>
          <w:sz w:val="44"/>
          <w:szCs w:val="44"/>
          <w:highlight w:val="none"/>
        </w:rPr>
      </w:pPr>
    </w:p>
    <w:p w14:paraId="6CC27F9C">
      <w:pPr>
        <w:jc w:val="center"/>
        <w:rPr>
          <w:rFonts w:hint="eastAsia" w:ascii="宋体" w:hAnsi="宋体" w:cs="宋体"/>
          <w:b/>
          <w:bCs/>
          <w:sz w:val="44"/>
          <w:szCs w:val="44"/>
          <w:highlight w:val="none"/>
        </w:rPr>
      </w:pPr>
    </w:p>
    <w:p w14:paraId="4FFBD790">
      <w:pPr>
        <w:jc w:val="center"/>
        <w:rPr>
          <w:rFonts w:hint="eastAsia" w:ascii="宋体" w:hAnsi="宋体" w:cs="宋体"/>
          <w:b/>
          <w:bCs/>
          <w:sz w:val="44"/>
          <w:szCs w:val="44"/>
          <w:highlight w:val="none"/>
        </w:rPr>
      </w:pPr>
      <w:bookmarkStart w:id="0" w:name="_GoBack"/>
      <w:bookmarkEnd w:id="0"/>
    </w:p>
    <w:p w14:paraId="6B2907B1">
      <w:pPr>
        <w:pStyle w:val="2"/>
        <w:rPr>
          <w:rFonts w:hint="eastAsia"/>
          <w:highlight w:val="none"/>
        </w:rPr>
      </w:pPr>
    </w:p>
    <w:p w14:paraId="405C3236">
      <w:pPr>
        <w:jc w:val="center"/>
        <w:rPr>
          <w:rFonts w:hint="eastAsia" w:ascii="宋体" w:hAnsi="宋体" w:cs="宋体"/>
          <w:b/>
          <w:bCs/>
          <w:sz w:val="44"/>
          <w:szCs w:val="44"/>
          <w:highlight w:val="none"/>
        </w:rPr>
      </w:pPr>
      <w:r>
        <w:rPr>
          <w:rFonts w:hint="eastAsia" w:ascii="宋体" w:hAnsi="宋体" w:cs="宋体"/>
          <w:b/>
          <w:bCs/>
          <w:sz w:val="44"/>
          <w:szCs w:val="44"/>
          <w:highlight w:val="none"/>
          <w:lang w:val="en-US" w:eastAsia="zh-CN"/>
        </w:rPr>
        <w:t>服务</w:t>
      </w:r>
      <w:r>
        <w:rPr>
          <w:rFonts w:hint="eastAsia" w:ascii="宋体" w:hAnsi="宋体" w:cs="宋体"/>
          <w:b/>
          <w:bCs/>
          <w:sz w:val="44"/>
          <w:szCs w:val="44"/>
          <w:highlight w:val="none"/>
        </w:rPr>
        <w:t>合同</w:t>
      </w:r>
    </w:p>
    <w:p w14:paraId="0416D2BB">
      <w:pPr>
        <w:jc w:val="center"/>
        <w:rPr>
          <w:rFonts w:hint="eastAsia" w:ascii="宋体" w:hAnsi="宋体" w:cs="宋体"/>
          <w:b/>
          <w:bCs/>
          <w:sz w:val="44"/>
          <w:szCs w:val="44"/>
          <w:highlight w:val="none"/>
        </w:rPr>
      </w:pPr>
    </w:p>
    <w:p w14:paraId="7B2A37FB">
      <w:pPr>
        <w:jc w:val="center"/>
        <w:rPr>
          <w:rFonts w:hint="eastAsia" w:ascii="宋体" w:hAnsi="宋体" w:cs="宋体"/>
          <w:b/>
          <w:bCs/>
          <w:sz w:val="44"/>
          <w:szCs w:val="44"/>
          <w:highlight w:val="none"/>
        </w:rPr>
      </w:pPr>
    </w:p>
    <w:p w14:paraId="680349D4">
      <w:pPr>
        <w:jc w:val="center"/>
        <w:rPr>
          <w:rFonts w:hint="eastAsia" w:ascii="宋体" w:hAnsi="宋体" w:cs="宋体"/>
          <w:b/>
          <w:bCs/>
          <w:sz w:val="44"/>
          <w:szCs w:val="44"/>
          <w:highlight w:val="none"/>
        </w:rPr>
      </w:pPr>
    </w:p>
    <w:p w14:paraId="30099B3F">
      <w:pPr>
        <w:pStyle w:val="2"/>
        <w:rPr>
          <w:rFonts w:hint="eastAsia"/>
          <w:highlight w:val="none"/>
        </w:rPr>
      </w:pPr>
    </w:p>
    <w:p w14:paraId="2D28DD42">
      <w:pPr>
        <w:jc w:val="center"/>
        <w:rPr>
          <w:rFonts w:hint="eastAsia" w:ascii="宋体" w:hAnsi="宋体" w:cs="宋体"/>
          <w:b/>
          <w:bCs/>
          <w:sz w:val="44"/>
          <w:szCs w:val="44"/>
          <w:highlight w:val="none"/>
        </w:rPr>
      </w:pPr>
    </w:p>
    <w:p w14:paraId="50CC2DC3">
      <w:pPr>
        <w:jc w:val="center"/>
        <w:rPr>
          <w:rFonts w:hint="eastAsia" w:ascii="宋体" w:hAnsi="宋体" w:cs="宋体"/>
          <w:b/>
          <w:bCs/>
          <w:sz w:val="44"/>
          <w:szCs w:val="44"/>
          <w:highlight w:val="none"/>
        </w:rPr>
      </w:pPr>
    </w:p>
    <w:p w14:paraId="28DC1EAD">
      <w:pPr>
        <w:jc w:val="center"/>
        <w:rPr>
          <w:rFonts w:hint="eastAsia" w:ascii="宋体" w:hAnsi="宋体" w:cs="宋体"/>
          <w:b/>
          <w:bCs/>
          <w:sz w:val="28"/>
          <w:szCs w:val="28"/>
          <w:highlight w:val="none"/>
        </w:rPr>
      </w:pPr>
      <w:r>
        <w:rPr>
          <w:rFonts w:hint="eastAsia" w:ascii="宋体" w:hAnsi="宋体" w:cs="宋体"/>
          <w:b/>
          <w:bCs/>
          <w:sz w:val="28"/>
          <w:szCs w:val="28"/>
          <w:highlight w:val="none"/>
        </w:rPr>
        <w:t>甲方：西安邮电大学</w:t>
      </w:r>
    </w:p>
    <w:p w14:paraId="663161E2">
      <w:pPr>
        <w:ind w:firstLine="2811" w:firstLineChars="1000"/>
        <w:jc w:val="both"/>
        <w:rPr>
          <w:rFonts w:hint="eastAsia" w:ascii="宋体" w:hAnsi="宋体" w:eastAsia="宋体" w:cs="宋体"/>
          <w:b/>
          <w:bCs/>
          <w:sz w:val="28"/>
          <w:szCs w:val="28"/>
          <w:highlight w:val="none"/>
          <w:u w:val="single"/>
          <w:lang w:val="en-US" w:eastAsia="zh-CN"/>
        </w:rPr>
      </w:pPr>
      <w:r>
        <w:rPr>
          <w:rFonts w:hint="eastAsia" w:ascii="宋体" w:hAnsi="宋体" w:cs="宋体"/>
          <w:b/>
          <w:bCs/>
          <w:sz w:val="28"/>
          <w:szCs w:val="28"/>
          <w:highlight w:val="none"/>
        </w:rPr>
        <w:t>乙方：</w:t>
      </w:r>
      <w:r>
        <w:rPr>
          <w:rFonts w:hint="eastAsia" w:ascii="宋体" w:hAnsi="宋体" w:eastAsia="宋体" w:cs="宋体"/>
          <w:b/>
          <w:bCs/>
          <w:sz w:val="28"/>
          <w:szCs w:val="28"/>
          <w:highlight w:val="none"/>
          <w:u w:val="single"/>
          <w:lang w:val="en-US" w:eastAsia="zh-CN"/>
        </w:rPr>
        <w:t xml:space="preserve">            </w:t>
      </w:r>
    </w:p>
    <w:p w14:paraId="198C2F80">
      <w:pPr>
        <w:jc w:val="center"/>
        <w:rPr>
          <w:rFonts w:hint="eastAsia" w:ascii="宋体" w:hAnsi="宋体" w:cs="宋体"/>
          <w:b/>
          <w:bCs/>
          <w:sz w:val="28"/>
          <w:szCs w:val="28"/>
          <w:highlight w:val="none"/>
        </w:rPr>
      </w:pPr>
      <w:r>
        <w:rPr>
          <w:rFonts w:hint="eastAsia" w:ascii="宋体" w:hAnsi="宋体" w:cs="宋体"/>
          <w:b/>
          <w:bCs/>
          <w:sz w:val="28"/>
          <w:szCs w:val="28"/>
          <w:highlight w:val="none"/>
        </w:rPr>
        <w:t>日期：202</w:t>
      </w:r>
      <w:r>
        <w:rPr>
          <w:rFonts w:hint="eastAsia" w:ascii="宋体" w:hAnsi="宋体" w:cs="宋体"/>
          <w:b/>
          <w:bCs/>
          <w:sz w:val="28"/>
          <w:szCs w:val="28"/>
          <w:highlight w:val="none"/>
          <w:lang w:val="en-US" w:eastAsia="zh-CN"/>
        </w:rPr>
        <w:t>5</w:t>
      </w:r>
      <w:r>
        <w:rPr>
          <w:rFonts w:hint="eastAsia" w:ascii="宋体" w:hAnsi="宋体" w:cs="宋体"/>
          <w:b/>
          <w:bCs/>
          <w:sz w:val="28"/>
          <w:szCs w:val="28"/>
          <w:highlight w:val="none"/>
        </w:rPr>
        <w:t>年</w:t>
      </w:r>
      <w:r>
        <w:rPr>
          <w:rFonts w:hint="eastAsia" w:ascii="宋体" w:hAnsi="宋体" w:cs="宋体"/>
          <w:b/>
          <w:bCs/>
          <w:sz w:val="28"/>
          <w:szCs w:val="28"/>
          <w:highlight w:val="none"/>
          <w:u w:val="single"/>
        </w:rPr>
        <w:t xml:space="preserve">   </w:t>
      </w:r>
      <w:r>
        <w:rPr>
          <w:rFonts w:hint="eastAsia" w:ascii="宋体" w:hAnsi="宋体" w:cs="宋体"/>
          <w:b/>
          <w:bCs/>
          <w:sz w:val="28"/>
          <w:szCs w:val="28"/>
          <w:highlight w:val="none"/>
        </w:rPr>
        <w:t>月</w:t>
      </w:r>
      <w:r>
        <w:rPr>
          <w:rFonts w:hint="eastAsia" w:ascii="宋体" w:hAnsi="宋体" w:cs="宋体"/>
          <w:b/>
          <w:bCs/>
          <w:sz w:val="28"/>
          <w:szCs w:val="28"/>
          <w:highlight w:val="none"/>
          <w:u w:val="single"/>
        </w:rPr>
        <w:t xml:space="preserve">   </w:t>
      </w:r>
      <w:r>
        <w:rPr>
          <w:rFonts w:hint="eastAsia" w:ascii="宋体" w:hAnsi="宋体" w:cs="宋体"/>
          <w:b/>
          <w:bCs/>
          <w:sz w:val="28"/>
          <w:szCs w:val="28"/>
          <w:highlight w:val="none"/>
        </w:rPr>
        <w:t>日</w:t>
      </w:r>
    </w:p>
    <w:p w14:paraId="4FEF8FF8">
      <w:pPr>
        <w:pageBreakBefore w:val="0"/>
        <w:kinsoku/>
        <w:wordWrap/>
        <w:overflowPunct/>
        <w:topLinePunct w:val="0"/>
        <w:bidi w:val="0"/>
        <w:adjustRightInd w:val="0"/>
        <w:snapToGrid w:val="0"/>
        <w:spacing w:line="360" w:lineRule="auto"/>
        <w:ind w:left="0" w:leftChars="0" w:firstLine="422" w:firstLineChars="200"/>
        <w:textAlignment w:val="auto"/>
        <w:rPr>
          <w:rFonts w:hint="eastAsia" w:ascii="宋体" w:hAnsi="宋体" w:cs="宋体"/>
          <w:b/>
          <w:bCs/>
          <w:color w:val="auto"/>
          <w:highlight w:val="none"/>
        </w:rPr>
      </w:pPr>
    </w:p>
    <w:p w14:paraId="724B9DB9">
      <w:pPr>
        <w:keepNext w:val="0"/>
        <w:keepLines w:val="0"/>
        <w:pageBreakBefore w:val="0"/>
        <w:widowControl/>
        <w:kinsoku/>
        <w:wordWrap/>
        <w:overflowPunct/>
        <w:topLinePunct w:val="0"/>
        <w:autoSpaceDE/>
        <w:autoSpaceDN/>
        <w:bidi w:val="0"/>
        <w:adjustRightInd w:val="0"/>
        <w:snapToGrid w:val="0"/>
        <w:spacing w:line="360" w:lineRule="auto"/>
        <w:ind w:left="0" w:leftChars="0" w:firstLine="420" w:firstLineChars="200"/>
        <w:jc w:val="left"/>
        <w:textAlignment w:val="auto"/>
        <w:rPr>
          <w:rFonts w:hint="eastAsia" w:ascii="宋体" w:hAnsi="宋体" w:cs="宋体"/>
          <w:sz w:val="24"/>
          <w:highlight w:val="none"/>
        </w:rPr>
      </w:pPr>
      <w:r>
        <w:rPr>
          <w:rFonts w:hint="eastAsia" w:ascii="宋体" w:hAnsi="宋体" w:cs="宋体"/>
          <w:color w:val="auto"/>
          <w:szCs w:val="21"/>
          <w:highlight w:val="none"/>
        </w:rPr>
        <w:br w:type="page"/>
      </w:r>
      <w:r>
        <w:rPr>
          <w:rFonts w:hint="eastAsia" w:ascii="宋体" w:hAnsi="宋体" w:cs="宋体"/>
          <w:sz w:val="24"/>
          <w:highlight w:val="none"/>
        </w:rPr>
        <w:t>甲方：</w:t>
      </w:r>
      <w:r>
        <w:rPr>
          <w:rFonts w:hint="eastAsia" w:ascii="宋体" w:hAnsi="宋体" w:cs="宋体"/>
          <w:sz w:val="24"/>
          <w:highlight w:val="none"/>
          <w:u w:val="single"/>
        </w:rPr>
        <w:t xml:space="preserve">                              </w:t>
      </w:r>
    </w:p>
    <w:p w14:paraId="1885F31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u w:val="single"/>
        </w:rPr>
      </w:pPr>
      <w:r>
        <w:rPr>
          <w:rFonts w:hint="eastAsia" w:ascii="宋体" w:hAnsi="宋体" w:cs="宋体"/>
          <w:sz w:val="24"/>
          <w:highlight w:val="none"/>
        </w:rPr>
        <w:t>乙方：</w:t>
      </w:r>
      <w:r>
        <w:rPr>
          <w:rFonts w:hint="eastAsia" w:ascii="宋体" w:hAnsi="宋体" w:cs="宋体"/>
          <w:sz w:val="24"/>
          <w:highlight w:val="none"/>
          <w:u w:val="single"/>
        </w:rPr>
        <w:t xml:space="preserve">                              </w:t>
      </w:r>
    </w:p>
    <w:p w14:paraId="425003C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根据《中华人民共和国民法典》、《中华人民共和国文物保护法》、《陕西省文物保护条例》、国家文物局﹝90﹞248号文件、陕文物发﹝2014﹞147号文件等法律及相关文件的规定与指导精神，甲方将</w:t>
      </w:r>
      <w:r>
        <w:rPr>
          <w:rFonts w:hint="eastAsia" w:ascii="宋体" w:hAnsi="宋体" w:cs="宋体"/>
          <w:sz w:val="24"/>
          <w:highlight w:val="none"/>
          <w:u w:val="single"/>
          <w:lang w:val="en-US" w:eastAsia="zh-CN"/>
        </w:rPr>
        <w:t>西安邮电大学长安校区西区7号学生公寓楼项目场地清表及考古发掘劳务配合项目</w:t>
      </w:r>
      <w:r>
        <w:rPr>
          <w:rFonts w:hint="eastAsia" w:ascii="宋体" w:hAnsi="宋体" w:cs="宋体"/>
          <w:sz w:val="24"/>
          <w:highlight w:val="none"/>
          <w:u w:val="single"/>
        </w:rPr>
        <w:t>及其他相关事项</w:t>
      </w:r>
      <w:r>
        <w:rPr>
          <w:rFonts w:hint="eastAsia" w:ascii="宋体" w:hAnsi="宋体" w:cs="宋体"/>
          <w:sz w:val="24"/>
          <w:highlight w:val="none"/>
        </w:rPr>
        <w:t>委托乙方承担。经双方充分协商一致，签订合同如下：</w:t>
      </w:r>
    </w:p>
    <w:p w14:paraId="6A15E27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default" w:ascii="宋体" w:hAnsi="宋体" w:cs="宋体"/>
          <w:b/>
          <w:bCs/>
          <w:sz w:val="24"/>
          <w:highlight w:val="none"/>
          <w:lang w:val="en-US"/>
        </w:rPr>
      </w:pPr>
      <w:r>
        <w:rPr>
          <w:rFonts w:hint="eastAsia" w:ascii="宋体" w:hAnsi="宋体" w:cs="宋体"/>
          <w:b/>
          <w:bCs/>
          <w:sz w:val="24"/>
          <w:highlight w:val="none"/>
        </w:rPr>
        <w:t>一、</w:t>
      </w:r>
      <w:r>
        <w:rPr>
          <w:rFonts w:hint="eastAsia" w:ascii="宋体" w:hAnsi="宋体" w:cs="宋体"/>
          <w:b/>
          <w:bCs/>
          <w:sz w:val="24"/>
          <w:highlight w:val="none"/>
          <w:lang w:val="en-US" w:eastAsia="zh-CN"/>
        </w:rPr>
        <w:t>服务内容</w:t>
      </w:r>
    </w:p>
    <w:p w14:paraId="233C131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lang w:val="en-US" w:eastAsia="zh-CN"/>
        </w:rPr>
      </w:pPr>
      <w:r>
        <w:rPr>
          <w:rFonts w:hint="eastAsia" w:ascii="宋体" w:hAnsi="宋体" w:cs="宋体"/>
          <w:sz w:val="24"/>
          <w:highlight w:val="none"/>
        </w:rPr>
        <w:t>1.</w:t>
      </w:r>
      <w:r>
        <w:rPr>
          <w:rFonts w:hint="eastAsia" w:ascii="宋体" w:hAnsi="宋体" w:cs="宋体"/>
          <w:sz w:val="24"/>
          <w:highlight w:val="none"/>
          <w:lang w:val="en-US" w:eastAsia="zh-CN"/>
        </w:rPr>
        <w:t>项目概况：</w:t>
      </w:r>
    </w:p>
    <w:p w14:paraId="6D5AD4C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西安邮电大学</w:t>
      </w:r>
      <w:r>
        <w:rPr>
          <w:rFonts w:hint="eastAsia" w:ascii="宋体" w:hAnsi="宋体" w:cs="宋体"/>
          <w:sz w:val="24"/>
          <w:highlight w:val="none"/>
          <w:lang w:eastAsia="zh-CN"/>
        </w:rPr>
        <w:t>长安校区西区7号学生公寓楼项目场地文物勘探查时，发现碎陶片、碎瓷片若干。经勘探，共发现</w:t>
      </w:r>
      <w:r>
        <w:rPr>
          <w:rFonts w:hint="eastAsia" w:ascii="宋体" w:hAnsi="宋体" w:cs="宋体"/>
          <w:sz w:val="24"/>
          <w:highlight w:val="none"/>
          <w:lang w:val="en-US" w:eastAsia="zh-CN"/>
        </w:rPr>
        <w:t>各类遗存</w:t>
      </w:r>
      <w:r>
        <w:rPr>
          <w:rFonts w:hint="eastAsia" w:ascii="宋体" w:hAnsi="宋体" w:cs="宋体"/>
          <w:sz w:val="24"/>
          <w:highlight w:val="none"/>
          <w:lang w:eastAsia="zh-CN"/>
        </w:rPr>
        <w:t>14处。其中，古代遗存14处，古代墓葬10座，其中一座较大墓葬，基道长为18米，宽为1.7米，深度为7米，</w:t>
      </w:r>
      <w:r>
        <w:rPr>
          <w:rFonts w:hint="eastAsia" w:ascii="宋体" w:hAnsi="宋体" w:cs="宋体"/>
          <w:sz w:val="24"/>
          <w:highlight w:val="none"/>
          <w:lang w:val="en-US" w:eastAsia="zh-CN"/>
        </w:rPr>
        <w:t>墓室</w:t>
      </w:r>
      <w:r>
        <w:rPr>
          <w:rFonts w:hint="eastAsia" w:ascii="宋体" w:hAnsi="宋体" w:cs="宋体"/>
          <w:sz w:val="24"/>
          <w:highlight w:val="none"/>
          <w:lang w:eastAsia="zh-CN"/>
        </w:rPr>
        <w:t>长为7米，宽为3.5米，深度为6.5米。时代推测为汉代，剩余古基推测以汉代墓葬为主。平均深度约为2.5米。古代沟1条，长26米，宽1</w:t>
      </w:r>
      <w:r>
        <w:rPr>
          <w:rFonts w:hint="eastAsia" w:ascii="宋体" w:hAnsi="宋体" w:cs="宋体"/>
          <w:sz w:val="24"/>
          <w:highlight w:val="none"/>
          <w:lang w:val="en-US" w:eastAsia="zh-CN"/>
        </w:rPr>
        <w:t>.</w:t>
      </w:r>
      <w:r>
        <w:rPr>
          <w:rFonts w:hint="eastAsia" w:ascii="宋体" w:hAnsi="宋体" w:cs="宋体"/>
          <w:sz w:val="24"/>
          <w:highlight w:val="none"/>
          <w:lang w:eastAsia="zh-CN"/>
        </w:rPr>
        <w:t>2米，深度为1.7米，时代不详，有待进一步的发掘工作做出判断。扰土坑3处，面积较大，共计约1231余平方米，深度1.6-3.7米，需要进一步的发掘工作后才能确定下面是否还有遗迹存在。根据文物勘探情况，需先进行场地清表，场地清表</w:t>
      </w:r>
      <w:r>
        <w:rPr>
          <w:rFonts w:hint="eastAsia" w:ascii="宋体" w:hAnsi="宋体" w:cs="宋体"/>
          <w:sz w:val="24"/>
          <w:highlight w:val="none"/>
          <w:lang w:val="en-US" w:eastAsia="zh-CN"/>
        </w:rPr>
        <w:t>工作内容</w:t>
      </w:r>
      <w:r>
        <w:rPr>
          <w:rFonts w:hint="eastAsia" w:ascii="宋体" w:hAnsi="宋体" w:cs="宋体"/>
          <w:sz w:val="24"/>
          <w:highlight w:val="none"/>
          <w:lang w:eastAsia="zh-CN"/>
        </w:rPr>
        <w:t>所涉土方量约9000m</w:t>
      </w:r>
      <w:r>
        <w:rPr>
          <w:rFonts w:hint="eastAsia" w:ascii="宋体" w:hAnsi="宋体" w:cs="宋体"/>
          <w:sz w:val="24"/>
          <w:highlight w:val="none"/>
          <w:vertAlign w:val="superscript"/>
          <w:lang w:val="en-US" w:eastAsia="zh-CN"/>
        </w:rPr>
        <w:t>3</w:t>
      </w:r>
      <w:r>
        <w:rPr>
          <w:rFonts w:hint="eastAsia" w:ascii="宋体" w:hAnsi="宋体" w:cs="宋体"/>
          <w:sz w:val="24"/>
          <w:highlight w:val="none"/>
          <w:lang w:eastAsia="zh-CN"/>
        </w:rPr>
        <w:t>；清表完成后，配合考古院完成场地考古挖掘工作。</w:t>
      </w:r>
    </w:p>
    <w:p w14:paraId="7F11862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u w:val="none"/>
        </w:rPr>
      </w:pPr>
      <w:r>
        <w:rPr>
          <w:rFonts w:hint="eastAsia" w:ascii="宋体" w:hAnsi="宋体" w:cs="宋体"/>
          <w:sz w:val="24"/>
          <w:highlight w:val="none"/>
        </w:rPr>
        <w:t>2.</w:t>
      </w:r>
      <w:r>
        <w:rPr>
          <w:rFonts w:hint="eastAsia" w:ascii="宋体" w:hAnsi="宋体" w:cs="宋体"/>
          <w:sz w:val="24"/>
          <w:highlight w:val="none"/>
          <w:lang w:val="en-US" w:eastAsia="zh-CN"/>
        </w:rPr>
        <w:t>项目</w:t>
      </w:r>
      <w:r>
        <w:rPr>
          <w:rFonts w:hint="eastAsia" w:ascii="宋体" w:hAnsi="宋体" w:cs="宋体"/>
          <w:sz w:val="24"/>
          <w:highlight w:val="none"/>
        </w:rPr>
        <w:t>地点：陕西省西安市长安区西长安街618号</w:t>
      </w:r>
    </w:p>
    <w:p w14:paraId="740F5C5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 xml:space="preserve">二、合同的组成部分 </w:t>
      </w:r>
    </w:p>
    <w:p w14:paraId="56D51DE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1.乙方</w:t>
      </w:r>
      <w:r>
        <w:rPr>
          <w:rFonts w:hint="eastAsia" w:ascii="宋体" w:hAnsi="宋体" w:cs="宋体"/>
          <w:sz w:val="24"/>
          <w:highlight w:val="none"/>
          <w:lang w:val="en-US" w:eastAsia="zh-CN"/>
        </w:rPr>
        <w:t>投标</w:t>
      </w:r>
      <w:r>
        <w:rPr>
          <w:rFonts w:hint="eastAsia" w:ascii="宋体" w:hAnsi="宋体" w:cs="宋体"/>
          <w:sz w:val="24"/>
          <w:highlight w:val="none"/>
        </w:rPr>
        <w:t>的</w:t>
      </w:r>
      <w:r>
        <w:rPr>
          <w:rFonts w:hint="eastAsia" w:ascii="宋体" w:hAnsi="宋体" w:cs="宋体"/>
          <w:sz w:val="24"/>
          <w:highlight w:val="none"/>
          <w:lang w:val="en-US" w:eastAsia="zh-CN"/>
        </w:rPr>
        <w:t>投标</w:t>
      </w:r>
      <w:r>
        <w:rPr>
          <w:rFonts w:hint="eastAsia" w:ascii="宋体" w:hAnsi="宋体" w:cs="宋体"/>
          <w:sz w:val="24"/>
          <w:highlight w:val="none"/>
        </w:rPr>
        <w:t>文件；</w:t>
      </w:r>
    </w:p>
    <w:p w14:paraId="3839D69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招标</w:t>
      </w:r>
      <w:r>
        <w:rPr>
          <w:rFonts w:hint="eastAsia" w:ascii="宋体" w:hAnsi="宋体" w:cs="宋体"/>
          <w:sz w:val="24"/>
          <w:highlight w:val="none"/>
        </w:rPr>
        <w:t>文件及补充文件；</w:t>
      </w:r>
    </w:p>
    <w:p w14:paraId="79DDE5E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3.标准、规范和有关技术资料；</w:t>
      </w:r>
    </w:p>
    <w:p w14:paraId="716B66F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4.其他有关文件。</w:t>
      </w:r>
    </w:p>
    <w:p w14:paraId="0623226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default" w:ascii="宋体" w:hAnsi="宋体" w:cs="宋体"/>
          <w:b/>
          <w:bCs/>
          <w:sz w:val="24"/>
          <w:highlight w:val="none"/>
          <w:lang w:val="en-US"/>
        </w:rPr>
      </w:pPr>
      <w:r>
        <w:rPr>
          <w:rFonts w:hint="eastAsia" w:ascii="宋体" w:hAnsi="宋体" w:cs="宋体"/>
          <w:b/>
          <w:bCs/>
          <w:sz w:val="24"/>
          <w:highlight w:val="none"/>
        </w:rPr>
        <w:t>三、</w:t>
      </w:r>
      <w:r>
        <w:rPr>
          <w:rFonts w:hint="eastAsia" w:ascii="宋体" w:hAnsi="宋体" w:cs="宋体"/>
          <w:b/>
          <w:bCs/>
          <w:sz w:val="24"/>
          <w:highlight w:val="none"/>
          <w:lang w:val="en-US" w:eastAsia="zh-CN"/>
        </w:rPr>
        <w:t>服务期限</w:t>
      </w:r>
    </w:p>
    <w:p w14:paraId="716EAA3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ascii="宋体" w:hAnsi="宋体" w:cs="宋体"/>
          <w:sz w:val="24"/>
          <w:highlight w:val="none"/>
        </w:rPr>
      </w:pPr>
      <w:r>
        <w:rPr>
          <w:rFonts w:hint="eastAsia" w:ascii="宋体" w:hAnsi="宋体" w:cs="宋体"/>
          <w:sz w:val="24"/>
          <w:highlight w:val="none"/>
        </w:rPr>
        <w:t>自合同签订之日起</w:t>
      </w:r>
      <w:r>
        <w:rPr>
          <w:rFonts w:hint="eastAsia" w:ascii="宋体" w:hAnsi="宋体" w:cs="宋体"/>
          <w:sz w:val="24"/>
          <w:highlight w:val="none"/>
          <w:u w:val="single"/>
        </w:rPr>
        <w:t xml:space="preserve">      </w:t>
      </w:r>
      <w:r>
        <w:rPr>
          <w:rFonts w:hint="eastAsia" w:ascii="宋体" w:hAnsi="宋体" w:cs="宋体"/>
          <w:sz w:val="24"/>
          <w:highlight w:val="none"/>
        </w:rPr>
        <w:t>日历天完成考古发掘</w:t>
      </w:r>
      <w:r>
        <w:rPr>
          <w:rFonts w:hint="eastAsia" w:ascii="宋体" w:hAnsi="宋体" w:cs="宋体"/>
          <w:sz w:val="24"/>
          <w:highlight w:val="none"/>
          <w:lang w:eastAsia="zh-CN"/>
        </w:rPr>
        <w:t>劳务配合</w:t>
      </w:r>
      <w:r>
        <w:rPr>
          <w:rFonts w:hint="eastAsia" w:ascii="宋体" w:hAnsi="宋体" w:cs="宋体"/>
          <w:sz w:val="24"/>
          <w:highlight w:val="none"/>
        </w:rPr>
        <w:t>工作。</w:t>
      </w:r>
    </w:p>
    <w:p w14:paraId="578F076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如遇天气等不可抗力因素，</w:t>
      </w:r>
      <w:r>
        <w:rPr>
          <w:rFonts w:hint="eastAsia" w:ascii="宋体" w:hAnsi="宋体" w:cs="宋体"/>
          <w:sz w:val="24"/>
          <w:highlight w:val="none"/>
          <w:lang w:val="en-US" w:eastAsia="zh-CN"/>
        </w:rPr>
        <w:t>服务期限</w:t>
      </w:r>
      <w:r>
        <w:rPr>
          <w:rFonts w:hint="eastAsia" w:ascii="宋体" w:hAnsi="宋体" w:cs="宋体"/>
          <w:sz w:val="24"/>
          <w:highlight w:val="none"/>
        </w:rPr>
        <w:t>顺延。声称受到不可抗力影响的一方应在发生不可抗力或知道发生不可抗力之后，及时书面通知另一方并详细描述不可抗力的发生情况和可能导致的后果，及时出具工作联系单进行记录，包括该不可抗力发生的时间和预计停止的时间，以及对该方履行在本合同项下义务的影响，并在另一方提出合理要求时提供有效证明。</w:t>
      </w:r>
    </w:p>
    <w:p w14:paraId="5CAA321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四、</w:t>
      </w:r>
      <w:r>
        <w:rPr>
          <w:rFonts w:hint="eastAsia" w:ascii="宋体" w:hAnsi="宋体" w:cs="宋体"/>
          <w:b/>
          <w:bCs/>
          <w:sz w:val="24"/>
          <w:highlight w:val="none"/>
          <w:lang w:eastAsia="zh-CN"/>
        </w:rPr>
        <w:t>服务</w:t>
      </w:r>
      <w:r>
        <w:rPr>
          <w:rFonts w:hint="eastAsia" w:ascii="宋体" w:hAnsi="宋体" w:cs="宋体"/>
          <w:b/>
          <w:bCs/>
          <w:sz w:val="24"/>
          <w:highlight w:val="none"/>
        </w:rPr>
        <w:t>费用</w:t>
      </w:r>
    </w:p>
    <w:p w14:paraId="5F71E9FC">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bidi="zh-TW"/>
        </w:rPr>
      </w:pPr>
      <w:r>
        <w:rPr>
          <w:rFonts w:hint="eastAsia" w:ascii="宋体" w:hAnsi="宋体" w:eastAsia="宋体" w:cs="宋体"/>
          <w:color w:val="000000"/>
          <w:sz w:val="24"/>
          <w:szCs w:val="24"/>
          <w:highlight w:val="none"/>
          <w:lang w:eastAsia="zh-CN"/>
        </w:rPr>
        <w:t>甲乙双方约定本次场地清表土方外运总价暂定为人民币        (¥</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 xml:space="preserve"> )，暂定土方量为9000m³，最终以测量结果确定的土方量结合此部分的成交单价进行据实结算；本次考古发掘劳务工作固定总价为：人民币 </w:t>
      </w:r>
      <w:r>
        <w:rPr>
          <w:rFonts w:hint="eastAsia" w:ascii="宋体" w:hAnsi="宋体" w:eastAsia="宋体" w:cs="宋体"/>
          <w:color w:val="000000"/>
          <w:sz w:val="24"/>
          <w:szCs w:val="24"/>
          <w:highlight w:val="none"/>
          <w:u w:val="single"/>
          <w:lang w:eastAsia="zh-CN"/>
        </w:rPr>
        <w:t xml:space="preserve">       (¥       )</w:t>
      </w:r>
      <w:r>
        <w:rPr>
          <w:rFonts w:hint="eastAsia" w:ascii="宋体" w:hAnsi="宋体" w:eastAsia="宋体" w:cs="宋体"/>
          <w:color w:val="000000"/>
          <w:sz w:val="24"/>
          <w:szCs w:val="24"/>
          <w:highlight w:val="none"/>
          <w:lang w:eastAsia="zh-CN"/>
        </w:rPr>
        <w:t>。上述两部分费用包含所需的人工费、材料费、服务费，手续办理费用等与之相关的一切直接费、间接费。</w:t>
      </w:r>
    </w:p>
    <w:p w14:paraId="2D1AA21C">
      <w:pPr>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kern w:val="0"/>
          <w:sz w:val="24"/>
          <w:szCs w:val="24"/>
          <w:highlight w:val="none"/>
          <w:lang w:val="en-US" w:eastAsia="zh-CN" w:bidi="zh-TW"/>
        </w:rPr>
      </w:pPr>
      <w:r>
        <w:rPr>
          <w:rFonts w:hint="eastAsia" w:ascii="宋体" w:hAnsi="宋体" w:eastAsia="宋体" w:cs="宋体"/>
          <w:b/>
          <w:bCs/>
          <w:color w:val="auto"/>
          <w:kern w:val="0"/>
          <w:sz w:val="24"/>
          <w:szCs w:val="24"/>
          <w:highlight w:val="none"/>
          <w:lang w:val="en-US" w:eastAsia="zh-CN" w:bidi="zh-TW"/>
        </w:rPr>
        <w:t>五、</w:t>
      </w:r>
      <w:r>
        <w:rPr>
          <w:rFonts w:hint="eastAsia" w:ascii="宋体" w:hAnsi="宋体" w:cs="宋体"/>
          <w:b/>
          <w:bCs/>
          <w:sz w:val="24"/>
          <w:highlight w:val="none"/>
        </w:rPr>
        <w:t>付款方式：</w:t>
      </w:r>
    </w:p>
    <w:p w14:paraId="628FA0EC">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1.“清表土方外运部分”在所有外运服务完成后一次性据实支付。“考古劳务配合部分”经采购人验收合格后，支付至“考古劳务配合”部分合同金额的60%，待取得考古挖掘报告后支付剩余款项。</w:t>
      </w:r>
    </w:p>
    <w:p w14:paraId="29C5420A">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2.甲方付款前，乙方应向甲方提供等额合规的增值税专用发票，如不符合甲方要求，甲方有权拒绝付款，且不承担任何逾期付款责任。</w:t>
      </w:r>
    </w:p>
    <w:p w14:paraId="29B4A39B">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3.乙方收款账户信息如下：</w:t>
      </w:r>
    </w:p>
    <w:p w14:paraId="3C91B06C">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账户名称：</w:t>
      </w:r>
      <w:r>
        <w:rPr>
          <w:rFonts w:hint="eastAsia" w:ascii="宋体" w:hAnsi="宋体" w:eastAsia="宋体" w:cs="宋体"/>
          <w:color w:val="auto"/>
          <w:kern w:val="0"/>
          <w:sz w:val="24"/>
          <w:szCs w:val="24"/>
          <w:highlight w:val="none"/>
          <w:u w:val="single"/>
          <w:lang w:val="en-US" w:eastAsia="zh-CN" w:bidi="zh-TW"/>
        </w:rPr>
        <w:t xml:space="preserve">                </w:t>
      </w:r>
    </w:p>
    <w:p w14:paraId="5F160EEA">
      <w:pPr>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zh-TW"/>
        </w:rPr>
      </w:pPr>
      <w:r>
        <w:rPr>
          <w:rFonts w:hint="eastAsia" w:ascii="宋体" w:hAnsi="宋体" w:eastAsia="宋体" w:cs="宋体"/>
          <w:color w:val="auto"/>
          <w:kern w:val="0"/>
          <w:sz w:val="24"/>
          <w:szCs w:val="24"/>
          <w:highlight w:val="none"/>
          <w:lang w:val="en-US" w:eastAsia="zh-CN" w:bidi="zh-TW"/>
        </w:rPr>
        <w:t>开户银行：</w:t>
      </w:r>
      <w:r>
        <w:rPr>
          <w:rFonts w:hint="eastAsia" w:ascii="宋体" w:hAnsi="宋体" w:eastAsia="宋体" w:cs="宋体"/>
          <w:color w:val="auto"/>
          <w:kern w:val="0"/>
          <w:sz w:val="24"/>
          <w:szCs w:val="24"/>
          <w:highlight w:val="none"/>
          <w:u w:val="single"/>
          <w:lang w:val="en-US" w:eastAsia="zh-CN" w:bidi="zh-TW"/>
        </w:rPr>
        <w:t xml:space="preserve">                </w:t>
      </w:r>
    </w:p>
    <w:p w14:paraId="36CC36D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eastAsia="宋体" w:cs="宋体"/>
          <w:color w:val="auto"/>
          <w:kern w:val="0"/>
          <w:sz w:val="24"/>
          <w:szCs w:val="24"/>
          <w:highlight w:val="none"/>
          <w:lang w:val="en-US" w:eastAsia="zh-CN" w:bidi="zh-TW"/>
        </w:rPr>
        <w:t>账号 ：</w:t>
      </w:r>
      <w:r>
        <w:rPr>
          <w:rFonts w:hint="eastAsia" w:ascii="宋体" w:hAnsi="宋体" w:eastAsia="宋体" w:cs="宋体"/>
          <w:color w:val="auto"/>
          <w:kern w:val="0"/>
          <w:sz w:val="24"/>
          <w:szCs w:val="24"/>
          <w:highlight w:val="none"/>
          <w:u w:val="single"/>
          <w:lang w:val="en-US" w:eastAsia="zh-CN" w:bidi="zh-TW"/>
        </w:rPr>
        <w:t xml:space="preserve">                   </w:t>
      </w:r>
      <w:r>
        <w:rPr>
          <w:rFonts w:hint="eastAsia" w:ascii="宋体" w:hAnsi="宋体" w:cs="宋体"/>
          <w:sz w:val="24"/>
          <w:highlight w:val="none"/>
        </w:rPr>
        <w:t>。</w:t>
      </w:r>
    </w:p>
    <w:p w14:paraId="193C8C0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六、甲方责任</w:t>
      </w:r>
    </w:p>
    <w:p w14:paraId="79F34AE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1.甲方指派</w:t>
      </w:r>
      <w:r>
        <w:rPr>
          <w:rFonts w:hint="eastAsia" w:ascii="宋体" w:hAnsi="宋体" w:cs="宋体"/>
          <w:sz w:val="24"/>
          <w:highlight w:val="none"/>
          <w:u w:val="single"/>
        </w:rPr>
        <w:t xml:space="preserve">       （联系电话：</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hint="eastAsia" w:ascii="宋体" w:hAnsi="宋体" w:cs="宋体"/>
          <w:sz w:val="24"/>
          <w:highlight w:val="none"/>
        </w:rPr>
        <w:t>作为甲方施工现场代表，负责施工的监督管理和协调。</w:t>
      </w:r>
    </w:p>
    <w:p w14:paraId="0CF05DB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2</w:t>
      </w:r>
      <w:r>
        <w:rPr>
          <w:rFonts w:hint="eastAsia" w:ascii="宋体" w:hAnsi="宋体" w:cs="宋体"/>
          <w:sz w:val="24"/>
          <w:highlight w:val="none"/>
        </w:rPr>
        <w:t>.甲方应按国家相关行业法律法规验收标准执行验收；乙方不符合验收标准的条件时，甲方应告知乙方，因此给甲方造成的一切损失（包含但不限于直接损失、间接损失及主张权益所有一切费用支出）均由乙方承担。</w:t>
      </w:r>
    </w:p>
    <w:p w14:paraId="707F7EF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.按照合同约定，如期支付乙方费用。</w:t>
      </w:r>
    </w:p>
    <w:p w14:paraId="61130D4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七、乙方责任</w:t>
      </w:r>
    </w:p>
    <w:p w14:paraId="7138FBF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1.乙方指派</w:t>
      </w:r>
      <w:r>
        <w:rPr>
          <w:rFonts w:hint="eastAsia" w:ascii="宋体" w:hAnsi="宋体" w:cs="宋体"/>
          <w:sz w:val="24"/>
          <w:highlight w:val="none"/>
          <w:u w:val="single"/>
        </w:rPr>
        <w:t xml:space="preserve">      （联系电话：</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hint="eastAsia" w:ascii="宋体" w:hAnsi="宋体" w:cs="宋体"/>
          <w:sz w:val="24"/>
          <w:highlight w:val="none"/>
        </w:rPr>
        <w:t>作为项目负责人，负责项目现场的统筹管理。</w:t>
      </w:r>
    </w:p>
    <w:p w14:paraId="33FA928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2.乙方配合发掘技术服务单位，做好古墓葬、古遗址等古代文化遗存的考古发掘劳务配合工作。</w:t>
      </w:r>
    </w:p>
    <w:p w14:paraId="2E19ACD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3.乙方负责考古发掘所需的</w:t>
      </w:r>
      <w:r>
        <w:rPr>
          <w:rFonts w:hint="eastAsia" w:ascii="宋体" w:hAnsi="宋体" w:cs="宋体"/>
          <w:sz w:val="24"/>
          <w:highlight w:val="none"/>
          <w:lang w:val="en-US" w:eastAsia="zh-CN"/>
        </w:rPr>
        <w:t>土方</w:t>
      </w:r>
      <w:r>
        <w:rPr>
          <w:rFonts w:hint="eastAsia" w:ascii="宋体" w:hAnsi="宋体" w:cs="宋体"/>
          <w:sz w:val="24"/>
          <w:highlight w:val="none"/>
        </w:rPr>
        <w:t>劳务</w:t>
      </w:r>
      <w:r>
        <w:rPr>
          <w:rFonts w:hint="eastAsia" w:ascii="宋体" w:hAnsi="宋体" w:cs="宋体"/>
          <w:sz w:val="24"/>
          <w:highlight w:val="none"/>
          <w:lang w:eastAsia="zh-CN"/>
        </w:rPr>
        <w:t>、</w:t>
      </w:r>
      <w:r>
        <w:rPr>
          <w:rFonts w:hint="eastAsia" w:ascii="宋体" w:hAnsi="宋体" w:cs="宋体"/>
          <w:sz w:val="24"/>
          <w:highlight w:val="none"/>
          <w:lang w:val="en-US" w:eastAsia="zh-CN"/>
        </w:rPr>
        <w:t>安全加固</w:t>
      </w:r>
      <w:r>
        <w:rPr>
          <w:rFonts w:hint="eastAsia" w:ascii="宋体" w:hAnsi="宋体" w:cs="宋体"/>
          <w:sz w:val="24"/>
          <w:highlight w:val="none"/>
        </w:rPr>
        <w:t>等项目。乙方应根据现场考古发掘的需要配备足够的劳务人员，并派专人管理。乙方所有人员必须听从甲方及考古发掘技术服务单位现场负责人员的安排，不得擅自行动。如在考古发掘工作期间由于乙方人员违反考古操作规程、人为操作失误、社会治安案件等造成人员伤亡，或发生文物损坏、遗失等事故，由此产生的对甲方及第三人的一切后果和责任（及所有费用）由乙方负责。</w:t>
      </w:r>
    </w:p>
    <w:p w14:paraId="270CBF8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4.乙方应安排专职安全员负责现场的施工安全，对发掘中可能存在安全隐患的部位进行处理，确保施工过程中的人身安全及安全生产，并对现场劳务人员安全问题负全责。乙方应在开工前及工作过程中不定期对劳务人员、安保人员等所有参与发掘工作的人员进行文物安全警示教育，施工过程中发生安全事故（含对第三方造成的伤害），由乙方承担全部责任，甲方不承担任何责任。乙方所有工作人员的人身安全以及所有设备、设施的财产安全等均由乙方独自全权负责。</w:t>
      </w:r>
    </w:p>
    <w:p w14:paraId="506CBC1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5.乙方负责发掘</w:t>
      </w:r>
      <w:r>
        <w:rPr>
          <w:rFonts w:hint="eastAsia" w:ascii="宋体" w:hAnsi="宋体" w:cs="宋体"/>
          <w:sz w:val="24"/>
          <w:highlight w:val="none"/>
          <w:lang w:val="en-US" w:eastAsia="zh-CN"/>
        </w:rPr>
        <w:t>现场劳务相关</w:t>
      </w:r>
      <w:r>
        <w:rPr>
          <w:rFonts w:hint="eastAsia" w:ascii="宋体" w:hAnsi="宋体" w:cs="宋体"/>
          <w:sz w:val="24"/>
          <w:highlight w:val="none"/>
        </w:rPr>
        <w:t>的安全保卫工作。</w:t>
      </w:r>
    </w:p>
    <w:p w14:paraId="3DA0D52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6.乙方所有考古工地的安全记录(包括值班记录、人员车辆出入登记、所有录像监控记录数据等)在工地结束后必须全部提交甲方存档。</w:t>
      </w:r>
    </w:p>
    <w:p w14:paraId="7AF9EBF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7.乙方对本项目考古工作负有保密义务，加强对工作人员的保密教育和监督。乙方所有人员不得对外泄露或在任何社交媒体发布考古工作的任何信息（包括但不限于文物考古项目的计划、设计、调查、申报、挖掘等全部内容；文物考古现场的位置、布置、设备、工作人员等全部信息；发现的文物的种类、数量、价值、材料、状态等全部信息以及文物考古工作的成果、研究、发表等全部内容）。未经甲方书面同意，不得以任何方式向第三方泄露(但因履行法定披露义务或根据监管部门、司法部门的要求进行披露者不受此限），双方应妥善保管涉及合同的所有资料，不得擅自泄露或用于其他用途。若乙方人员违反保密义务，甲方有权对要求乙方承担因此给甲方带来的一切损失，并有权对乙方进行处罚及追究其法律责任。该保密义务长期有效，不因合同的解除、终止而失效。</w:t>
      </w:r>
    </w:p>
    <w:p w14:paraId="0C160D1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sz w:val="24"/>
          <w:highlight w:val="none"/>
        </w:rPr>
      </w:pPr>
      <w:r>
        <w:rPr>
          <w:rFonts w:hint="eastAsia" w:ascii="宋体" w:hAnsi="宋体" w:cs="宋体"/>
          <w:sz w:val="24"/>
          <w:highlight w:val="none"/>
        </w:rPr>
        <w:t>8.乙方应做好</w:t>
      </w:r>
      <w:r>
        <w:rPr>
          <w:rFonts w:hint="eastAsia"/>
          <w:sz w:val="24"/>
          <w:highlight w:val="none"/>
        </w:rPr>
        <w:t>文明施工，施工现场及出入车辆（设备）必须保持整洁干净，符合扬尘治理及治污减霾工作的要求，因乙方相关措施不到位，被主管部门通报罚款的，由乙方承担全部责任。</w:t>
      </w:r>
    </w:p>
    <w:p w14:paraId="6D3FDE7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sz w:val="24"/>
          <w:highlight w:val="none"/>
        </w:rPr>
      </w:pPr>
      <w:r>
        <w:rPr>
          <w:rFonts w:hint="eastAsia" w:ascii="宋体" w:hAnsi="宋体" w:cs="宋体"/>
          <w:sz w:val="24"/>
          <w:highlight w:val="none"/>
        </w:rPr>
        <w:t>9.</w:t>
      </w:r>
      <w:r>
        <w:rPr>
          <w:rFonts w:hint="eastAsia"/>
          <w:sz w:val="24"/>
          <w:highlight w:val="none"/>
        </w:rPr>
        <w:t>乙方应负责施工期间的社会关系协调、政府职能部门相关手续办理等内容。</w:t>
      </w:r>
    </w:p>
    <w:p w14:paraId="21D5FD9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八、其他不可预见情况</w:t>
      </w:r>
    </w:p>
    <w:p w14:paraId="5C63F14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1.在发掘过程中如遇重大发现(如发现壁画墓需保护揭取或发现遗物特别丰富、遗迹现象复杂价值较高的遗存等)，经双方协商达成一致意见后，可酌情延长考古发掘劳务配合</w:t>
      </w:r>
      <w:r>
        <w:rPr>
          <w:rFonts w:hint="eastAsia" w:ascii="宋体" w:hAnsi="宋体" w:cs="宋体"/>
          <w:sz w:val="24"/>
          <w:highlight w:val="none"/>
          <w:lang w:val="en-US" w:eastAsia="zh-CN"/>
        </w:rPr>
        <w:t>服务期限</w:t>
      </w:r>
      <w:r>
        <w:rPr>
          <w:rFonts w:hint="eastAsia" w:ascii="宋体" w:hAnsi="宋体" w:cs="宋体"/>
          <w:sz w:val="24"/>
          <w:highlight w:val="none"/>
        </w:rPr>
        <w:t>。</w:t>
      </w:r>
    </w:p>
    <w:p w14:paraId="1E15256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2.在本合同明确的</w:t>
      </w:r>
      <w:r>
        <w:rPr>
          <w:rFonts w:hint="eastAsia" w:ascii="宋体" w:hAnsi="宋体" w:cs="宋体"/>
          <w:sz w:val="24"/>
          <w:highlight w:val="none"/>
          <w:lang w:val="en-US" w:eastAsia="zh-CN"/>
        </w:rPr>
        <w:t>服务期限</w:t>
      </w:r>
      <w:r>
        <w:rPr>
          <w:rFonts w:hint="eastAsia" w:ascii="宋体" w:hAnsi="宋体" w:cs="宋体"/>
          <w:sz w:val="24"/>
          <w:highlight w:val="none"/>
        </w:rPr>
        <w:t>内，遇到包括但不限于雨、雪、地震等天气因素、自然灾害以及疫情、禁土令等影响，无法按时完成文勘发掘劳务配合工作的，乙方应及时书面通知甲方，包括类似情况发生时间及预期停工时间等，由双方协商一致后工期顺延。</w:t>
      </w:r>
    </w:p>
    <w:p w14:paraId="5D6F023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九、违约责任</w:t>
      </w:r>
    </w:p>
    <w:p w14:paraId="77E7FC8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1.无特殊情况，因乙方原因导致</w:t>
      </w:r>
      <w:r>
        <w:rPr>
          <w:rFonts w:hint="eastAsia" w:ascii="宋体" w:hAnsi="宋体" w:cs="宋体"/>
          <w:sz w:val="24"/>
          <w:highlight w:val="none"/>
          <w:lang w:val="en-US" w:eastAsia="zh-CN"/>
        </w:rPr>
        <w:t>服务期限</w:t>
      </w:r>
      <w:r>
        <w:rPr>
          <w:rFonts w:hint="eastAsia" w:ascii="宋体" w:hAnsi="宋体" w:cs="宋体"/>
          <w:sz w:val="24"/>
          <w:highlight w:val="none"/>
        </w:rPr>
        <w:t>每延迟一天，按照总费用的万分之一承担违约金，该违约金直接可从甲方应支付乙方的费用中进行扣减。同时给甲方造成损失的，乙方应予以赔偿，赔偿范围包含但不限于直接损失、间接损失及主张权益所用一切费用支出。延迟超过</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3</w:t>
      </w:r>
      <w:r>
        <w:rPr>
          <w:rFonts w:hint="eastAsia" w:ascii="宋体" w:hAnsi="宋体" w:cs="宋体"/>
          <w:sz w:val="24"/>
          <w:highlight w:val="none"/>
          <w:u w:val="single"/>
        </w:rPr>
        <w:t xml:space="preserve"> </w:t>
      </w:r>
      <w:r>
        <w:rPr>
          <w:rFonts w:hint="eastAsia" w:ascii="宋体" w:hAnsi="宋体" w:cs="宋体"/>
          <w:sz w:val="24"/>
          <w:highlight w:val="none"/>
        </w:rPr>
        <w:t>天的，甲方有权</w:t>
      </w:r>
      <w:r>
        <w:rPr>
          <w:rFonts w:hint="eastAsia" w:ascii="宋体" w:hAnsi="宋体" w:eastAsia="宋体" w:cs="宋体"/>
          <w:sz w:val="24"/>
          <w:highlight w:val="none"/>
        </w:rPr>
        <w:t>单方解除合同</w:t>
      </w:r>
      <w:r>
        <w:rPr>
          <w:rFonts w:hint="eastAsia" w:ascii="宋体" w:hAnsi="宋体" w:eastAsia="宋体" w:cs="宋体"/>
          <w:sz w:val="24"/>
          <w:highlight w:val="none"/>
          <w:lang w:eastAsia="zh-CN"/>
        </w:rPr>
        <w:t>，合同自甲方书面解除通知到达乙方时解除，同时乙方应按照合同</w:t>
      </w:r>
      <w:r>
        <w:rPr>
          <w:rFonts w:hint="eastAsia" w:ascii="宋体" w:hAnsi="宋体" w:eastAsia="宋体" w:cs="宋体"/>
          <w:sz w:val="24"/>
          <w:highlight w:val="none"/>
          <w:lang w:val="en-US" w:eastAsia="zh-CN"/>
        </w:rPr>
        <w:t>暂定</w:t>
      </w:r>
      <w:r>
        <w:rPr>
          <w:rFonts w:hint="eastAsia" w:ascii="宋体" w:hAnsi="宋体" w:eastAsia="宋体" w:cs="宋体"/>
          <w:sz w:val="24"/>
          <w:highlight w:val="none"/>
          <w:lang w:eastAsia="zh-CN"/>
        </w:rPr>
        <w:t>总额</w:t>
      </w:r>
      <w:r>
        <w:rPr>
          <w:rFonts w:hint="eastAsia" w:ascii="宋体" w:hAnsi="宋体" w:eastAsia="宋体" w:cs="宋体"/>
          <w:sz w:val="24"/>
          <w:highlight w:val="none"/>
          <w:lang w:val="en-US" w:eastAsia="zh-CN"/>
        </w:rPr>
        <w:t xml:space="preserve"> 10 </w:t>
      </w:r>
      <w:r>
        <w:rPr>
          <w:rFonts w:hint="eastAsia" w:ascii="宋体" w:hAnsi="宋体" w:eastAsia="宋体" w:cs="宋体"/>
          <w:sz w:val="24"/>
          <w:highlight w:val="none"/>
          <w:lang w:eastAsia="zh-CN"/>
        </w:rPr>
        <w:t>%向甲方</w:t>
      </w:r>
      <w:r>
        <w:rPr>
          <w:rFonts w:hint="eastAsia" w:ascii="宋体" w:hAnsi="宋体" w:cs="宋体"/>
          <w:sz w:val="24"/>
          <w:highlight w:val="none"/>
          <w:lang w:eastAsia="zh-CN"/>
        </w:rPr>
        <w:t>支付违约金。</w:t>
      </w:r>
    </w:p>
    <w:p w14:paraId="2B7BACD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乙方应当按照本合同第七条约定的义务履行，违反约定的，甲方有权向乙方书面提出整改意见，乙方需无条件按原招标文件、更正公告内容和质疑答疑文件（若有）、投标文件、中标（成交）通知书等实质性内容整改至符合约定，自甲方向乙方提出书面意见之日起</w:t>
      </w:r>
      <w:r>
        <w:rPr>
          <w:rFonts w:hint="eastAsia" w:ascii="宋体" w:hAnsi="宋体" w:cs="宋体"/>
          <w:sz w:val="24"/>
          <w:highlight w:val="none"/>
          <w:lang w:val="en-US" w:eastAsia="zh-CN"/>
        </w:rPr>
        <w:t xml:space="preserve"> 3 </w:t>
      </w:r>
      <w:r>
        <w:rPr>
          <w:rFonts w:hint="eastAsia" w:ascii="宋体" w:hAnsi="宋体" w:cs="宋体"/>
          <w:sz w:val="24"/>
          <w:highlight w:val="none"/>
        </w:rPr>
        <w:t>个工作日内，乙方仍未整改或整改后服务仍不符合约定的，甲方有权单方面解除本协议且不承担任何责任</w:t>
      </w:r>
      <w:r>
        <w:rPr>
          <w:rFonts w:hint="eastAsia" w:ascii="宋体" w:hAnsi="宋体" w:cs="宋体"/>
          <w:sz w:val="24"/>
          <w:highlight w:val="none"/>
          <w:lang w:eastAsia="zh-CN"/>
        </w:rPr>
        <w:t>，</w:t>
      </w:r>
      <w:r>
        <w:rPr>
          <w:rFonts w:hint="eastAsia" w:ascii="宋体" w:hAnsi="宋体" w:cs="宋体"/>
          <w:sz w:val="24"/>
          <w:highlight w:val="none"/>
          <w:lang w:val="en-US" w:eastAsia="zh-CN"/>
        </w:rPr>
        <w:t>乙方</w:t>
      </w:r>
      <w:r>
        <w:rPr>
          <w:rFonts w:hint="eastAsia" w:ascii="宋体" w:hAnsi="宋体" w:cs="宋体"/>
          <w:sz w:val="24"/>
          <w:highlight w:val="none"/>
        </w:rPr>
        <w:t>按照应付未付金额的万分之一承担违约金。</w:t>
      </w:r>
    </w:p>
    <w:p w14:paraId="45B5B6D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3.本合同生效后，双方应当完全履行本合同项下的所有权利和义务。若任意一方无法完全履行的，应当及时通知另一方并由双方协商解决相关事宜，协商不成的，按照本合同第十条相关约定处理。</w:t>
      </w:r>
    </w:p>
    <w:p w14:paraId="3A97C64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highlight w:val="none"/>
        </w:rPr>
      </w:pPr>
      <w:r>
        <w:rPr>
          <w:rFonts w:hint="eastAsia" w:ascii="宋体" w:hAnsi="宋体" w:cs="宋体"/>
          <w:sz w:val="24"/>
          <w:highlight w:val="none"/>
          <w:lang w:val="en-US" w:eastAsia="zh-CN"/>
        </w:rPr>
        <w:t>4.</w:t>
      </w:r>
      <w:r>
        <w:rPr>
          <w:rFonts w:hint="eastAsia" w:ascii="宋体" w:hAnsi="宋体" w:cs="宋体"/>
          <w:sz w:val="24"/>
          <w:highlight w:val="none"/>
        </w:rPr>
        <w:t>乙方所提供的</w:t>
      </w:r>
      <w:r>
        <w:rPr>
          <w:rFonts w:hint="eastAsia" w:ascii="宋体" w:hAnsi="宋体" w:cs="宋体"/>
          <w:sz w:val="24"/>
          <w:highlight w:val="none"/>
          <w:lang w:val="en-US" w:eastAsia="zh-CN"/>
        </w:rPr>
        <w:t>工程</w:t>
      </w:r>
      <w:r>
        <w:rPr>
          <w:rFonts w:hint="eastAsia" w:ascii="宋体" w:hAnsi="宋体" w:cs="宋体"/>
          <w:sz w:val="24"/>
          <w:highlight w:val="none"/>
        </w:rPr>
        <w:t>质量、拟投入人员不符合合同规定的，由乙方负责按照原招标文件、更正公告内容和质疑答疑文件（若有）、投标文件、中标（成交）通知书等实质性内容重新免费提供该项目服务内容，因此产生的费用，由乙方承担。</w:t>
      </w:r>
    </w:p>
    <w:p w14:paraId="5FFBF8D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十、争议解决</w:t>
      </w:r>
    </w:p>
    <w:p w14:paraId="5412B4E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因本合同发生的纠纷，各方应本着实事求是的原则，协商解决；协商不能解决时，任何一方均可通过向</w:t>
      </w:r>
      <w:r>
        <w:rPr>
          <w:rFonts w:hint="eastAsia" w:ascii="宋体" w:hAnsi="宋体" w:cs="宋体"/>
          <w:sz w:val="24"/>
          <w:highlight w:val="none"/>
          <w:u w:val="single"/>
        </w:rPr>
        <w:t>甲方所在地人民法院</w:t>
      </w:r>
      <w:r>
        <w:rPr>
          <w:rFonts w:hint="eastAsia" w:ascii="宋体" w:hAnsi="宋体" w:cs="宋体"/>
          <w:sz w:val="24"/>
          <w:highlight w:val="none"/>
        </w:rPr>
        <w:t>诉讼解决。</w:t>
      </w:r>
    </w:p>
    <w:p w14:paraId="7AC22A5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十一、附则</w:t>
      </w:r>
    </w:p>
    <w:p w14:paraId="5D2810B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1.本合同未明确约定的，按甲方需求及本合同确定的相关原则执行，或根据具体情况协商签订补充合同，补充合同与本合同具有同等法律效力</w:t>
      </w:r>
      <w:r>
        <w:rPr>
          <w:rFonts w:hint="eastAsia" w:ascii="宋体" w:hAnsi="宋体" w:cs="宋体"/>
          <w:sz w:val="24"/>
          <w:highlight w:val="none"/>
          <w:lang w:eastAsia="zh-CN"/>
        </w:rPr>
        <w:t>，</w:t>
      </w:r>
      <w:r>
        <w:rPr>
          <w:rFonts w:hint="eastAsia" w:ascii="宋体" w:hAnsi="宋体" w:cs="宋体"/>
          <w:sz w:val="24"/>
          <w:highlight w:val="none"/>
        </w:rPr>
        <w:t>如补充协议与本文不一致，以补充协议为准。</w:t>
      </w:r>
    </w:p>
    <w:p w14:paraId="5B7126C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2.本合同自双方</w:t>
      </w:r>
      <w:r>
        <w:rPr>
          <w:rFonts w:hint="eastAsia" w:ascii="宋体" w:hAnsi="宋体" w:cs="宋体"/>
          <w:sz w:val="24"/>
          <w:highlight w:val="none"/>
          <w:u w:val="single"/>
        </w:rPr>
        <w:t>法定代表人签章并加盖公章/合同专用章后</w:t>
      </w:r>
      <w:r>
        <w:rPr>
          <w:rFonts w:hint="eastAsia" w:ascii="宋体" w:hAnsi="宋体" w:cs="宋体"/>
          <w:sz w:val="24"/>
          <w:highlight w:val="none"/>
        </w:rPr>
        <w:t>生效。</w:t>
      </w:r>
    </w:p>
    <w:p w14:paraId="23096B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3.合同一式捌份，甲方执肆份，乙方执肆份，具有同等的法律效力。</w:t>
      </w:r>
    </w:p>
    <w:p w14:paraId="1BC0C8B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.甲、乙双方履行完毕合同规定的全部义务后，本合同自行终止。</w:t>
      </w:r>
    </w:p>
    <w:p w14:paraId="599317E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.本协议的解释权归甲乙双方共同所有。如有任何争议，应首先通过友好协商解决；协商不成的，按照本协议约定的争议解决方式处理。</w:t>
      </w:r>
    </w:p>
    <w:p w14:paraId="0E4D2A5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.本协议要求的任何通知或其他通信，均应以书面形式进行。双方应确保所提供的联系方式准确无误，并及时更新。</w:t>
      </w:r>
    </w:p>
    <w:p w14:paraId="32A6A88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.通知或其他通信的送达以双方确认的收件地址为准。若因一方提供的联系方式有误或未及时更新而导致通知无法送达的，该方应承担由此产生的责任。</w:t>
      </w:r>
    </w:p>
    <w:p w14:paraId="098DC009">
      <w:pPr>
        <w:spacing w:line="576" w:lineRule="exact"/>
        <w:ind w:firstLine="480" w:firstLineChars="200"/>
        <w:jc w:val="left"/>
        <w:rPr>
          <w:rFonts w:hint="eastAsia"/>
          <w:highlight w:val="none"/>
        </w:rPr>
      </w:pPr>
      <w:r>
        <w:rPr>
          <w:rFonts w:hint="eastAsia" w:ascii="宋体" w:hAnsi="宋体" w:cs="宋体"/>
          <w:sz w:val="24"/>
          <w:highlight w:val="none"/>
        </w:rPr>
        <w:t>（以下无正文。）</w:t>
      </w:r>
    </w:p>
    <w:tbl>
      <w:tblPr>
        <w:tblStyle w:val="4"/>
        <w:tblW w:w="8358" w:type="dxa"/>
        <w:tblInd w:w="98" w:type="dxa"/>
        <w:tblLayout w:type="autofit"/>
        <w:tblCellMar>
          <w:top w:w="0" w:type="dxa"/>
          <w:left w:w="108" w:type="dxa"/>
          <w:bottom w:w="0" w:type="dxa"/>
          <w:right w:w="108" w:type="dxa"/>
        </w:tblCellMar>
      </w:tblPr>
      <w:tblGrid>
        <w:gridCol w:w="1641"/>
        <w:gridCol w:w="2872"/>
        <w:gridCol w:w="1546"/>
        <w:gridCol w:w="2299"/>
      </w:tblGrid>
      <w:tr w14:paraId="0FB45F21">
        <w:tblPrEx>
          <w:tblCellMar>
            <w:top w:w="0" w:type="dxa"/>
            <w:left w:w="108" w:type="dxa"/>
            <w:bottom w:w="0" w:type="dxa"/>
            <w:right w:w="108" w:type="dxa"/>
          </w:tblCellMar>
        </w:tblPrEx>
        <w:trPr>
          <w:trHeight w:val="1244" w:hRule="atLeast"/>
        </w:trPr>
        <w:tc>
          <w:tcPr>
            <w:tcW w:w="1641" w:type="dxa"/>
            <w:tcBorders>
              <w:top w:val="nil"/>
              <w:left w:val="nil"/>
              <w:bottom w:val="nil"/>
              <w:right w:val="nil"/>
            </w:tcBorders>
            <w:noWrap w:val="0"/>
            <w:vAlign w:val="center"/>
          </w:tcPr>
          <w:p w14:paraId="6B75A27A">
            <w:pPr>
              <w:widowControl/>
              <w:textAlignment w:val="center"/>
              <w:rPr>
                <w:rFonts w:ascii="宋体" w:hAnsi="宋体" w:cs="宋体"/>
                <w:color w:val="000000"/>
                <w:sz w:val="24"/>
                <w:highlight w:val="none"/>
              </w:rPr>
            </w:pPr>
            <w:r>
              <w:rPr>
                <w:rFonts w:hint="eastAsia"/>
                <w:sz w:val="24"/>
                <w:highlight w:val="none"/>
                <w:lang w:bidi="ar"/>
              </w:rPr>
              <w:t>甲方</w:t>
            </w:r>
            <w:r>
              <w:rPr>
                <w:sz w:val="24"/>
                <w:highlight w:val="none"/>
                <w:lang w:bidi="ar"/>
              </w:rPr>
              <w:t>：(盖章)</w:t>
            </w:r>
          </w:p>
        </w:tc>
        <w:tc>
          <w:tcPr>
            <w:tcW w:w="2872" w:type="dxa"/>
            <w:tcBorders>
              <w:top w:val="nil"/>
              <w:left w:val="nil"/>
              <w:bottom w:val="nil"/>
              <w:right w:val="nil"/>
            </w:tcBorders>
            <w:noWrap w:val="0"/>
            <w:vAlign w:val="center"/>
          </w:tcPr>
          <w:p w14:paraId="68A79BF8">
            <w:pPr>
              <w:widowControl/>
              <w:textAlignment w:val="center"/>
              <w:rPr>
                <w:rFonts w:ascii="宋体" w:hAnsi="宋体" w:cs="宋体"/>
                <w:color w:val="000000"/>
                <w:sz w:val="24"/>
                <w:highlight w:val="none"/>
              </w:rPr>
            </w:pPr>
          </w:p>
        </w:tc>
        <w:tc>
          <w:tcPr>
            <w:tcW w:w="1546" w:type="dxa"/>
            <w:tcBorders>
              <w:top w:val="nil"/>
              <w:left w:val="nil"/>
              <w:bottom w:val="nil"/>
              <w:right w:val="nil"/>
            </w:tcBorders>
            <w:noWrap w:val="0"/>
            <w:vAlign w:val="center"/>
          </w:tcPr>
          <w:p w14:paraId="48C7E553">
            <w:pPr>
              <w:widowControl/>
              <w:textAlignment w:val="center"/>
              <w:rPr>
                <w:rFonts w:ascii="宋体" w:hAnsi="宋体" w:cs="宋体"/>
                <w:color w:val="000000"/>
                <w:sz w:val="24"/>
                <w:highlight w:val="none"/>
              </w:rPr>
            </w:pPr>
            <w:r>
              <w:rPr>
                <w:rFonts w:hint="eastAsia"/>
                <w:sz w:val="24"/>
                <w:highlight w:val="none"/>
                <w:lang w:bidi="ar"/>
              </w:rPr>
              <w:t>乙方</w:t>
            </w:r>
            <w:r>
              <w:rPr>
                <w:sz w:val="24"/>
                <w:highlight w:val="none"/>
                <w:lang w:bidi="ar"/>
              </w:rPr>
              <w:t>：(盖章)</w:t>
            </w:r>
          </w:p>
        </w:tc>
        <w:tc>
          <w:tcPr>
            <w:tcW w:w="2299" w:type="dxa"/>
            <w:tcBorders>
              <w:top w:val="nil"/>
              <w:left w:val="nil"/>
              <w:bottom w:val="nil"/>
              <w:right w:val="nil"/>
            </w:tcBorders>
            <w:noWrap w:val="0"/>
            <w:vAlign w:val="center"/>
          </w:tcPr>
          <w:p w14:paraId="511E384A">
            <w:pPr>
              <w:widowControl/>
              <w:textAlignment w:val="center"/>
              <w:rPr>
                <w:rFonts w:ascii="宋体" w:hAnsi="宋体" w:cs="宋体"/>
                <w:color w:val="000000"/>
                <w:sz w:val="24"/>
                <w:highlight w:val="none"/>
              </w:rPr>
            </w:pPr>
          </w:p>
        </w:tc>
      </w:tr>
      <w:tr w14:paraId="2C47C6E8">
        <w:tblPrEx>
          <w:tblCellMar>
            <w:top w:w="0" w:type="dxa"/>
            <w:left w:w="108" w:type="dxa"/>
            <w:bottom w:w="0" w:type="dxa"/>
            <w:right w:w="108" w:type="dxa"/>
          </w:tblCellMar>
        </w:tblPrEx>
        <w:trPr>
          <w:trHeight w:val="1369" w:hRule="atLeast"/>
        </w:trPr>
        <w:tc>
          <w:tcPr>
            <w:tcW w:w="1641" w:type="dxa"/>
            <w:tcBorders>
              <w:top w:val="nil"/>
              <w:left w:val="nil"/>
              <w:bottom w:val="nil"/>
              <w:right w:val="nil"/>
            </w:tcBorders>
            <w:noWrap w:val="0"/>
            <w:vAlign w:val="center"/>
          </w:tcPr>
          <w:p w14:paraId="553526BB">
            <w:pPr>
              <w:widowControl/>
              <w:textAlignment w:val="center"/>
              <w:rPr>
                <w:rFonts w:ascii="宋体" w:hAnsi="宋体" w:cs="宋体"/>
                <w:color w:val="000000"/>
                <w:sz w:val="24"/>
                <w:highlight w:val="none"/>
              </w:rPr>
            </w:pPr>
            <w:r>
              <w:rPr>
                <w:sz w:val="24"/>
                <w:highlight w:val="none"/>
                <w:lang w:bidi="ar"/>
              </w:rPr>
              <w:t>法定代表人：</w:t>
            </w:r>
          </w:p>
        </w:tc>
        <w:tc>
          <w:tcPr>
            <w:tcW w:w="2872" w:type="dxa"/>
            <w:tcBorders>
              <w:top w:val="nil"/>
              <w:left w:val="nil"/>
              <w:bottom w:val="nil"/>
              <w:right w:val="nil"/>
            </w:tcBorders>
            <w:noWrap w:val="0"/>
            <w:vAlign w:val="center"/>
          </w:tcPr>
          <w:p w14:paraId="2A12602D">
            <w:pPr>
              <w:rPr>
                <w:rFonts w:ascii="宋体" w:hAnsi="宋体" w:cs="宋体"/>
                <w:color w:val="000000"/>
                <w:sz w:val="24"/>
                <w:highlight w:val="none"/>
              </w:rPr>
            </w:pPr>
          </w:p>
        </w:tc>
        <w:tc>
          <w:tcPr>
            <w:tcW w:w="1546" w:type="dxa"/>
            <w:tcBorders>
              <w:top w:val="nil"/>
              <w:left w:val="nil"/>
              <w:bottom w:val="nil"/>
              <w:right w:val="nil"/>
            </w:tcBorders>
            <w:noWrap w:val="0"/>
            <w:vAlign w:val="center"/>
          </w:tcPr>
          <w:p w14:paraId="0CB76276">
            <w:pPr>
              <w:widowControl/>
              <w:textAlignment w:val="center"/>
              <w:rPr>
                <w:rFonts w:ascii="宋体" w:hAnsi="宋体" w:cs="宋体"/>
                <w:color w:val="000000"/>
                <w:sz w:val="24"/>
                <w:highlight w:val="none"/>
              </w:rPr>
            </w:pPr>
            <w:r>
              <w:rPr>
                <w:sz w:val="24"/>
                <w:highlight w:val="none"/>
                <w:lang w:bidi="ar"/>
              </w:rPr>
              <w:t>法定代表人：</w:t>
            </w:r>
          </w:p>
        </w:tc>
        <w:tc>
          <w:tcPr>
            <w:tcW w:w="2299" w:type="dxa"/>
            <w:tcBorders>
              <w:top w:val="nil"/>
              <w:left w:val="nil"/>
              <w:bottom w:val="nil"/>
              <w:right w:val="nil"/>
            </w:tcBorders>
            <w:noWrap w:val="0"/>
            <w:vAlign w:val="center"/>
          </w:tcPr>
          <w:p w14:paraId="7FF85519">
            <w:pPr>
              <w:rPr>
                <w:rFonts w:ascii="宋体" w:hAnsi="宋体" w:cs="宋体"/>
                <w:color w:val="000000"/>
                <w:sz w:val="24"/>
                <w:highlight w:val="none"/>
              </w:rPr>
            </w:pPr>
          </w:p>
        </w:tc>
      </w:tr>
      <w:tr w14:paraId="09ACFA70">
        <w:tblPrEx>
          <w:tblCellMar>
            <w:top w:w="0" w:type="dxa"/>
            <w:left w:w="108" w:type="dxa"/>
            <w:bottom w:w="0" w:type="dxa"/>
            <w:right w:w="108" w:type="dxa"/>
          </w:tblCellMar>
        </w:tblPrEx>
        <w:trPr>
          <w:trHeight w:val="685" w:hRule="atLeast"/>
        </w:trPr>
        <w:tc>
          <w:tcPr>
            <w:tcW w:w="1641" w:type="dxa"/>
            <w:tcBorders>
              <w:top w:val="nil"/>
              <w:left w:val="nil"/>
              <w:bottom w:val="nil"/>
              <w:right w:val="nil"/>
            </w:tcBorders>
            <w:noWrap w:val="0"/>
            <w:vAlign w:val="center"/>
          </w:tcPr>
          <w:p w14:paraId="362D6BC4">
            <w:pPr>
              <w:widowControl/>
              <w:textAlignment w:val="center"/>
              <w:rPr>
                <w:rFonts w:ascii="宋体" w:hAnsi="宋体" w:cs="宋体"/>
                <w:color w:val="000000"/>
                <w:sz w:val="24"/>
                <w:highlight w:val="none"/>
              </w:rPr>
            </w:pPr>
            <w:r>
              <w:rPr>
                <w:sz w:val="24"/>
                <w:highlight w:val="none"/>
                <w:lang w:bidi="ar"/>
              </w:rPr>
              <w:t>开户银行：</w:t>
            </w:r>
          </w:p>
        </w:tc>
        <w:tc>
          <w:tcPr>
            <w:tcW w:w="2872" w:type="dxa"/>
            <w:tcBorders>
              <w:top w:val="nil"/>
              <w:left w:val="nil"/>
              <w:bottom w:val="nil"/>
              <w:right w:val="nil"/>
            </w:tcBorders>
            <w:noWrap w:val="0"/>
            <w:vAlign w:val="center"/>
          </w:tcPr>
          <w:p w14:paraId="3BE65C7D">
            <w:pPr>
              <w:widowControl/>
              <w:textAlignment w:val="center"/>
              <w:rPr>
                <w:rFonts w:ascii="宋体" w:hAnsi="宋体" w:cs="宋体"/>
                <w:color w:val="000000"/>
                <w:sz w:val="24"/>
                <w:highlight w:val="none"/>
              </w:rPr>
            </w:pPr>
          </w:p>
        </w:tc>
        <w:tc>
          <w:tcPr>
            <w:tcW w:w="1546" w:type="dxa"/>
            <w:tcBorders>
              <w:top w:val="nil"/>
              <w:left w:val="nil"/>
              <w:bottom w:val="nil"/>
              <w:right w:val="nil"/>
            </w:tcBorders>
            <w:noWrap w:val="0"/>
            <w:vAlign w:val="center"/>
          </w:tcPr>
          <w:p w14:paraId="5FA6AEA5">
            <w:pPr>
              <w:widowControl/>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开户银行：</w:t>
            </w:r>
          </w:p>
        </w:tc>
        <w:tc>
          <w:tcPr>
            <w:tcW w:w="2299" w:type="dxa"/>
            <w:tcBorders>
              <w:top w:val="nil"/>
              <w:left w:val="nil"/>
              <w:bottom w:val="nil"/>
              <w:right w:val="nil"/>
            </w:tcBorders>
            <w:noWrap w:val="0"/>
            <w:vAlign w:val="center"/>
          </w:tcPr>
          <w:p w14:paraId="54E5E5AC">
            <w:pPr>
              <w:widowControl/>
              <w:textAlignment w:val="center"/>
              <w:rPr>
                <w:rFonts w:ascii="宋体" w:hAnsi="宋体" w:cs="宋体"/>
                <w:color w:val="000000"/>
                <w:sz w:val="24"/>
                <w:highlight w:val="none"/>
              </w:rPr>
            </w:pPr>
          </w:p>
        </w:tc>
      </w:tr>
      <w:tr w14:paraId="4313F06B">
        <w:tblPrEx>
          <w:tblCellMar>
            <w:top w:w="0" w:type="dxa"/>
            <w:left w:w="108" w:type="dxa"/>
            <w:bottom w:w="0" w:type="dxa"/>
            <w:right w:w="108" w:type="dxa"/>
          </w:tblCellMar>
        </w:tblPrEx>
        <w:trPr>
          <w:trHeight w:val="685" w:hRule="atLeast"/>
        </w:trPr>
        <w:tc>
          <w:tcPr>
            <w:tcW w:w="1641" w:type="dxa"/>
            <w:tcBorders>
              <w:top w:val="nil"/>
              <w:left w:val="nil"/>
              <w:bottom w:val="nil"/>
              <w:right w:val="nil"/>
            </w:tcBorders>
            <w:noWrap w:val="0"/>
            <w:vAlign w:val="center"/>
          </w:tcPr>
          <w:p w14:paraId="1A12C7AF">
            <w:pPr>
              <w:widowControl/>
              <w:textAlignment w:val="center"/>
              <w:rPr>
                <w:rFonts w:ascii="宋体" w:hAnsi="宋体" w:cs="宋体"/>
                <w:color w:val="000000"/>
                <w:sz w:val="24"/>
                <w:highlight w:val="none"/>
              </w:rPr>
            </w:pPr>
            <w:r>
              <w:rPr>
                <w:sz w:val="24"/>
                <w:highlight w:val="none"/>
                <w:lang w:bidi="ar"/>
              </w:rPr>
              <w:t>银行帐号：</w:t>
            </w:r>
          </w:p>
        </w:tc>
        <w:tc>
          <w:tcPr>
            <w:tcW w:w="2872" w:type="dxa"/>
            <w:tcBorders>
              <w:top w:val="nil"/>
              <w:left w:val="nil"/>
              <w:bottom w:val="nil"/>
              <w:right w:val="nil"/>
            </w:tcBorders>
            <w:noWrap w:val="0"/>
            <w:vAlign w:val="center"/>
          </w:tcPr>
          <w:p w14:paraId="2CE929CF">
            <w:pPr>
              <w:widowControl/>
              <w:textAlignment w:val="center"/>
              <w:rPr>
                <w:rFonts w:ascii="宋体" w:hAnsi="宋体" w:cs="宋体"/>
                <w:color w:val="000000"/>
                <w:sz w:val="24"/>
                <w:highlight w:val="none"/>
              </w:rPr>
            </w:pPr>
          </w:p>
        </w:tc>
        <w:tc>
          <w:tcPr>
            <w:tcW w:w="1546" w:type="dxa"/>
            <w:tcBorders>
              <w:top w:val="nil"/>
              <w:left w:val="nil"/>
              <w:bottom w:val="nil"/>
              <w:right w:val="nil"/>
            </w:tcBorders>
            <w:noWrap w:val="0"/>
            <w:vAlign w:val="center"/>
          </w:tcPr>
          <w:p w14:paraId="15AA5EB6">
            <w:pPr>
              <w:widowControl/>
              <w:textAlignment w:val="center"/>
              <w:rPr>
                <w:rFonts w:ascii="宋体" w:hAnsi="宋体" w:cs="宋体"/>
                <w:color w:val="000000"/>
                <w:sz w:val="24"/>
                <w:highlight w:val="none"/>
              </w:rPr>
            </w:pPr>
            <w:r>
              <w:rPr>
                <w:sz w:val="24"/>
                <w:highlight w:val="none"/>
                <w:lang w:bidi="ar"/>
              </w:rPr>
              <w:t>银行帐号：</w:t>
            </w:r>
          </w:p>
        </w:tc>
        <w:tc>
          <w:tcPr>
            <w:tcW w:w="2299" w:type="dxa"/>
            <w:tcBorders>
              <w:top w:val="nil"/>
              <w:left w:val="nil"/>
              <w:bottom w:val="nil"/>
              <w:right w:val="nil"/>
            </w:tcBorders>
            <w:noWrap w:val="0"/>
            <w:vAlign w:val="center"/>
          </w:tcPr>
          <w:p w14:paraId="1E0369F4">
            <w:pPr>
              <w:widowControl/>
              <w:textAlignment w:val="center"/>
              <w:rPr>
                <w:rFonts w:ascii="宋体" w:hAnsi="宋体" w:cs="宋体"/>
                <w:color w:val="000000"/>
                <w:sz w:val="24"/>
                <w:highlight w:val="none"/>
              </w:rPr>
            </w:pPr>
          </w:p>
        </w:tc>
      </w:tr>
      <w:tr w14:paraId="59557773">
        <w:tblPrEx>
          <w:tblCellMar>
            <w:top w:w="0" w:type="dxa"/>
            <w:left w:w="108" w:type="dxa"/>
            <w:bottom w:w="0" w:type="dxa"/>
            <w:right w:w="108" w:type="dxa"/>
          </w:tblCellMar>
        </w:tblPrEx>
        <w:trPr>
          <w:trHeight w:val="548" w:hRule="atLeast"/>
        </w:trPr>
        <w:tc>
          <w:tcPr>
            <w:tcW w:w="1641" w:type="dxa"/>
            <w:tcBorders>
              <w:top w:val="nil"/>
              <w:left w:val="nil"/>
              <w:bottom w:val="nil"/>
              <w:right w:val="nil"/>
            </w:tcBorders>
            <w:noWrap w:val="0"/>
            <w:vAlign w:val="center"/>
          </w:tcPr>
          <w:p w14:paraId="1B4240F1">
            <w:pPr>
              <w:widowControl/>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签约时间：</w:t>
            </w:r>
          </w:p>
        </w:tc>
        <w:tc>
          <w:tcPr>
            <w:tcW w:w="2872" w:type="dxa"/>
            <w:tcBorders>
              <w:top w:val="nil"/>
              <w:left w:val="nil"/>
              <w:bottom w:val="nil"/>
              <w:right w:val="nil"/>
            </w:tcBorders>
            <w:noWrap w:val="0"/>
            <w:vAlign w:val="center"/>
          </w:tcPr>
          <w:p w14:paraId="1408AAFC">
            <w:pPr>
              <w:widowControl/>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 xml:space="preserve">    年  月  日</w:t>
            </w:r>
          </w:p>
        </w:tc>
        <w:tc>
          <w:tcPr>
            <w:tcW w:w="1546" w:type="dxa"/>
            <w:tcBorders>
              <w:top w:val="nil"/>
              <w:left w:val="nil"/>
              <w:bottom w:val="nil"/>
              <w:right w:val="nil"/>
            </w:tcBorders>
            <w:noWrap w:val="0"/>
            <w:vAlign w:val="center"/>
          </w:tcPr>
          <w:p w14:paraId="5ADA4665">
            <w:pPr>
              <w:widowControl/>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签约时间：</w:t>
            </w:r>
          </w:p>
        </w:tc>
        <w:tc>
          <w:tcPr>
            <w:tcW w:w="2299" w:type="dxa"/>
            <w:tcBorders>
              <w:top w:val="nil"/>
              <w:left w:val="nil"/>
              <w:bottom w:val="nil"/>
              <w:right w:val="nil"/>
            </w:tcBorders>
            <w:noWrap w:val="0"/>
            <w:vAlign w:val="center"/>
          </w:tcPr>
          <w:p w14:paraId="13834720">
            <w:pPr>
              <w:widowControl/>
              <w:ind w:firstLine="720" w:firstLineChars="300"/>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年  月  日</w:t>
            </w:r>
          </w:p>
        </w:tc>
      </w:tr>
    </w:tbl>
    <w:p w14:paraId="226D60E9">
      <w:pPr>
        <w:pStyle w:val="6"/>
        <w:adjustRightInd w:val="0"/>
        <w:snapToGrid w:val="0"/>
        <w:spacing w:line="360" w:lineRule="auto"/>
        <w:rPr>
          <w:rFonts w:hint="default" w:ascii="宋体" w:hAnsi="宋体" w:eastAsia="宋体" w:cs="宋体"/>
          <w:sz w:val="24"/>
          <w:szCs w:val="24"/>
          <w:highlight w:val="none"/>
        </w:rPr>
      </w:pPr>
    </w:p>
    <w:p w14:paraId="009418C8"/>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3F71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FBFD19">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AFBFD19">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425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2025-07-18T08:14:28Z</dcterms:created>
  <dc:creator>dell</dc:creator>
  <cp:lastModifiedBy>开瑞【代理机构】</cp:lastModifiedBy>
  <dcterms:modified xsi:type="dcterms:W3CDTF">2025-07-18T08:14:49Z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eyJoZGlkIjoiNDdlMDJkMWY0NzMwOTMyNjM3YWM1MjE4YWZjMjliZmIiLCJ1c2VySWQiOiIzODU0NDc2MTYifQ==</vt:lpwstr>
  </property>
  <property fmtid="{D5CDD505-2E9C-101B-9397-08002B2CF9AE}" pid="4" name="ICV">
    <vt:lpwstr>FEDEF6E267734D65A2FD23F108AE50F9_12</vt:lpwstr>
  </property>
</Properties>
</file>