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176D0">
      <w:pPr>
        <w:pStyle w:val="3"/>
        <w:keepNext/>
        <w:keepLines/>
        <w:pageBreakBefore w:val="0"/>
        <w:widowControl w:val="0"/>
        <w:kinsoku/>
        <w:wordWrap/>
        <w:overflowPunct/>
        <w:topLinePunct w:val="0"/>
        <w:autoSpaceDE/>
        <w:autoSpaceDN/>
        <w:bidi w:val="0"/>
        <w:adjustRightInd/>
        <w:snapToGrid/>
        <w:spacing w:before="200" w:after="0" w:line="360" w:lineRule="auto"/>
        <w:jc w:val="center"/>
        <w:textAlignment w:val="auto"/>
        <w:rPr>
          <w:rFonts w:hint="eastAsia" w:ascii="仿宋" w:hAnsi="仿宋" w:eastAsia="仿宋" w:cs="仿宋"/>
          <w:caps w:val="0"/>
          <w:smallCaps w:val="0"/>
          <w:color w:val="auto"/>
          <w:spacing w:val="0"/>
          <w:sz w:val="36"/>
          <w:szCs w:val="36"/>
          <w:highlight w:val="yellow"/>
        </w:rPr>
      </w:pPr>
      <w:r>
        <w:rPr>
          <w:rFonts w:hint="eastAsia" w:ascii="仿宋" w:hAnsi="仿宋" w:eastAsia="仿宋" w:cs="仿宋"/>
          <w:caps w:val="0"/>
          <w:smallCaps w:val="0"/>
          <w:color w:val="auto"/>
          <w:spacing w:val="0"/>
          <w:sz w:val="36"/>
          <w:szCs w:val="36"/>
          <w:highlight w:val="none"/>
        </w:rPr>
        <w:t>合同格式及主要条款</w:t>
      </w:r>
    </w:p>
    <w:p w14:paraId="509567D8">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3216"/>
      <w:bookmarkStart w:id="1" w:name="_Toc109542396"/>
    </w:p>
    <w:p w14:paraId="58AF1576">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14:paraId="309AA2A6">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14:paraId="150DEF85">
      <w:pPr>
        <w:spacing w:before="120"/>
        <w:jc w:val="center"/>
        <w:rPr>
          <w:rFonts w:hint="eastAsia" w:ascii="仿宋" w:hAnsi="仿宋" w:eastAsia="仿宋" w:cs="仿宋"/>
          <w:b/>
          <w:bCs/>
          <w:sz w:val="32"/>
          <w:szCs w:val="32"/>
        </w:rPr>
      </w:pPr>
    </w:p>
    <w:p w14:paraId="6E09423A">
      <w:pPr>
        <w:spacing w:before="120" w:line="360" w:lineRule="auto"/>
        <w:ind w:firstLine="4072" w:firstLineChars="1690"/>
        <w:rPr>
          <w:rFonts w:hint="eastAsia" w:ascii="仿宋" w:hAnsi="仿宋" w:eastAsia="仿宋" w:cs="仿宋"/>
          <w:b/>
          <w:bCs/>
          <w:sz w:val="24"/>
          <w:szCs w:val="24"/>
        </w:rPr>
      </w:pPr>
    </w:p>
    <w:p w14:paraId="1B6B2B66">
      <w:pPr>
        <w:spacing w:before="120" w:line="360" w:lineRule="auto"/>
        <w:ind w:firstLine="4072" w:firstLineChars="1690"/>
        <w:rPr>
          <w:rFonts w:hint="eastAsia" w:ascii="仿宋" w:hAnsi="仿宋" w:eastAsia="仿宋" w:cs="仿宋"/>
          <w:b/>
          <w:bCs/>
          <w:sz w:val="24"/>
          <w:szCs w:val="24"/>
        </w:rPr>
      </w:pPr>
    </w:p>
    <w:p w14:paraId="11948AC4">
      <w:pPr>
        <w:spacing w:before="120" w:line="360" w:lineRule="auto"/>
        <w:ind w:firstLine="4072" w:firstLineChars="1690"/>
        <w:rPr>
          <w:rFonts w:hint="eastAsia" w:ascii="仿宋" w:hAnsi="仿宋" w:eastAsia="仿宋" w:cs="仿宋"/>
          <w:b/>
          <w:bCs/>
          <w:sz w:val="24"/>
          <w:szCs w:val="24"/>
        </w:rPr>
      </w:pPr>
    </w:p>
    <w:p w14:paraId="1D4D4EAF">
      <w:pPr>
        <w:spacing w:line="480" w:lineRule="auto"/>
        <w:outlineLvl w:val="9"/>
        <w:rPr>
          <w:rFonts w:hint="eastAsia" w:ascii="仿宋" w:hAnsi="仿宋" w:eastAsia="仿宋" w:cs="仿宋"/>
          <w:b/>
          <w:bCs/>
          <w:sz w:val="24"/>
          <w:szCs w:val="24"/>
          <w:u w:val="single"/>
          <w:lang w:eastAsia="zh-CN"/>
        </w:rPr>
      </w:pPr>
      <w:bookmarkStart w:id="2" w:name="_Toc26357667"/>
      <w:bookmarkStart w:id="3" w:name="_Toc30436"/>
      <w:bookmarkStart w:id="4" w:name="_Toc7810"/>
      <w:bookmarkStart w:id="5" w:name="_Toc14017"/>
      <w:bookmarkStart w:id="6" w:name="_Toc13644"/>
      <w:r>
        <w:rPr>
          <w:rFonts w:hint="eastAsia" w:ascii="仿宋" w:hAnsi="仿宋" w:eastAsia="仿宋" w:cs="仿宋"/>
          <w:color w:val="000000"/>
          <w:sz w:val="24"/>
          <w:szCs w:val="24"/>
          <w:lang w:val="en-US" w:eastAsia="zh-CN"/>
        </w:rPr>
        <w:t xml:space="preserve">            </w:t>
      </w:r>
      <w:r>
        <w:rPr>
          <w:rFonts w:hint="eastAsia" w:ascii="仿宋" w:hAnsi="仿宋" w:eastAsia="仿宋" w:cs="仿宋"/>
          <w:b/>
          <w:bCs/>
          <w:color w:val="000000"/>
          <w:sz w:val="24"/>
          <w:szCs w:val="24"/>
          <w:lang w:val="en-US" w:eastAsia="zh-CN"/>
        </w:rPr>
        <w:t xml:space="preserve">  </w:t>
      </w:r>
      <w:bookmarkStart w:id="7" w:name="_Toc5052"/>
      <w:r>
        <w:rPr>
          <w:rFonts w:hint="eastAsia" w:ascii="仿宋" w:hAnsi="仿宋" w:eastAsia="仿宋" w:cs="仿宋"/>
          <w:b/>
          <w:bCs/>
          <w:color w:val="000000"/>
          <w:sz w:val="24"/>
          <w:szCs w:val="24"/>
        </w:rPr>
        <w:t>项目名称：</w:t>
      </w:r>
      <w:bookmarkEnd w:id="2"/>
      <w:bookmarkEnd w:id="3"/>
      <w:bookmarkEnd w:id="4"/>
      <w:bookmarkEnd w:id="5"/>
      <w:bookmarkEnd w:id="6"/>
      <w:bookmarkEnd w:id="7"/>
      <w:r>
        <w:rPr>
          <w:rFonts w:hint="eastAsia" w:ascii="仿宋" w:hAnsi="仿宋" w:eastAsia="仿宋" w:cs="仿宋"/>
          <w:b/>
          <w:bCs/>
          <w:color w:val="000000"/>
          <w:sz w:val="24"/>
          <w:szCs w:val="24"/>
          <w:u w:val="single"/>
        </w:rPr>
        <w:t xml:space="preserve"> </w:t>
      </w:r>
      <w:r>
        <w:rPr>
          <w:rFonts w:hint="eastAsia" w:ascii="仿宋" w:hAnsi="仿宋" w:eastAsia="仿宋" w:cs="仿宋"/>
          <w:b/>
          <w:bCs/>
          <w:color w:val="000000"/>
          <w:sz w:val="24"/>
          <w:szCs w:val="24"/>
          <w:u w:val="single"/>
          <w:lang w:val="en-US" w:eastAsia="zh-CN"/>
        </w:rPr>
        <w:t xml:space="preserve">                         </w:t>
      </w:r>
    </w:p>
    <w:p w14:paraId="09FB9CC7">
      <w:pPr>
        <w:spacing w:line="480" w:lineRule="auto"/>
        <w:ind w:firstLine="1687" w:firstLineChars="700"/>
        <w:outlineLvl w:val="9"/>
        <w:rPr>
          <w:rFonts w:hint="default" w:ascii="仿宋" w:hAnsi="仿宋" w:eastAsia="仿宋" w:cs="仿宋"/>
          <w:b/>
          <w:bCs/>
          <w:color w:val="000000"/>
          <w:sz w:val="24"/>
          <w:szCs w:val="24"/>
          <w:lang w:val="en-US" w:eastAsia="zh-CN"/>
        </w:rPr>
      </w:pPr>
      <w:bookmarkStart w:id="8" w:name="_Toc26357668"/>
      <w:bookmarkStart w:id="9" w:name="_Toc12523"/>
      <w:bookmarkStart w:id="10" w:name="_Toc10296"/>
      <w:bookmarkStart w:id="11" w:name="_Toc2977"/>
      <w:bookmarkStart w:id="12" w:name="_Toc32312"/>
      <w:bookmarkStart w:id="13" w:name="_Toc27497"/>
      <w:bookmarkStart w:id="14" w:name="_Toc23419"/>
      <w:bookmarkStart w:id="15" w:name="_Toc15682"/>
      <w:r>
        <w:rPr>
          <w:rFonts w:hint="eastAsia" w:ascii="仿宋" w:hAnsi="仿宋" w:eastAsia="仿宋" w:cs="仿宋"/>
          <w:b/>
          <w:bCs/>
          <w:color w:val="000000"/>
          <w:sz w:val="24"/>
          <w:szCs w:val="24"/>
        </w:rPr>
        <w:t>采购内容：</w:t>
      </w:r>
      <w:bookmarkEnd w:id="8"/>
      <w:bookmarkEnd w:id="9"/>
      <w:bookmarkEnd w:id="10"/>
      <w:bookmarkEnd w:id="11"/>
      <w:bookmarkEnd w:id="12"/>
      <w:bookmarkEnd w:id="13"/>
      <w:bookmarkEnd w:id="14"/>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b/>
          <w:bCs/>
          <w:color w:val="000000"/>
          <w:sz w:val="24"/>
          <w:szCs w:val="24"/>
          <w:u w:val="single"/>
          <w:lang w:val="en-US" w:eastAsia="zh-CN"/>
        </w:rPr>
        <w:t xml:space="preserve">                          </w:t>
      </w:r>
    </w:p>
    <w:p w14:paraId="21D2488F">
      <w:pPr>
        <w:spacing w:line="480" w:lineRule="auto"/>
        <w:ind w:left="1441" w:leftChars="686" w:firstLine="241" w:firstLineChars="100"/>
        <w:outlineLvl w:val="9"/>
        <w:rPr>
          <w:rFonts w:hint="eastAsia" w:ascii="仿宋" w:hAnsi="仿宋" w:eastAsia="仿宋" w:cs="仿宋"/>
          <w:b/>
          <w:bCs/>
          <w:color w:val="000000"/>
          <w:sz w:val="24"/>
          <w:szCs w:val="24"/>
          <w:lang w:eastAsia="zh-CN"/>
        </w:rPr>
      </w:pPr>
      <w:bookmarkStart w:id="16" w:name="_Toc16161"/>
      <w:bookmarkStart w:id="17" w:name="_Toc20159"/>
      <w:r>
        <w:rPr>
          <w:rFonts w:hint="eastAsia" w:ascii="仿宋" w:hAnsi="仿宋" w:eastAsia="仿宋" w:cs="仿宋"/>
          <w:b/>
          <w:bCs/>
          <w:color w:val="000000"/>
          <w:sz w:val="24"/>
          <w:szCs w:val="24"/>
          <w:lang w:eastAsia="zh-CN"/>
        </w:rPr>
        <w:t>采购人</w:t>
      </w:r>
      <w:r>
        <w:rPr>
          <w:rFonts w:hint="eastAsia" w:ascii="仿宋" w:hAnsi="仿宋" w:eastAsia="仿宋" w:cs="仿宋"/>
          <w:b/>
          <w:bCs/>
          <w:color w:val="000000"/>
          <w:sz w:val="24"/>
          <w:szCs w:val="24"/>
        </w:rPr>
        <w:t>：</w:t>
      </w:r>
      <w:bookmarkEnd w:id="16"/>
      <w:bookmarkEnd w:id="17"/>
      <w:r>
        <w:rPr>
          <w:rFonts w:hint="eastAsia" w:ascii="仿宋" w:hAnsi="仿宋" w:eastAsia="仿宋" w:cs="仿宋"/>
          <w:b/>
          <w:bCs/>
          <w:color w:val="000000"/>
          <w:sz w:val="24"/>
          <w:szCs w:val="24"/>
          <w:u w:val="single"/>
          <w:lang w:eastAsia="zh-CN"/>
        </w:rPr>
        <w:t>宝鸡文理学院</w:t>
      </w:r>
      <w:r>
        <w:rPr>
          <w:rFonts w:hint="eastAsia" w:ascii="仿宋" w:hAnsi="仿宋" w:eastAsia="仿宋" w:cs="仿宋"/>
          <w:b/>
          <w:bCs/>
          <w:color w:val="000000"/>
          <w:sz w:val="24"/>
          <w:szCs w:val="24"/>
          <w:u w:val="single"/>
          <w:lang w:val="en-US" w:eastAsia="zh-CN"/>
        </w:rPr>
        <w:t xml:space="preserve">                 </w:t>
      </w:r>
    </w:p>
    <w:p w14:paraId="3387BF93">
      <w:pPr>
        <w:spacing w:line="480" w:lineRule="auto"/>
        <w:ind w:left="1441" w:leftChars="686" w:firstLine="241" w:firstLineChars="100"/>
        <w:outlineLvl w:val="9"/>
        <w:rPr>
          <w:rFonts w:hint="eastAsia" w:ascii="仿宋" w:hAnsi="仿宋" w:eastAsia="仿宋" w:cs="仿宋"/>
          <w:b/>
          <w:kern w:val="0"/>
          <w:sz w:val="32"/>
          <w:szCs w:val="32"/>
          <w:u w:val="single"/>
        </w:rPr>
      </w:pPr>
      <w:bookmarkStart w:id="18" w:name="_Toc18811"/>
      <w:bookmarkStart w:id="19" w:name="_Toc28647"/>
      <w:r>
        <w:rPr>
          <w:rFonts w:hint="eastAsia" w:ascii="仿宋" w:hAnsi="仿宋" w:eastAsia="仿宋" w:cs="仿宋"/>
          <w:b/>
          <w:bCs/>
          <w:color w:val="000000"/>
          <w:sz w:val="24"/>
          <w:szCs w:val="24"/>
          <w:lang w:eastAsia="zh-CN"/>
        </w:rPr>
        <w:t>成交人</w:t>
      </w:r>
      <w:r>
        <w:rPr>
          <w:rFonts w:hint="eastAsia" w:ascii="仿宋" w:hAnsi="仿宋" w:eastAsia="仿宋" w:cs="仿宋"/>
          <w:b/>
          <w:bCs/>
          <w:color w:val="000000"/>
          <w:sz w:val="24"/>
          <w:szCs w:val="24"/>
        </w:rPr>
        <w:t>：</w:t>
      </w:r>
      <w:bookmarkEnd w:id="18"/>
      <w:bookmarkEnd w:id="19"/>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5C1C890">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14:paraId="6E6917DB">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CDEFC60">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14:paraId="7AA1FFFC">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u w:val="single"/>
        </w:rPr>
        <w:t xml:space="preserve">           </w:t>
      </w:r>
      <w:r>
        <w:rPr>
          <w:rFonts w:hint="eastAsia" w:ascii="仿宋" w:hAnsi="仿宋" w:eastAsia="仿宋" w:cs="仿宋"/>
          <w:sz w:val="24"/>
          <w:szCs w:val="24"/>
        </w:rPr>
        <w:t>采购相关事项达成一致意见，订立本合同。</w:t>
      </w:r>
    </w:p>
    <w:p w14:paraId="0DE059B7">
      <w:pPr>
        <w:shd w:val="clear" w:color="auto" w:fill="FFFFFF"/>
        <w:tabs>
          <w:tab w:val="left" w:pos="425"/>
        </w:tabs>
        <w:spacing w:line="360" w:lineRule="auto"/>
        <w:textAlignment w:val="baseline"/>
        <w:outlineLvl w:val="9"/>
        <w:rPr>
          <w:rFonts w:hint="eastAsia" w:ascii="仿宋" w:hAnsi="仿宋" w:eastAsia="仿宋" w:cs="仿宋"/>
          <w:sz w:val="24"/>
          <w:szCs w:val="24"/>
        </w:rPr>
      </w:pPr>
      <w:bookmarkStart w:id="20" w:name="_Toc28439"/>
      <w:bookmarkStart w:id="21" w:name="_Toc16613"/>
      <w:bookmarkStart w:id="22" w:name="_Toc495505730"/>
      <w:bookmarkStart w:id="23" w:name="_Toc28726"/>
      <w:r>
        <w:rPr>
          <w:rFonts w:hint="eastAsia" w:ascii="仿宋" w:hAnsi="仿宋" w:eastAsia="仿宋" w:cs="仿宋"/>
          <w:b/>
          <w:bCs/>
          <w:sz w:val="24"/>
          <w:szCs w:val="24"/>
        </w:rPr>
        <w:t>一、项目范围</w:t>
      </w:r>
      <w:bookmarkEnd w:id="20"/>
      <w:bookmarkEnd w:id="21"/>
      <w:bookmarkEnd w:id="22"/>
      <w:bookmarkEnd w:id="23"/>
    </w:p>
    <w:p w14:paraId="623F41DA">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24" w:name="_Toc2047"/>
      <w:bookmarkStart w:id="25" w:name="_Toc495505731"/>
      <w:bookmarkStart w:id="26" w:name="_Toc8960"/>
      <w:bookmarkStart w:id="27" w:name="_Toc5711"/>
      <w:r>
        <w:rPr>
          <w:rFonts w:hint="eastAsia" w:ascii="仿宋" w:hAnsi="仿宋" w:eastAsia="仿宋" w:cs="仿宋"/>
          <w:b/>
          <w:bCs/>
          <w:sz w:val="24"/>
          <w:szCs w:val="24"/>
        </w:rPr>
        <w:t>二、交货期及质保期</w:t>
      </w:r>
      <w:bookmarkEnd w:id="24"/>
      <w:bookmarkEnd w:id="25"/>
      <w:bookmarkEnd w:id="26"/>
      <w:bookmarkEnd w:id="27"/>
    </w:p>
    <w:p w14:paraId="7DBA7FC4">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w:t>
      </w:r>
      <w:bookmarkStart w:id="92" w:name="_GoBack"/>
      <w:bookmarkEnd w:id="92"/>
      <w:r>
        <w:rPr>
          <w:rFonts w:hint="eastAsia" w:ascii="仿宋" w:hAnsi="仿宋" w:eastAsia="仿宋" w:cs="仿宋"/>
          <w:sz w:val="24"/>
          <w:szCs w:val="24"/>
        </w:rPr>
        <w:t>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62B855A">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28" w:name="_Toc9864"/>
      <w:bookmarkStart w:id="29" w:name="_Toc1906"/>
      <w:bookmarkStart w:id="30" w:name="_Toc495505732"/>
      <w:bookmarkStart w:id="31" w:name="_Toc25258"/>
      <w:r>
        <w:rPr>
          <w:rFonts w:hint="eastAsia" w:ascii="仿宋" w:hAnsi="仿宋" w:eastAsia="仿宋" w:cs="仿宋"/>
          <w:b/>
          <w:bCs/>
          <w:sz w:val="24"/>
          <w:szCs w:val="24"/>
        </w:rPr>
        <w:t>三、合同文件及解释</w:t>
      </w:r>
      <w:bookmarkEnd w:id="28"/>
      <w:bookmarkEnd w:id="29"/>
      <w:bookmarkEnd w:id="30"/>
      <w:bookmarkEnd w:id="31"/>
    </w:p>
    <w:p w14:paraId="6DB89C30">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14:paraId="5100F29E">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中标通知书</w:t>
      </w:r>
    </w:p>
    <w:p w14:paraId="3AD67F5D">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招标文件及招标补遗文件</w:t>
      </w:r>
    </w:p>
    <w:p w14:paraId="00FF8714">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lang w:val="en-US" w:eastAsia="zh-CN"/>
        </w:rPr>
        <w:t>投标</w:t>
      </w:r>
      <w:r>
        <w:rPr>
          <w:rFonts w:hint="eastAsia" w:ascii="仿宋" w:hAnsi="仿宋" w:eastAsia="仿宋" w:cs="仿宋"/>
          <w:kern w:val="28"/>
          <w:sz w:val="24"/>
          <w:szCs w:val="24"/>
        </w:rPr>
        <w:t>函及</w:t>
      </w:r>
      <w:r>
        <w:rPr>
          <w:rFonts w:hint="eastAsia" w:ascii="仿宋" w:hAnsi="仿宋" w:eastAsia="仿宋" w:cs="仿宋"/>
          <w:kern w:val="28"/>
          <w:sz w:val="24"/>
          <w:szCs w:val="24"/>
          <w:lang w:val="en-US" w:eastAsia="zh-CN"/>
        </w:rPr>
        <w:t>投标</w:t>
      </w:r>
      <w:r>
        <w:rPr>
          <w:rFonts w:hint="eastAsia" w:ascii="仿宋" w:hAnsi="仿宋" w:eastAsia="仿宋" w:cs="仿宋"/>
          <w:kern w:val="28"/>
          <w:sz w:val="24"/>
          <w:szCs w:val="24"/>
        </w:rPr>
        <w:t>函附录</w:t>
      </w:r>
    </w:p>
    <w:p w14:paraId="6FC5CC19">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14:paraId="20BF804B">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14:paraId="318BADE4">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32" w:name="_Toc12506"/>
      <w:bookmarkStart w:id="33" w:name="_Toc16579"/>
      <w:bookmarkStart w:id="34" w:name="_Toc25364"/>
      <w:bookmarkStart w:id="35" w:name="_Toc495505733"/>
      <w:r>
        <w:rPr>
          <w:rFonts w:hint="eastAsia" w:ascii="仿宋" w:hAnsi="仿宋" w:eastAsia="仿宋" w:cs="仿宋"/>
          <w:b/>
          <w:bCs/>
          <w:sz w:val="24"/>
          <w:szCs w:val="24"/>
        </w:rPr>
        <w:t>四、合同价款、结算与支付</w:t>
      </w:r>
      <w:bookmarkEnd w:id="32"/>
      <w:bookmarkEnd w:id="33"/>
      <w:bookmarkEnd w:id="34"/>
      <w:bookmarkEnd w:id="35"/>
    </w:p>
    <w:p w14:paraId="197576EB">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14:paraId="29BDB8C5">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7722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2E3A179E">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14:paraId="7EBB2EF3">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14:paraId="56C2803C">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14:paraId="0341E065">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14:paraId="27E0CF15">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14:paraId="08FDEEFF">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14:paraId="10B5555D">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14:paraId="615E5E26">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14:paraId="36C46308">
            <w:pPr>
              <w:spacing w:line="440" w:lineRule="exact"/>
              <w:jc w:val="center"/>
              <w:rPr>
                <w:rFonts w:hint="eastAsia" w:ascii="仿宋" w:hAnsi="仿宋" w:eastAsia="仿宋" w:cs="仿宋"/>
              </w:rPr>
            </w:pPr>
            <w:r>
              <w:rPr>
                <w:rFonts w:hint="eastAsia" w:ascii="仿宋" w:hAnsi="仿宋" w:eastAsia="仿宋" w:cs="仿宋"/>
              </w:rPr>
              <w:t>备注</w:t>
            </w:r>
          </w:p>
        </w:tc>
      </w:tr>
      <w:tr w14:paraId="4D95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CC53C3E">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14:paraId="2AB3465A">
            <w:pPr>
              <w:spacing w:line="440" w:lineRule="exact"/>
              <w:jc w:val="center"/>
              <w:rPr>
                <w:rFonts w:hint="eastAsia" w:ascii="仿宋" w:hAnsi="仿宋" w:eastAsia="仿宋" w:cs="仿宋"/>
              </w:rPr>
            </w:pPr>
          </w:p>
        </w:tc>
        <w:tc>
          <w:tcPr>
            <w:tcW w:w="1559" w:type="dxa"/>
            <w:noWrap w:val="0"/>
            <w:vAlign w:val="center"/>
          </w:tcPr>
          <w:p w14:paraId="34C3681D">
            <w:pPr>
              <w:spacing w:line="440" w:lineRule="exact"/>
              <w:jc w:val="center"/>
              <w:rPr>
                <w:rFonts w:hint="eastAsia" w:ascii="仿宋" w:hAnsi="仿宋" w:eastAsia="仿宋" w:cs="仿宋"/>
              </w:rPr>
            </w:pPr>
          </w:p>
        </w:tc>
        <w:tc>
          <w:tcPr>
            <w:tcW w:w="1417" w:type="dxa"/>
            <w:noWrap w:val="0"/>
            <w:vAlign w:val="center"/>
          </w:tcPr>
          <w:p w14:paraId="58E58164">
            <w:pPr>
              <w:spacing w:line="440" w:lineRule="exact"/>
              <w:jc w:val="center"/>
              <w:rPr>
                <w:rFonts w:hint="eastAsia" w:ascii="仿宋" w:hAnsi="仿宋" w:eastAsia="仿宋" w:cs="仿宋"/>
              </w:rPr>
            </w:pPr>
          </w:p>
        </w:tc>
        <w:tc>
          <w:tcPr>
            <w:tcW w:w="567" w:type="dxa"/>
            <w:noWrap w:val="0"/>
            <w:vAlign w:val="center"/>
          </w:tcPr>
          <w:p w14:paraId="27F4F480">
            <w:pPr>
              <w:spacing w:line="440" w:lineRule="exact"/>
              <w:ind w:left="-50" w:right="-50"/>
              <w:jc w:val="center"/>
              <w:rPr>
                <w:rFonts w:hint="eastAsia" w:ascii="仿宋" w:hAnsi="仿宋" w:eastAsia="仿宋" w:cs="仿宋"/>
              </w:rPr>
            </w:pPr>
          </w:p>
        </w:tc>
        <w:tc>
          <w:tcPr>
            <w:tcW w:w="709" w:type="dxa"/>
            <w:noWrap w:val="0"/>
            <w:vAlign w:val="center"/>
          </w:tcPr>
          <w:p w14:paraId="4FCC3C01">
            <w:pPr>
              <w:spacing w:line="440" w:lineRule="exact"/>
              <w:ind w:left="-50" w:right="-50"/>
              <w:jc w:val="center"/>
              <w:rPr>
                <w:rFonts w:hint="eastAsia" w:ascii="仿宋" w:hAnsi="仿宋" w:eastAsia="仿宋" w:cs="仿宋"/>
              </w:rPr>
            </w:pPr>
          </w:p>
        </w:tc>
        <w:tc>
          <w:tcPr>
            <w:tcW w:w="1134" w:type="dxa"/>
            <w:noWrap w:val="0"/>
            <w:vAlign w:val="center"/>
          </w:tcPr>
          <w:p w14:paraId="5C9EC061">
            <w:pPr>
              <w:spacing w:line="440" w:lineRule="exact"/>
              <w:ind w:left="-50" w:right="-50"/>
              <w:jc w:val="center"/>
              <w:rPr>
                <w:rFonts w:hint="eastAsia" w:ascii="仿宋" w:hAnsi="仿宋" w:eastAsia="仿宋" w:cs="仿宋"/>
              </w:rPr>
            </w:pPr>
          </w:p>
        </w:tc>
        <w:tc>
          <w:tcPr>
            <w:tcW w:w="992" w:type="dxa"/>
            <w:noWrap w:val="0"/>
            <w:vAlign w:val="center"/>
          </w:tcPr>
          <w:p w14:paraId="4D6412EA">
            <w:pPr>
              <w:spacing w:line="440" w:lineRule="exact"/>
              <w:ind w:left="-50" w:right="-50"/>
              <w:jc w:val="center"/>
              <w:rPr>
                <w:rFonts w:hint="eastAsia" w:ascii="仿宋" w:hAnsi="仿宋" w:eastAsia="仿宋" w:cs="仿宋"/>
              </w:rPr>
            </w:pPr>
          </w:p>
        </w:tc>
        <w:tc>
          <w:tcPr>
            <w:tcW w:w="709" w:type="dxa"/>
            <w:noWrap w:val="0"/>
            <w:vAlign w:val="center"/>
          </w:tcPr>
          <w:p w14:paraId="01245A4E">
            <w:pPr>
              <w:spacing w:line="440" w:lineRule="exact"/>
              <w:jc w:val="center"/>
              <w:rPr>
                <w:rFonts w:hint="eastAsia" w:ascii="仿宋" w:hAnsi="仿宋" w:eastAsia="仿宋" w:cs="仿宋"/>
              </w:rPr>
            </w:pPr>
          </w:p>
        </w:tc>
      </w:tr>
      <w:tr w14:paraId="04B31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12FFCA0">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14:paraId="48C3367E">
            <w:pPr>
              <w:wordWrap w:val="0"/>
              <w:autoSpaceDE w:val="0"/>
              <w:autoSpaceDN w:val="0"/>
              <w:rPr>
                <w:rFonts w:hint="eastAsia" w:ascii="仿宋" w:hAnsi="仿宋" w:eastAsia="仿宋" w:cs="仿宋"/>
              </w:rPr>
            </w:pPr>
          </w:p>
        </w:tc>
        <w:tc>
          <w:tcPr>
            <w:tcW w:w="1559" w:type="dxa"/>
            <w:noWrap w:val="0"/>
            <w:vAlign w:val="center"/>
          </w:tcPr>
          <w:p w14:paraId="5D160FD3">
            <w:pPr>
              <w:wordWrap w:val="0"/>
              <w:autoSpaceDE w:val="0"/>
              <w:autoSpaceDN w:val="0"/>
              <w:rPr>
                <w:rFonts w:hint="eastAsia" w:ascii="仿宋" w:hAnsi="仿宋" w:eastAsia="仿宋" w:cs="仿宋"/>
              </w:rPr>
            </w:pPr>
          </w:p>
        </w:tc>
        <w:tc>
          <w:tcPr>
            <w:tcW w:w="1417" w:type="dxa"/>
            <w:noWrap w:val="0"/>
            <w:vAlign w:val="center"/>
          </w:tcPr>
          <w:p w14:paraId="01F5FA8C">
            <w:pPr>
              <w:jc w:val="center"/>
              <w:rPr>
                <w:rFonts w:hint="eastAsia" w:ascii="仿宋" w:hAnsi="仿宋" w:eastAsia="仿宋" w:cs="仿宋"/>
              </w:rPr>
            </w:pPr>
          </w:p>
        </w:tc>
        <w:tc>
          <w:tcPr>
            <w:tcW w:w="567" w:type="dxa"/>
            <w:noWrap w:val="0"/>
            <w:vAlign w:val="center"/>
          </w:tcPr>
          <w:p w14:paraId="3B704462">
            <w:pPr>
              <w:ind w:left="-50" w:right="-50"/>
              <w:jc w:val="center"/>
              <w:rPr>
                <w:rFonts w:hint="eastAsia" w:ascii="仿宋" w:hAnsi="仿宋" w:eastAsia="仿宋" w:cs="仿宋"/>
              </w:rPr>
            </w:pPr>
          </w:p>
        </w:tc>
        <w:tc>
          <w:tcPr>
            <w:tcW w:w="709" w:type="dxa"/>
            <w:noWrap w:val="0"/>
            <w:vAlign w:val="center"/>
          </w:tcPr>
          <w:p w14:paraId="607E920B">
            <w:pPr>
              <w:ind w:left="-50" w:right="-50"/>
              <w:jc w:val="center"/>
              <w:rPr>
                <w:rFonts w:hint="eastAsia" w:ascii="仿宋" w:hAnsi="仿宋" w:eastAsia="仿宋" w:cs="仿宋"/>
              </w:rPr>
            </w:pPr>
          </w:p>
        </w:tc>
        <w:tc>
          <w:tcPr>
            <w:tcW w:w="1134" w:type="dxa"/>
            <w:noWrap w:val="0"/>
            <w:vAlign w:val="center"/>
          </w:tcPr>
          <w:p w14:paraId="278D1EDF">
            <w:pPr>
              <w:ind w:left="-50" w:right="-50"/>
              <w:jc w:val="center"/>
              <w:rPr>
                <w:rFonts w:hint="eastAsia" w:ascii="仿宋" w:hAnsi="仿宋" w:eastAsia="仿宋" w:cs="仿宋"/>
              </w:rPr>
            </w:pPr>
          </w:p>
        </w:tc>
        <w:tc>
          <w:tcPr>
            <w:tcW w:w="992" w:type="dxa"/>
            <w:noWrap w:val="0"/>
            <w:vAlign w:val="center"/>
          </w:tcPr>
          <w:p w14:paraId="07BBBD35">
            <w:pPr>
              <w:ind w:left="-50" w:right="-50"/>
              <w:jc w:val="center"/>
              <w:rPr>
                <w:rFonts w:hint="eastAsia" w:ascii="仿宋" w:hAnsi="仿宋" w:eastAsia="仿宋" w:cs="仿宋"/>
              </w:rPr>
            </w:pPr>
          </w:p>
        </w:tc>
        <w:tc>
          <w:tcPr>
            <w:tcW w:w="709" w:type="dxa"/>
            <w:noWrap w:val="0"/>
            <w:vAlign w:val="center"/>
          </w:tcPr>
          <w:p w14:paraId="0B7A5C88">
            <w:pPr>
              <w:spacing w:line="440" w:lineRule="exact"/>
              <w:jc w:val="center"/>
              <w:rPr>
                <w:rFonts w:hint="eastAsia" w:ascii="仿宋" w:hAnsi="仿宋" w:eastAsia="仿宋" w:cs="仿宋"/>
              </w:rPr>
            </w:pPr>
          </w:p>
        </w:tc>
      </w:tr>
      <w:tr w14:paraId="4823F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839824E">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14:paraId="61EA4D3E">
            <w:pPr>
              <w:wordWrap w:val="0"/>
              <w:autoSpaceDE w:val="0"/>
              <w:autoSpaceDN w:val="0"/>
              <w:rPr>
                <w:rFonts w:hint="eastAsia" w:ascii="仿宋" w:hAnsi="仿宋" w:eastAsia="仿宋" w:cs="仿宋"/>
              </w:rPr>
            </w:pPr>
          </w:p>
        </w:tc>
        <w:tc>
          <w:tcPr>
            <w:tcW w:w="1559" w:type="dxa"/>
            <w:noWrap w:val="0"/>
            <w:vAlign w:val="center"/>
          </w:tcPr>
          <w:p w14:paraId="5F79EF39">
            <w:pPr>
              <w:ind w:left="-50" w:right="-50"/>
              <w:jc w:val="center"/>
              <w:rPr>
                <w:rFonts w:hint="eastAsia" w:ascii="仿宋" w:hAnsi="仿宋" w:eastAsia="仿宋" w:cs="仿宋"/>
              </w:rPr>
            </w:pPr>
          </w:p>
        </w:tc>
        <w:tc>
          <w:tcPr>
            <w:tcW w:w="1417" w:type="dxa"/>
            <w:noWrap w:val="0"/>
            <w:vAlign w:val="center"/>
          </w:tcPr>
          <w:p w14:paraId="64D9BAF3">
            <w:pPr>
              <w:jc w:val="center"/>
              <w:rPr>
                <w:rFonts w:hint="eastAsia" w:ascii="仿宋" w:hAnsi="仿宋" w:eastAsia="仿宋" w:cs="仿宋"/>
              </w:rPr>
            </w:pPr>
          </w:p>
        </w:tc>
        <w:tc>
          <w:tcPr>
            <w:tcW w:w="567" w:type="dxa"/>
            <w:noWrap w:val="0"/>
            <w:vAlign w:val="center"/>
          </w:tcPr>
          <w:p w14:paraId="7FD07C83">
            <w:pPr>
              <w:ind w:left="-50" w:right="-50"/>
              <w:jc w:val="center"/>
              <w:rPr>
                <w:rFonts w:hint="eastAsia" w:ascii="仿宋" w:hAnsi="仿宋" w:eastAsia="仿宋" w:cs="仿宋"/>
              </w:rPr>
            </w:pPr>
          </w:p>
        </w:tc>
        <w:tc>
          <w:tcPr>
            <w:tcW w:w="709" w:type="dxa"/>
            <w:noWrap w:val="0"/>
            <w:vAlign w:val="center"/>
          </w:tcPr>
          <w:p w14:paraId="4AEF288D">
            <w:pPr>
              <w:ind w:left="-50" w:right="-50"/>
              <w:jc w:val="center"/>
              <w:rPr>
                <w:rFonts w:hint="eastAsia" w:ascii="仿宋" w:hAnsi="仿宋" w:eastAsia="仿宋" w:cs="仿宋"/>
              </w:rPr>
            </w:pPr>
          </w:p>
        </w:tc>
        <w:tc>
          <w:tcPr>
            <w:tcW w:w="1134" w:type="dxa"/>
            <w:noWrap w:val="0"/>
            <w:vAlign w:val="center"/>
          </w:tcPr>
          <w:p w14:paraId="2D2B0FE6">
            <w:pPr>
              <w:ind w:left="-50" w:right="-50"/>
              <w:jc w:val="center"/>
              <w:rPr>
                <w:rFonts w:hint="eastAsia" w:ascii="仿宋" w:hAnsi="仿宋" w:eastAsia="仿宋" w:cs="仿宋"/>
              </w:rPr>
            </w:pPr>
          </w:p>
        </w:tc>
        <w:tc>
          <w:tcPr>
            <w:tcW w:w="992" w:type="dxa"/>
            <w:noWrap w:val="0"/>
            <w:vAlign w:val="center"/>
          </w:tcPr>
          <w:p w14:paraId="653AF778">
            <w:pPr>
              <w:ind w:left="-50" w:right="-50"/>
              <w:jc w:val="center"/>
              <w:rPr>
                <w:rFonts w:hint="eastAsia" w:ascii="仿宋" w:hAnsi="仿宋" w:eastAsia="仿宋" w:cs="仿宋"/>
              </w:rPr>
            </w:pPr>
          </w:p>
        </w:tc>
        <w:tc>
          <w:tcPr>
            <w:tcW w:w="709" w:type="dxa"/>
            <w:noWrap w:val="0"/>
            <w:vAlign w:val="center"/>
          </w:tcPr>
          <w:p w14:paraId="2422179F">
            <w:pPr>
              <w:spacing w:line="440" w:lineRule="exact"/>
              <w:jc w:val="center"/>
              <w:rPr>
                <w:rFonts w:hint="eastAsia" w:ascii="仿宋" w:hAnsi="仿宋" w:eastAsia="仿宋" w:cs="仿宋"/>
              </w:rPr>
            </w:pPr>
          </w:p>
        </w:tc>
      </w:tr>
      <w:tr w14:paraId="02C8C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F65897A">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14:paraId="0A80433F">
            <w:pPr>
              <w:wordWrap w:val="0"/>
              <w:autoSpaceDE w:val="0"/>
              <w:autoSpaceDN w:val="0"/>
              <w:rPr>
                <w:rFonts w:hint="eastAsia" w:ascii="仿宋" w:hAnsi="仿宋" w:eastAsia="仿宋" w:cs="仿宋"/>
              </w:rPr>
            </w:pPr>
          </w:p>
        </w:tc>
        <w:tc>
          <w:tcPr>
            <w:tcW w:w="1559" w:type="dxa"/>
            <w:noWrap w:val="0"/>
            <w:vAlign w:val="center"/>
          </w:tcPr>
          <w:p w14:paraId="5E837BE1">
            <w:pPr>
              <w:ind w:left="-50" w:right="-50"/>
              <w:jc w:val="center"/>
              <w:rPr>
                <w:rFonts w:hint="eastAsia" w:ascii="仿宋" w:hAnsi="仿宋" w:eastAsia="仿宋" w:cs="仿宋"/>
              </w:rPr>
            </w:pPr>
          </w:p>
        </w:tc>
        <w:tc>
          <w:tcPr>
            <w:tcW w:w="1417" w:type="dxa"/>
            <w:noWrap w:val="0"/>
            <w:vAlign w:val="center"/>
          </w:tcPr>
          <w:p w14:paraId="2D4791D3">
            <w:pPr>
              <w:jc w:val="center"/>
              <w:rPr>
                <w:rFonts w:hint="eastAsia" w:ascii="仿宋" w:hAnsi="仿宋" w:eastAsia="仿宋" w:cs="仿宋"/>
              </w:rPr>
            </w:pPr>
          </w:p>
        </w:tc>
        <w:tc>
          <w:tcPr>
            <w:tcW w:w="567" w:type="dxa"/>
            <w:noWrap w:val="0"/>
            <w:vAlign w:val="center"/>
          </w:tcPr>
          <w:p w14:paraId="05FE2F9F">
            <w:pPr>
              <w:ind w:left="-50" w:right="-50"/>
              <w:jc w:val="center"/>
              <w:rPr>
                <w:rFonts w:hint="eastAsia" w:ascii="仿宋" w:hAnsi="仿宋" w:eastAsia="仿宋" w:cs="仿宋"/>
              </w:rPr>
            </w:pPr>
          </w:p>
        </w:tc>
        <w:tc>
          <w:tcPr>
            <w:tcW w:w="709" w:type="dxa"/>
            <w:noWrap w:val="0"/>
            <w:vAlign w:val="center"/>
          </w:tcPr>
          <w:p w14:paraId="7DFB259A">
            <w:pPr>
              <w:ind w:left="-50" w:right="-50"/>
              <w:jc w:val="center"/>
              <w:rPr>
                <w:rFonts w:hint="eastAsia" w:ascii="仿宋" w:hAnsi="仿宋" w:eastAsia="仿宋" w:cs="仿宋"/>
              </w:rPr>
            </w:pPr>
          </w:p>
        </w:tc>
        <w:tc>
          <w:tcPr>
            <w:tcW w:w="1134" w:type="dxa"/>
            <w:noWrap w:val="0"/>
            <w:vAlign w:val="center"/>
          </w:tcPr>
          <w:p w14:paraId="42F16CC0">
            <w:pPr>
              <w:ind w:left="-50" w:right="-50"/>
              <w:jc w:val="center"/>
              <w:rPr>
                <w:rFonts w:hint="eastAsia" w:ascii="仿宋" w:hAnsi="仿宋" w:eastAsia="仿宋" w:cs="仿宋"/>
              </w:rPr>
            </w:pPr>
          </w:p>
        </w:tc>
        <w:tc>
          <w:tcPr>
            <w:tcW w:w="992" w:type="dxa"/>
            <w:noWrap w:val="0"/>
            <w:vAlign w:val="center"/>
          </w:tcPr>
          <w:p w14:paraId="7E802D4C">
            <w:pPr>
              <w:ind w:left="-50" w:right="-50"/>
              <w:jc w:val="center"/>
              <w:rPr>
                <w:rFonts w:hint="eastAsia" w:ascii="仿宋" w:hAnsi="仿宋" w:eastAsia="仿宋" w:cs="仿宋"/>
              </w:rPr>
            </w:pPr>
          </w:p>
        </w:tc>
        <w:tc>
          <w:tcPr>
            <w:tcW w:w="709" w:type="dxa"/>
            <w:noWrap w:val="0"/>
            <w:vAlign w:val="center"/>
          </w:tcPr>
          <w:p w14:paraId="7368DAE3">
            <w:pPr>
              <w:spacing w:line="440" w:lineRule="exact"/>
              <w:jc w:val="center"/>
              <w:rPr>
                <w:rFonts w:hint="eastAsia" w:ascii="仿宋" w:hAnsi="仿宋" w:eastAsia="仿宋" w:cs="仿宋"/>
              </w:rPr>
            </w:pPr>
          </w:p>
        </w:tc>
      </w:tr>
      <w:tr w14:paraId="30646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68E70ED9">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14:paraId="761D05FD">
            <w:pPr>
              <w:wordWrap w:val="0"/>
              <w:autoSpaceDE w:val="0"/>
              <w:autoSpaceDN w:val="0"/>
              <w:rPr>
                <w:rFonts w:hint="eastAsia" w:ascii="仿宋" w:hAnsi="仿宋" w:eastAsia="仿宋" w:cs="仿宋"/>
              </w:rPr>
            </w:pPr>
          </w:p>
        </w:tc>
        <w:tc>
          <w:tcPr>
            <w:tcW w:w="1559" w:type="dxa"/>
            <w:noWrap w:val="0"/>
            <w:vAlign w:val="center"/>
          </w:tcPr>
          <w:p w14:paraId="1AA29454">
            <w:pPr>
              <w:ind w:left="-50" w:right="-50"/>
              <w:jc w:val="center"/>
              <w:rPr>
                <w:rFonts w:hint="eastAsia" w:ascii="仿宋" w:hAnsi="仿宋" w:eastAsia="仿宋" w:cs="仿宋"/>
              </w:rPr>
            </w:pPr>
          </w:p>
        </w:tc>
        <w:tc>
          <w:tcPr>
            <w:tcW w:w="1417" w:type="dxa"/>
            <w:noWrap w:val="0"/>
            <w:vAlign w:val="center"/>
          </w:tcPr>
          <w:p w14:paraId="10503AEB">
            <w:pPr>
              <w:jc w:val="center"/>
              <w:rPr>
                <w:rFonts w:hint="eastAsia" w:ascii="仿宋" w:hAnsi="仿宋" w:eastAsia="仿宋" w:cs="仿宋"/>
              </w:rPr>
            </w:pPr>
          </w:p>
        </w:tc>
        <w:tc>
          <w:tcPr>
            <w:tcW w:w="567" w:type="dxa"/>
            <w:noWrap w:val="0"/>
            <w:vAlign w:val="center"/>
          </w:tcPr>
          <w:p w14:paraId="4486E525">
            <w:pPr>
              <w:ind w:left="-50" w:right="-50"/>
              <w:jc w:val="center"/>
              <w:rPr>
                <w:rFonts w:hint="eastAsia" w:ascii="仿宋" w:hAnsi="仿宋" w:eastAsia="仿宋" w:cs="仿宋"/>
              </w:rPr>
            </w:pPr>
          </w:p>
        </w:tc>
        <w:tc>
          <w:tcPr>
            <w:tcW w:w="709" w:type="dxa"/>
            <w:noWrap w:val="0"/>
            <w:vAlign w:val="center"/>
          </w:tcPr>
          <w:p w14:paraId="3674522A">
            <w:pPr>
              <w:ind w:left="-50" w:right="-50"/>
              <w:jc w:val="center"/>
              <w:rPr>
                <w:rFonts w:hint="eastAsia" w:ascii="仿宋" w:hAnsi="仿宋" w:eastAsia="仿宋" w:cs="仿宋"/>
              </w:rPr>
            </w:pPr>
          </w:p>
        </w:tc>
        <w:tc>
          <w:tcPr>
            <w:tcW w:w="1134" w:type="dxa"/>
            <w:noWrap w:val="0"/>
            <w:vAlign w:val="center"/>
          </w:tcPr>
          <w:p w14:paraId="249DA50D">
            <w:pPr>
              <w:ind w:left="-50" w:right="-50"/>
              <w:jc w:val="center"/>
              <w:rPr>
                <w:rFonts w:hint="eastAsia" w:ascii="仿宋" w:hAnsi="仿宋" w:eastAsia="仿宋" w:cs="仿宋"/>
              </w:rPr>
            </w:pPr>
          </w:p>
        </w:tc>
        <w:tc>
          <w:tcPr>
            <w:tcW w:w="992" w:type="dxa"/>
            <w:noWrap w:val="0"/>
            <w:vAlign w:val="center"/>
          </w:tcPr>
          <w:p w14:paraId="375F3F18">
            <w:pPr>
              <w:ind w:left="-50" w:right="-50"/>
              <w:jc w:val="center"/>
              <w:rPr>
                <w:rFonts w:hint="eastAsia" w:ascii="仿宋" w:hAnsi="仿宋" w:eastAsia="仿宋" w:cs="仿宋"/>
              </w:rPr>
            </w:pPr>
          </w:p>
        </w:tc>
        <w:tc>
          <w:tcPr>
            <w:tcW w:w="709" w:type="dxa"/>
            <w:noWrap w:val="0"/>
            <w:vAlign w:val="center"/>
          </w:tcPr>
          <w:p w14:paraId="73684B4D">
            <w:pPr>
              <w:spacing w:line="440" w:lineRule="exact"/>
              <w:jc w:val="center"/>
              <w:rPr>
                <w:rFonts w:hint="eastAsia" w:ascii="仿宋" w:hAnsi="仿宋" w:eastAsia="仿宋" w:cs="仿宋"/>
              </w:rPr>
            </w:pPr>
          </w:p>
        </w:tc>
      </w:tr>
      <w:tr w14:paraId="71F8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5FA8D74">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14:paraId="0F3D133D">
            <w:pPr>
              <w:wordWrap w:val="0"/>
              <w:autoSpaceDE w:val="0"/>
              <w:autoSpaceDN w:val="0"/>
              <w:rPr>
                <w:rFonts w:hint="eastAsia" w:ascii="仿宋" w:hAnsi="仿宋" w:eastAsia="仿宋" w:cs="仿宋"/>
              </w:rPr>
            </w:pPr>
          </w:p>
        </w:tc>
        <w:tc>
          <w:tcPr>
            <w:tcW w:w="1559" w:type="dxa"/>
            <w:noWrap w:val="0"/>
            <w:vAlign w:val="center"/>
          </w:tcPr>
          <w:p w14:paraId="1AC28954">
            <w:pPr>
              <w:ind w:left="-50" w:right="-50"/>
              <w:jc w:val="center"/>
              <w:rPr>
                <w:rFonts w:hint="eastAsia" w:ascii="仿宋" w:hAnsi="仿宋" w:eastAsia="仿宋" w:cs="仿宋"/>
              </w:rPr>
            </w:pPr>
          </w:p>
        </w:tc>
        <w:tc>
          <w:tcPr>
            <w:tcW w:w="1417" w:type="dxa"/>
            <w:noWrap w:val="0"/>
            <w:vAlign w:val="center"/>
          </w:tcPr>
          <w:p w14:paraId="57047DC0">
            <w:pPr>
              <w:jc w:val="center"/>
              <w:rPr>
                <w:rFonts w:hint="eastAsia" w:ascii="仿宋" w:hAnsi="仿宋" w:eastAsia="仿宋" w:cs="仿宋"/>
              </w:rPr>
            </w:pPr>
          </w:p>
        </w:tc>
        <w:tc>
          <w:tcPr>
            <w:tcW w:w="567" w:type="dxa"/>
            <w:noWrap w:val="0"/>
            <w:vAlign w:val="center"/>
          </w:tcPr>
          <w:p w14:paraId="77A9063E">
            <w:pPr>
              <w:ind w:left="-50" w:right="-50"/>
              <w:jc w:val="center"/>
              <w:rPr>
                <w:rFonts w:hint="eastAsia" w:ascii="仿宋" w:hAnsi="仿宋" w:eastAsia="仿宋" w:cs="仿宋"/>
              </w:rPr>
            </w:pPr>
          </w:p>
        </w:tc>
        <w:tc>
          <w:tcPr>
            <w:tcW w:w="709" w:type="dxa"/>
            <w:noWrap w:val="0"/>
            <w:vAlign w:val="center"/>
          </w:tcPr>
          <w:p w14:paraId="786F327D">
            <w:pPr>
              <w:ind w:left="-50" w:right="-50"/>
              <w:jc w:val="center"/>
              <w:rPr>
                <w:rFonts w:hint="eastAsia" w:ascii="仿宋" w:hAnsi="仿宋" w:eastAsia="仿宋" w:cs="仿宋"/>
              </w:rPr>
            </w:pPr>
          </w:p>
        </w:tc>
        <w:tc>
          <w:tcPr>
            <w:tcW w:w="1134" w:type="dxa"/>
            <w:noWrap w:val="0"/>
            <w:vAlign w:val="center"/>
          </w:tcPr>
          <w:p w14:paraId="732EE82A">
            <w:pPr>
              <w:ind w:left="-50" w:right="-50"/>
              <w:jc w:val="center"/>
              <w:rPr>
                <w:rFonts w:hint="eastAsia" w:ascii="仿宋" w:hAnsi="仿宋" w:eastAsia="仿宋" w:cs="仿宋"/>
              </w:rPr>
            </w:pPr>
          </w:p>
        </w:tc>
        <w:tc>
          <w:tcPr>
            <w:tcW w:w="992" w:type="dxa"/>
            <w:noWrap w:val="0"/>
            <w:vAlign w:val="center"/>
          </w:tcPr>
          <w:p w14:paraId="21852363">
            <w:pPr>
              <w:ind w:left="-50" w:right="-50"/>
              <w:jc w:val="center"/>
              <w:rPr>
                <w:rFonts w:hint="eastAsia" w:ascii="仿宋" w:hAnsi="仿宋" w:eastAsia="仿宋" w:cs="仿宋"/>
              </w:rPr>
            </w:pPr>
          </w:p>
        </w:tc>
        <w:tc>
          <w:tcPr>
            <w:tcW w:w="709" w:type="dxa"/>
            <w:noWrap w:val="0"/>
            <w:vAlign w:val="center"/>
          </w:tcPr>
          <w:p w14:paraId="6904BC60">
            <w:pPr>
              <w:spacing w:line="440" w:lineRule="exact"/>
              <w:jc w:val="center"/>
              <w:rPr>
                <w:rFonts w:hint="eastAsia" w:ascii="仿宋" w:hAnsi="仿宋" w:eastAsia="仿宋" w:cs="仿宋"/>
              </w:rPr>
            </w:pPr>
          </w:p>
        </w:tc>
      </w:tr>
      <w:tr w14:paraId="40895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56EA5081">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14:paraId="06759BCE">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14:paraId="2A17A737">
            <w:pPr>
              <w:ind w:left="-50" w:right="-50"/>
              <w:jc w:val="center"/>
              <w:rPr>
                <w:rFonts w:hint="eastAsia" w:ascii="仿宋" w:hAnsi="仿宋" w:eastAsia="仿宋" w:cs="仿宋"/>
              </w:rPr>
            </w:pPr>
          </w:p>
        </w:tc>
        <w:tc>
          <w:tcPr>
            <w:tcW w:w="1134" w:type="dxa"/>
            <w:noWrap w:val="0"/>
            <w:vAlign w:val="center"/>
          </w:tcPr>
          <w:p w14:paraId="08847F03">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14:paraId="7176869A">
            <w:pPr>
              <w:ind w:left="-50" w:right="-50"/>
              <w:jc w:val="center"/>
              <w:rPr>
                <w:rFonts w:hint="eastAsia" w:ascii="仿宋" w:hAnsi="仿宋" w:eastAsia="仿宋" w:cs="仿宋"/>
              </w:rPr>
            </w:pPr>
            <w:r>
              <w:rPr>
                <w:rFonts w:hint="eastAsia" w:ascii="仿宋" w:hAnsi="仿宋" w:eastAsia="仿宋" w:cs="仿宋"/>
              </w:rPr>
              <w:t>￥ 元</w:t>
            </w:r>
          </w:p>
        </w:tc>
      </w:tr>
    </w:tbl>
    <w:p w14:paraId="4360D782">
      <w:pPr>
        <w:shd w:val="clear" w:color="auto" w:fill="FFFFFF"/>
        <w:spacing w:line="360" w:lineRule="auto"/>
        <w:rPr>
          <w:rFonts w:hint="eastAsia" w:ascii="仿宋" w:hAnsi="仿宋" w:eastAsia="仿宋" w:cs="仿宋"/>
          <w:kern w:val="28"/>
          <w:sz w:val="24"/>
          <w:szCs w:val="24"/>
        </w:rPr>
      </w:pPr>
    </w:p>
    <w:p w14:paraId="7F7FF24C">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14:paraId="11747D35">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14:paraId="662DDE31">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14:paraId="056635C3">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14:paraId="4D1B5817">
      <w:pPr>
        <w:pStyle w:val="6"/>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14:paraId="7B5E2CC3">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14:paraId="3EE86011">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w:t>
      </w:r>
      <w:r>
        <w:rPr>
          <w:rFonts w:hint="eastAsia" w:ascii="仿宋" w:hAnsi="仿宋" w:eastAsia="仿宋" w:cs="仿宋"/>
          <w:sz w:val="24"/>
          <w:szCs w:val="24"/>
          <w:lang w:val="en-US" w:eastAsia="zh-CN"/>
        </w:rPr>
        <w:t>响应</w:t>
      </w:r>
      <w:r>
        <w:rPr>
          <w:rFonts w:hint="eastAsia" w:ascii="仿宋" w:hAnsi="仿宋" w:eastAsia="仿宋" w:cs="仿宋"/>
          <w:sz w:val="24"/>
          <w:szCs w:val="24"/>
        </w:rPr>
        <w:t>单价计算后进行结算。</w:t>
      </w:r>
    </w:p>
    <w:p w14:paraId="52D7C927">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凡因乙方漏项、误报等导致的费用差异均由乙方自行承担，且必须按合同约定继续履行此部分合同内容，结算时不予调整。</w:t>
      </w:r>
    </w:p>
    <w:p w14:paraId="07225BB7">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36" w:name="_Toc495505734"/>
      <w:bookmarkStart w:id="37" w:name="_Toc10552"/>
      <w:bookmarkStart w:id="38" w:name="_Toc8091"/>
      <w:bookmarkStart w:id="39" w:name="_Toc2908"/>
      <w:r>
        <w:rPr>
          <w:rFonts w:hint="eastAsia" w:ascii="仿宋" w:hAnsi="仿宋" w:eastAsia="仿宋" w:cs="仿宋"/>
          <w:b/>
          <w:bCs/>
          <w:sz w:val="24"/>
          <w:szCs w:val="24"/>
        </w:rPr>
        <w:t>五、权利与义务</w:t>
      </w:r>
      <w:bookmarkEnd w:id="36"/>
      <w:bookmarkEnd w:id="37"/>
      <w:bookmarkEnd w:id="38"/>
      <w:bookmarkEnd w:id="39"/>
    </w:p>
    <w:p w14:paraId="16196A30">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40" w:name="_Toc20499"/>
      <w:bookmarkStart w:id="41" w:name="_Toc12260"/>
      <w:bookmarkStart w:id="42" w:name="_Toc3422"/>
      <w:bookmarkStart w:id="43" w:name="_Toc495505735"/>
      <w:r>
        <w:rPr>
          <w:rFonts w:hint="eastAsia" w:ascii="仿宋" w:hAnsi="仿宋" w:eastAsia="仿宋" w:cs="仿宋"/>
          <w:b/>
          <w:bCs/>
          <w:sz w:val="24"/>
          <w:szCs w:val="24"/>
        </w:rPr>
        <w:t>（一）甲方的权利与义务</w:t>
      </w:r>
      <w:bookmarkEnd w:id="40"/>
      <w:bookmarkEnd w:id="41"/>
      <w:bookmarkEnd w:id="42"/>
      <w:bookmarkEnd w:id="43"/>
    </w:p>
    <w:p w14:paraId="13399EBB">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14:paraId="4E639B19">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14:paraId="1959867C">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14:paraId="2823F353">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14:paraId="565F603E">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14:paraId="224BF56A">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14:paraId="10E5E1AF">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w:t>
      </w:r>
      <w:r>
        <w:rPr>
          <w:rFonts w:hint="eastAsia" w:ascii="仿宋" w:hAnsi="仿宋" w:eastAsia="仿宋" w:cs="仿宋"/>
          <w:kern w:val="28"/>
          <w:sz w:val="24"/>
          <w:szCs w:val="24"/>
          <w:lang w:eastAsia="zh-CN"/>
        </w:rPr>
        <w:t>评审</w:t>
      </w:r>
      <w:r>
        <w:rPr>
          <w:rFonts w:hint="eastAsia" w:ascii="仿宋" w:hAnsi="仿宋" w:eastAsia="仿宋" w:cs="仿宋"/>
          <w:kern w:val="28"/>
          <w:sz w:val="24"/>
          <w:szCs w:val="24"/>
        </w:rPr>
        <w:t>报告中排名第二的供应商签订新的供货合同。</w:t>
      </w:r>
    </w:p>
    <w:p w14:paraId="260B47CF">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14:paraId="714F6758">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44" w:name="_Toc15332"/>
      <w:bookmarkStart w:id="45" w:name="_Toc1058"/>
      <w:bookmarkStart w:id="46" w:name="_Toc495505736"/>
      <w:bookmarkStart w:id="47" w:name="_Toc27467"/>
      <w:r>
        <w:rPr>
          <w:rFonts w:hint="eastAsia" w:ascii="仿宋" w:hAnsi="仿宋" w:eastAsia="仿宋" w:cs="仿宋"/>
          <w:b/>
          <w:bCs/>
          <w:sz w:val="24"/>
          <w:szCs w:val="24"/>
        </w:rPr>
        <w:t>（二）乙方的权利与义务</w:t>
      </w:r>
      <w:bookmarkEnd w:id="44"/>
      <w:bookmarkEnd w:id="45"/>
      <w:bookmarkEnd w:id="46"/>
      <w:bookmarkEnd w:id="47"/>
    </w:p>
    <w:p w14:paraId="2074F290">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14:paraId="7F986B99">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14:paraId="71013B43">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6EFEC89">
      <w:pPr>
        <w:pStyle w:val="7"/>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14:paraId="4C5F3BB9">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4FBB0AF1">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14:paraId="755D525A">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14:paraId="6A30F842">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14:paraId="2A545E6F">
      <w:pPr>
        <w:shd w:val="clear" w:color="auto" w:fill="FFFFFF"/>
        <w:tabs>
          <w:tab w:val="left" w:pos="425"/>
        </w:tabs>
        <w:spacing w:line="360" w:lineRule="auto"/>
        <w:textAlignment w:val="baseline"/>
        <w:outlineLvl w:val="9"/>
        <w:rPr>
          <w:rFonts w:hint="eastAsia"/>
        </w:rPr>
      </w:pPr>
      <w:bookmarkStart w:id="48" w:name="_Toc2230"/>
      <w:bookmarkStart w:id="49" w:name="_Toc14206"/>
      <w:bookmarkStart w:id="50" w:name="_Toc13339"/>
      <w:bookmarkStart w:id="51" w:name="_Toc495505737"/>
      <w:r>
        <w:rPr>
          <w:rFonts w:hint="eastAsia" w:ascii="仿宋" w:hAnsi="仿宋" w:eastAsia="仿宋" w:cs="仿宋"/>
          <w:b/>
          <w:bCs/>
          <w:sz w:val="24"/>
          <w:szCs w:val="24"/>
        </w:rPr>
        <w:t>六、质量要求、技术标准</w:t>
      </w:r>
      <w:bookmarkEnd w:id="48"/>
      <w:bookmarkEnd w:id="49"/>
      <w:bookmarkEnd w:id="50"/>
      <w:bookmarkEnd w:id="51"/>
    </w:p>
    <w:p w14:paraId="4C2C8E83">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52" w:name="_Toc28496"/>
      <w:bookmarkStart w:id="53" w:name="_Toc21713"/>
      <w:bookmarkStart w:id="54" w:name="_Toc495505738"/>
      <w:bookmarkStart w:id="55" w:name="_Toc14187"/>
      <w:r>
        <w:rPr>
          <w:rFonts w:hint="eastAsia" w:ascii="仿宋" w:hAnsi="仿宋" w:eastAsia="仿宋" w:cs="仿宋"/>
          <w:b/>
          <w:bCs/>
          <w:sz w:val="24"/>
          <w:szCs w:val="24"/>
        </w:rPr>
        <w:t>七、交货要求</w:t>
      </w:r>
      <w:bookmarkEnd w:id="52"/>
      <w:bookmarkEnd w:id="53"/>
      <w:bookmarkEnd w:id="54"/>
      <w:bookmarkEnd w:id="55"/>
    </w:p>
    <w:p w14:paraId="1251D59D">
      <w:pPr>
        <w:spacing w:line="360" w:lineRule="auto"/>
        <w:ind w:left="-8"/>
        <w:outlineLvl w:val="9"/>
        <w:rPr>
          <w:rFonts w:hint="eastAsia" w:ascii="仿宋" w:hAnsi="仿宋" w:eastAsia="仿宋" w:cs="仿宋"/>
          <w:b/>
          <w:bCs/>
          <w:sz w:val="24"/>
          <w:szCs w:val="24"/>
        </w:rPr>
      </w:pPr>
      <w:bookmarkStart w:id="56" w:name="_Toc14581"/>
      <w:bookmarkStart w:id="57" w:name="_Toc24368"/>
      <w:bookmarkStart w:id="58" w:name="_Toc12169"/>
      <w:bookmarkStart w:id="59" w:name="_Toc495505739"/>
      <w:r>
        <w:rPr>
          <w:rFonts w:hint="eastAsia" w:ascii="仿宋" w:hAnsi="仿宋" w:eastAsia="仿宋" w:cs="仿宋"/>
          <w:b/>
          <w:bCs/>
          <w:sz w:val="24"/>
          <w:szCs w:val="24"/>
        </w:rPr>
        <w:t>八、交货地点</w:t>
      </w:r>
      <w:bookmarkEnd w:id="56"/>
      <w:bookmarkEnd w:id="57"/>
      <w:bookmarkEnd w:id="58"/>
      <w:bookmarkEnd w:id="59"/>
    </w:p>
    <w:p w14:paraId="2D402E8E">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14:paraId="05D21CB7">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60" w:name="_Toc7356"/>
      <w:bookmarkStart w:id="61" w:name="_Toc25284"/>
      <w:bookmarkStart w:id="62" w:name="_Toc25164"/>
      <w:bookmarkStart w:id="63" w:name="_Toc495505740"/>
      <w:r>
        <w:rPr>
          <w:rFonts w:hint="eastAsia" w:ascii="仿宋" w:hAnsi="仿宋" w:eastAsia="仿宋" w:cs="仿宋"/>
          <w:b/>
          <w:bCs/>
          <w:sz w:val="24"/>
          <w:szCs w:val="24"/>
        </w:rPr>
        <w:t>九、货物验收</w:t>
      </w:r>
      <w:bookmarkEnd w:id="60"/>
      <w:bookmarkEnd w:id="61"/>
      <w:bookmarkEnd w:id="62"/>
      <w:bookmarkEnd w:id="63"/>
    </w:p>
    <w:p w14:paraId="799D6B12">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14:paraId="391BAC79">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w:t>
      </w:r>
      <w:r>
        <w:rPr>
          <w:rFonts w:hint="eastAsia" w:ascii="仿宋" w:hAnsi="仿宋" w:eastAsia="仿宋" w:cs="仿宋"/>
          <w:sz w:val="24"/>
          <w:szCs w:val="24"/>
          <w:lang w:val="en-US" w:eastAsia="zh-CN"/>
        </w:rPr>
        <w:t>投标</w:t>
      </w:r>
      <w:r>
        <w:rPr>
          <w:rFonts w:hint="eastAsia" w:ascii="仿宋" w:hAnsi="仿宋" w:eastAsia="仿宋" w:cs="仿宋"/>
          <w:sz w:val="24"/>
          <w:szCs w:val="24"/>
        </w:rPr>
        <w:t>时封存样品不符，甲方有权拒绝接收。</w:t>
      </w:r>
    </w:p>
    <w:p w14:paraId="52DBA25F">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64" w:name="_Toc10128"/>
      <w:bookmarkStart w:id="65" w:name="_Toc11407"/>
      <w:bookmarkStart w:id="66" w:name="_Toc6039"/>
      <w:bookmarkStart w:id="67" w:name="_Toc495505741"/>
      <w:r>
        <w:rPr>
          <w:rFonts w:hint="eastAsia" w:ascii="仿宋" w:hAnsi="仿宋" w:eastAsia="仿宋" w:cs="仿宋"/>
          <w:b/>
          <w:bCs/>
          <w:sz w:val="24"/>
          <w:szCs w:val="24"/>
        </w:rPr>
        <w:t>十、保密条款</w:t>
      </w:r>
      <w:bookmarkEnd w:id="64"/>
      <w:bookmarkEnd w:id="65"/>
      <w:bookmarkEnd w:id="66"/>
      <w:bookmarkEnd w:id="67"/>
    </w:p>
    <w:p w14:paraId="68E74897">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14:paraId="77D2624C">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33F9314C">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4A3DED2">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68" w:name="_Toc10021"/>
      <w:bookmarkStart w:id="69" w:name="_Toc29234"/>
      <w:bookmarkStart w:id="70" w:name="_Toc495505742"/>
      <w:bookmarkStart w:id="71" w:name="_Toc28760"/>
      <w:r>
        <w:rPr>
          <w:rFonts w:hint="eastAsia" w:ascii="仿宋" w:hAnsi="仿宋" w:eastAsia="仿宋" w:cs="仿宋"/>
          <w:b/>
          <w:bCs/>
          <w:sz w:val="24"/>
          <w:szCs w:val="24"/>
        </w:rPr>
        <w:t>十一、违约责任</w:t>
      </w:r>
      <w:bookmarkEnd w:id="68"/>
      <w:bookmarkEnd w:id="69"/>
      <w:bookmarkEnd w:id="70"/>
      <w:bookmarkEnd w:id="71"/>
    </w:p>
    <w:p w14:paraId="10950CAD">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4A809302">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14:paraId="1D38A245">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14:paraId="056E9982">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14:paraId="69227E99">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14:paraId="1D652EDC">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w:t>
      </w:r>
      <w:r>
        <w:rPr>
          <w:rFonts w:hint="eastAsia" w:ascii="仿宋" w:hAnsi="仿宋" w:eastAsia="仿宋" w:cs="仿宋"/>
          <w:sz w:val="24"/>
          <w:szCs w:val="24"/>
          <w:lang w:val="en-US" w:eastAsia="zh-CN"/>
        </w:rPr>
        <w:t>招标</w:t>
      </w:r>
      <w:r>
        <w:rPr>
          <w:rFonts w:hint="eastAsia" w:ascii="仿宋" w:hAnsi="仿宋" w:eastAsia="仿宋" w:cs="仿宋"/>
          <w:sz w:val="24"/>
          <w:szCs w:val="24"/>
        </w:rPr>
        <w:t>文件要求，擅自更换，除恢复原</w:t>
      </w:r>
      <w:r>
        <w:rPr>
          <w:rFonts w:hint="eastAsia" w:ascii="仿宋" w:hAnsi="仿宋" w:eastAsia="仿宋" w:cs="仿宋"/>
          <w:sz w:val="24"/>
          <w:szCs w:val="24"/>
          <w:lang w:val="en-US" w:eastAsia="zh-CN"/>
        </w:rPr>
        <w:t>投标</w:t>
      </w:r>
      <w:r>
        <w:rPr>
          <w:rFonts w:hint="eastAsia" w:ascii="仿宋" w:hAnsi="仿宋" w:eastAsia="仿宋" w:cs="仿宋"/>
          <w:sz w:val="24"/>
          <w:szCs w:val="24"/>
        </w:rPr>
        <w:t>产品外，应承担更换部分价款10%的违约金。</w:t>
      </w:r>
    </w:p>
    <w:p w14:paraId="743CFDDE">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14:paraId="378084A8">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14:paraId="20E1024C">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14:paraId="1758C61A">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72" w:name="_Toc1947"/>
      <w:bookmarkStart w:id="73" w:name="_Toc32547"/>
      <w:bookmarkStart w:id="74" w:name="_Toc495505743"/>
      <w:bookmarkStart w:id="75" w:name="_Toc26672"/>
      <w:r>
        <w:rPr>
          <w:rFonts w:hint="eastAsia" w:ascii="仿宋" w:hAnsi="仿宋" w:eastAsia="仿宋" w:cs="仿宋"/>
          <w:b/>
          <w:bCs/>
          <w:sz w:val="24"/>
          <w:szCs w:val="24"/>
        </w:rPr>
        <w:t>十二、争议解决</w:t>
      </w:r>
      <w:bookmarkEnd w:id="72"/>
      <w:bookmarkEnd w:id="73"/>
      <w:bookmarkEnd w:id="74"/>
      <w:bookmarkEnd w:id="75"/>
    </w:p>
    <w:p w14:paraId="2F3FA22F">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14:paraId="7358B205">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76" w:name="_Toc10393"/>
      <w:bookmarkStart w:id="77" w:name="_Toc26763"/>
      <w:bookmarkStart w:id="78" w:name="_Toc495505744"/>
      <w:bookmarkStart w:id="79" w:name="_Toc22951"/>
      <w:r>
        <w:rPr>
          <w:rFonts w:hint="eastAsia" w:ascii="仿宋" w:hAnsi="仿宋" w:eastAsia="仿宋" w:cs="仿宋"/>
          <w:b/>
          <w:bCs/>
          <w:sz w:val="24"/>
          <w:szCs w:val="24"/>
        </w:rPr>
        <w:t>十三、协议期限</w:t>
      </w:r>
      <w:bookmarkEnd w:id="76"/>
      <w:bookmarkEnd w:id="77"/>
      <w:bookmarkEnd w:id="78"/>
      <w:bookmarkEnd w:id="79"/>
    </w:p>
    <w:p w14:paraId="06806E8D">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14:paraId="7C309101">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14:paraId="32A76D16">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w:t>
      </w:r>
      <w:r>
        <w:rPr>
          <w:rFonts w:hint="eastAsia" w:ascii="仿宋" w:hAnsi="仿宋" w:eastAsia="仿宋" w:cs="仿宋"/>
          <w:sz w:val="24"/>
          <w:szCs w:val="24"/>
          <w:lang w:val="en-US" w:eastAsia="zh-CN"/>
        </w:rPr>
        <w:t>招标</w:t>
      </w:r>
      <w:r>
        <w:rPr>
          <w:rFonts w:hint="eastAsia" w:ascii="仿宋" w:hAnsi="仿宋" w:eastAsia="仿宋" w:cs="仿宋"/>
          <w:sz w:val="24"/>
          <w:szCs w:val="24"/>
        </w:rPr>
        <w:t>文件的原则下协商解决，协商结果以“纪要”形式盖章记录在案，作为本合同的附件，与本合同具有同等效力。</w:t>
      </w:r>
    </w:p>
    <w:p w14:paraId="776A40C5">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80" w:name="_Toc23280"/>
      <w:bookmarkStart w:id="81" w:name="_Toc495505745"/>
      <w:bookmarkStart w:id="82" w:name="_Toc14186"/>
      <w:bookmarkStart w:id="83" w:name="_Toc26328"/>
      <w:r>
        <w:rPr>
          <w:rFonts w:hint="eastAsia" w:ascii="仿宋" w:hAnsi="仿宋" w:eastAsia="仿宋" w:cs="仿宋"/>
          <w:b/>
          <w:bCs/>
          <w:sz w:val="24"/>
          <w:szCs w:val="24"/>
        </w:rPr>
        <w:t>十四、不可抗力</w:t>
      </w:r>
      <w:bookmarkEnd w:id="80"/>
      <w:bookmarkEnd w:id="81"/>
      <w:bookmarkEnd w:id="82"/>
      <w:bookmarkEnd w:id="83"/>
    </w:p>
    <w:p w14:paraId="40162DE0">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7139F587">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FEE1683">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14:paraId="07860021">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14:paraId="6FFF3D38">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84" w:name="_Toc18101"/>
      <w:bookmarkStart w:id="85" w:name="_Toc1081"/>
      <w:bookmarkStart w:id="86" w:name="_Toc495505746"/>
      <w:bookmarkStart w:id="87" w:name="_Toc11939"/>
      <w:r>
        <w:rPr>
          <w:rFonts w:hint="eastAsia" w:ascii="仿宋" w:hAnsi="仿宋" w:eastAsia="仿宋" w:cs="仿宋"/>
          <w:b/>
          <w:bCs/>
          <w:sz w:val="24"/>
          <w:szCs w:val="24"/>
        </w:rPr>
        <w:t>十五、通知和合同修改</w:t>
      </w:r>
      <w:bookmarkEnd w:id="84"/>
      <w:bookmarkEnd w:id="85"/>
      <w:bookmarkEnd w:id="86"/>
      <w:bookmarkEnd w:id="87"/>
    </w:p>
    <w:p w14:paraId="2639F5F7">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14:paraId="2D56DCDE">
      <w:pPr>
        <w:shd w:val="clear" w:color="auto" w:fill="FFFFFF"/>
        <w:tabs>
          <w:tab w:val="left" w:pos="425"/>
        </w:tabs>
        <w:spacing w:line="360" w:lineRule="auto"/>
        <w:textAlignment w:val="baseline"/>
        <w:outlineLvl w:val="9"/>
        <w:rPr>
          <w:rFonts w:hint="eastAsia" w:ascii="仿宋" w:hAnsi="仿宋" w:eastAsia="仿宋" w:cs="仿宋"/>
          <w:b/>
          <w:bCs/>
          <w:sz w:val="24"/>
          <w:szCs w:val="24"/>
        </w:rPr>
      </w:pPr>
      <w:bookmarkStart w:id="88" w:name="_Toc8569"/>
      <w:bookmarkStart w:id="89" w:name="_Toc7297"/>
      <w:bookmarkStart w:id="90" w:name="_Toc25362"/>
      <w:bookmarkStart w:id="91" w:name="_Toc495505747"/>
      <w:r>
        <w:rPr>
          <w:rFonts w:hint="eastAsia" w:ascii="仿宋" w:hAnsi="仿宋" w:eastAsia="仿宋" w:cs="仿宋"/>
          <w:b/>
          <w:bCs/>
          <w:sz w:val="24"/>
          <w:szCs w:val="24"/>
        </w:rPr>
        <w:t>十六、其他规定</w:t>
      </w:r>
      <w:bookmarkEnd w:id="88"/>
      <w:bookmarkEnd w:id="89"/>
      <w:bookmarkEnd w:id="90"/>
      <w:bookmarkEnd w:id="91"/>
    </w:p>
    <w:p w14:paraId="4B4FB4E1">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83632E8">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14:paraId="45906877">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14:paraId="30D1F098">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14:paraId="0DEA36B1">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14:paraId="47600C53">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14:paraId="65C1B866">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14:paraId="28823D04">
      <w:r>
        <w:rPr>
          <w:rFonts w:hint="eastAsia" w:ascii="仿宋" w:hAnsi="仿宋" w:eastAsia="仿宋" w:cs="仿宋"/>
          <w:b w:val="0"/>
          <w:kern w:val="2"/>
          <w:sz w:val="24"/>
          <w:szCs w:val="24"/>
          <w:lang w:val="en-US" w:eastAsia="zh-CN" w:bidi="ar-SA"/>
        </w:rPr>
        <w:t>签订日期：2025年    月    日            签订日期：2025年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E60515"/>
    <w:rsid w:val="37275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0"/>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List Paragraph"/>
    <w:basedOn w:val="1"/>
    <w:qFormat/>
    <w:uiPriority w:val="0"/>
    <w:pPr>
      <w:ind w:firstLine="420" w:firstLineChars="200"/>
    </w:pPr>
    <w:rPr>
      <w:szCs w:val="24"/>
    </w:rPr>
  </w:style>
  <w:style w:type="paragraph" w:customStyle="1" w:styleId="7">
    <w:name w:val="列出段落1"/>
    <w:basedOn w:val="1"/>
    <w:qFormat/>
    <w:uiPriority w:val="0"/>
    <w:pPr>
      <w:ind w:firstLine="200" w:firstLineChars="200"/>
    </w:pPr>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3208</Words>
  <Characters>3245</Characters>
  <Lines>0</Lines>
  <Paragraphs>0</Paragraphs>
  <TotalTime>0</TotalTime>
  <ScaleCrop>false</ScaleCrop>
  <LinksUpToDate>false</LinksUpToDate>
  <CharactersWithSpaces>3656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2025-07-21T05:18:00Z</dcterms:created>
  <dc:creator>Administrator</dc:creator>
  <cp:lastModifiedBy>夏日微凉</cp:lastModifiedBy>
  <dcterms:modified xsi:type="dcterms:W3CDTF">2025-07-22T06:51:07Z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FCD83B193FA44CDDB1DCEE4EC5BEEBE8_12</vt:lpwstr>
  </property>
</Properties>
</file>