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版本号：ZX2025-07-4620250725002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消防设施升级改造项目（二标段）施工总承包采购项目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ZX2025-07-46</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消防设施升级改造项目（二标段）施工总承包采购项目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ZX2025-07-46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消防设施升级改造项目（二标段）施工总承包采购项目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照长安区住房和城乡建设局2024年7月4日和2025年5月22日出具的《建设工程消防技术服务函》中的整改意见以及西安市建筑设计研究院有限公司、陕西同济土木建筑设计有限公司根据整改意见给出的整改施工方案，计划对长安校区除学生公寓外的所有在用建筑的消防系统进行维修改造，具体详见磋商文件第三章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3、施工资质：供应商具备消防设施工程专业承包二级及以上资质，并具备有效的安全生产许可证。</w:t>
      </w:r>
    </w:p>
    <w:p>
      <w:pPr>
        <w:pStyle w:val="null3"/>
      </w:pPr>
      <w:r>
        <w:rPr>
          <w:rFonts w:ascii="仿宋_GB2312" w:hAnsi="仿宋_GB2312" w:cs="仿宋_GB2312" w:eastAsia="仿宋_GB2312"/>
        </w:rPr>
        <w:t>4、拟派项目负责人资质和专业要求：拟派项目经理须具备机电工程专业二级及以上注册建造师证书及有效的安全生产考核合格证（建安B证），在本单位注册，未担任其他在建工程项目的项目经理（提供承诺）。</w:t>
      </w:r>
    </w:p>
    <w:p>
      <w:pPr>
        <w:pStyle w:val="null3"/>
      </w:pPr>
      <w:r>
        <w:rPr>
          <w:rFonts w:ascii="仿宋_GB2312" w:hAnsi="仿宋_GB2312" w:cs="仿宋_GB2312" w:eastAsia="仿宋_GB2312"/>
        </w:rPr>
        <w:t>5、陕西省建筑市场监管与诚信信息发布平台：省外企业须在“陕西省建筑市场监管与诚信信息发布平台”企业库可查询（附完整的查询结果截图加盖供应商公章）。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张爽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采购包1：1,764,738.60元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采购包1保证金金额：30,746.00元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按照磋商文件、响应文件和合同文本执行。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联系人：王宇轩、胡怡洁</w:t>
      </w:r>
    </w:p>
    <w:p>
      <w:pPr>
        <w:pStyle w:val="null3"/>
      </w:pPr>
      <w:r>
        <w:rPr>
          <w:rFonts w:ascii="仿宋_GB2312" w:hAnsi="仿宋_GB2312" w:cs="仿宋_GB2312" w:eastAsia="仿宋_GB2312"/>
        </w:rPr>
        <w:t>联系电话：029-88110800转8030（453963218@qq.com）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1,764,738.60</w:t>
      </w:r>
    </w:p>
    <w:p>
      <w:pPr>
        <w:pStyle w:val="null3"/>
      </w:pPr>
      <w:r>
        <w:rPr>
          <w:rFonts w:ascii="仿宋_GB2312" w:hAnsi="仿宋_GB2312" w:cs="仿宋_GB2312" w:eastAsia="仿宋_GB2312"/>
        </w:rPr>
        <w:t>采购包最高限价（元）: 1,764,738.60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西北政法大学消防设施升级改造项目（二标段）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1,764,738.60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标的名称：西北政法大学消防设施升级改造项目（二标段）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一、项目基本信息</w:t>
            </w:r>
          </w:p>
          <w:p>
            <w:pPr>
              <w:pStyle w:val="null3"/>
            </w:pPr>
            <w:r>
              <w:rPr>
                <w:rFonts w:ascii="仿宋_GB2312" w:hAnsi="仿宋_GB2312" w:cs="仿宋_GB2312" w:eastAsia="仿宋_GB2312"/>
              </w:rPr>
              <w:t>项目地点：陕西省西安市长安区西长安街558号。</w:t>
            </w:r>
          </w:p>
          <w:p>
            <w:pPr>
              <w:pStyle w:val="null3"/>
            </w:pPr>
            <w:r>
              <w:rPr>
                <w:rFonts w:ascii="仿宋_GB2312" w:hAnsi="仿宋_GB2312" w:cs="仿宋_GB2312" w:eastAsia="仿宋_GB2312"/>
              </w:rPr>
              <w:t>二、主要功能或目标：</w:t>
            </w:r>
          </w:p>
          <w:p>
            <w:pPr>
              <w:pStyle w:val="null3"/>
            </w:pPr>
            <w:r>
              <w:rPr>
                <w:rFonts w:ascii="仿宋_GB2312" w:hAnsi="仿宋_GB2312" w:cs="仿宋_GB2312" w:eastAsia="仿宋_GB2312"/>
              </w:rPr>
              <w:t>通过本次维修改造，能够消除长安校区教学楼、图书馆、校务楼、综合训练馆、教师公寓等建筑的消防安全隐患，完成省教育厅的要求的“取证”任务，彻底解决以上建筑物的“取证”问题，通过整改促使消防手续合格和消防设施达标，解决了学校长期以来的消防隐患问题，保障了校舍和广大师生的生命财产安全。</w:t>
            </w:r>
          </w:p>
          <w:p>
            <w:pPr>
              <w:pStyle w:val="null3"/>
            </w:pPr>
            <w:r>
              <w:rPr>
                <w:rFonts w:ascii="仿宋_GB2312" w:hAnsi="仿宋_GB2312" w:cs="仿宋_GB2312" w:eastAsia="仿宋_GB2312"/>
              </w:rPr>
              <w:t>三、采购内容</w:t>
            </w:r>
          </w:p>
          <w:p>
            <w:pPr>
              <w:pStyle w:val="null3"/>
            </w:pPr>
            <w:r>
              <w:rPr>
                <w:rFonts w:ascii="仿宋_GB2312" w:hAnsi="仿宋_GB2312" w:cs="仿宋_GB2312" w:eastAsia="仿宋_GB2312"/>
              </w:rPr>
              <w:t>对照长安区住房和城乡建设局2024年7月4日和2025年5月22日出具的《建设工程消防技术服务函》中的整改意见以及西安市建筑设计研究院有限公司、陕西同济土木建筑设计有限公司根据整改意见给出的整改施工方案，计划对长安校区除学生公寓外的所有在用建筑的消防系统进行维修改造，主要包括：</w:t>
            </w:r>
          </w:p>
          <w:p>
            <w:pPr>
              <w:pStyle w:val="null3"/>
            </w:pPr>
            <w:r>
              <w:rPr>
                <w:rFonts w:ascii="仿宋_GB2312" w:hAnsi="仿宋_GB2312" w:cs="仿宋_GB2312" w:eastAsia="仿宋_GB2312"/>
              </w:rPr>
              <w:t>（一）维修长安校区教学楼、图书馆、校务楼、综合训练馆、教师公寓等建筑的火灾报警系统、消火栓系统、防火卷帘、机械防排烟系统，对系统进行联动调试，将各单体建筑的消防系统组网联机；</w:t>
            </w:r>
          </w:p>
          <w:p>
            <w:pPr>
              <w:pStyle w:val="null3"/>
            </w:pPr>
            <w:r>
              <w:rPr>
                <w:rFonts w:ascii="仿宋_GB2312" w:hAnsi="仿宋_GB2312" w:cs="仿宋_GB2312" w:eastAsia="仿宋_GB2312"/>
              </w:rPr>
              <w:t>（二）新装图书馆的应急照明和疏散指示系统，对其他建筑的该系统进行维修；</w:t>
            </w:r>
          </w:p>
          <w:p>
            <w:pPr>
              <w:pStyle w:val="null3"/>
            </w:pPr>
            <w:r>
              <w:rPr>
                <w:rFonts w:ascii="仿宋_GB2312" w:hAnsi="仿宋_GB2312" w:cs="仿宋_GB2312" w:eastAsia="仿宋_GB2312"/>
              </w:rPr>
              <w:t>（三）按照防火分区要求将部分门窗换为防火门窗；</w:t>
            </w:r>
          </w:p>
          <w:p>
            <w:pPr>
              <w:pStyle w:val="null3"/>
            </w:pPr>
            <w:r>
              <w:rPr>
                <w:rFonts w:ascii="仿宋_GB2312" w:hAnsi="仿宋_GB2312" w:cs="仿宋_GB2312" w:eastAsia="仿宋_GB2312"/>
              </w:rPr>
              <w:t>（四）拆除图书馆C座一层的一间办公室和四层反恐学院的一间办公室，作为排烟通道，满足走道疏散和排烟要求；</w:t>
            </w:r>
          </w:p>
          <w:p>
            <w:pPr>
              <w:pStyle w:val="null3"/>
            </w:pPr>
            <w:r>
              <w:rPr>
                <w:rFonts w:ascii="仿宋_GB2312" w:hAnsi="仿宋_GB2312" w:cs="仿宋_GB2312" w:eastAsia="仿宋_GB2312"/>
              </w:rPr>
              <w:t>（五）将图书馆B座顶层广播室、电梯机房、水箱间开箱楼梯间的门改为开向室外。新建图书馆B座室外消防车道；</w:t>
            </w:r>
          </w:p>
          <w:p>
            <w:pPr>
              <w:pStyle w:val="null3"/>
            </w:pPr>
            <w:r>
              <w:rPr>
                <w:rFonts w:ascii="仿宋_GB2312" w:hAnsi="仿宋_GB2312" w:cs="仿宋_GB2312" w:eastAsia="仿宋_GB2312"/>
              </w:rPr>
              <w:t>（六）配合室外工程施工单位及检测单位完成整体消防系统联动调试，协助建设单位办理消防验收手续并完成“取证”。</w:t>
            </w:r>
          </w:p>
          <w:p>
            <w:pPr>
              <w:pStyle w:val="null3"/>
            </w:pPr>
            <w:r>
              <w:rPr>
                <w:rFonts w:ascii="仿宋_GB2312" w:hAnsi="仿宋_GB2312" w:cs="仿宋_GB2312" w:eastAsia="仿宋_GB2312"/>
              </w:rPr>
              <w:t>四、工程量清单及图纸</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五、主要材料推荐品牌</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材料名称</w:t>
                  </w:r>
                </w:p>
              </w:tc>
              <w:tc>
                <w:tcPr>
                  <w:tcW w:type="dxa" w:w="851"/>
                </w:tcPr>
                <w:p>
                  <w:pPr>
                    <w:pStyle w:val="null3"/>
                  </w:pPr>
                  <w:r>
                    <w:rPr>
                      <w:rFonts w:ascii="仿宋_GB2312" w:hAnsi="仿宋_GB2312" w:cs="仿宋_GB2312" w:eastAsia="仿宋_GB2312"/>
                    </w:rPr>
                    <w:t>品牌</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消防水管</w:t>
                  </w:r>
                </w:p>
              </w:tc>
              <w:tc>
                <w:tcPr>
                  <w:tcW w:type="dxa" w:w="851"/>
                </w:tcPr>
                <w:p>
                  <w:pPr>
                    <w:pStyle w:val="null3"/>
                  </w:pPr>
                  <w:r>
                    <w:rPr>
                      <w:rFonts w:ascii="仿宋_GB2312" w:hAnsi="仿宋_GB2312" w:cs="仿宋_GB2312" w:eastAsia="仿宋_GB2312"/>
                    </w:rPr>
                    <w:t>中财、联塑、高科、东方五十年等同档次或更优品牌</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电线、电缆</w:t>
                  </w:r>
                </w:p>
              </w:tc>
              <w:tc>
                <w:tcPr>
                  <w:tcW w:type="dxa" w:w="851"/>
                </w:tcPr>
                <w:p>
                  <w:pPr>
                    <w:pStyle w:val="null3"/>
                  </w:pPr>
                  <w:r>
                    <w:rPr>
                      <w:rFonts w:ascii="仿宋_GB2312" w:hAnsi="仿宋_GB2312" w:cs="仿宋_GB2312" w:eastAsia="仿宋_GB2312"/>
                    </w:rPr>
                    <w:t>喜爱、上上、上海南洋等同档次或更优品牌</w:t>
                  </w:r>
                </w:p>
              </w:tc>
            </w:tr>
          </w:tbl>
          <w:p>
            <w:pPr>
              <w:pStyle w:val="null3"/>
            </w:pPr>
            <w:r>
              <w:rPr>
                <w:rFonts w:ascii="仿宋_GB2312" w:hAnsi="仿宋_GB2312" w:cs="仿宋_GB2312" w:eastAsia="仿宋_GB2312"/>
              </w:rPr>
              <w:t>六、补充说明</w:t>
            </w:r>
          </w:p>
          <w:p>
            <w:pPr>
              <w:pStyle w:val="null3"/>
            </w:pPr>
            <w:r>
              <w:rPr>
                <w:rFonts w:ascii="仿宋_GB2312" w:hAnsi="仿宋_GB2312" w:cs="仿宋_GB2312" w:eastAsia="仿宋_GB2312"/>
              </w:rPr>
              <w:t>1、原火灾报警系统主机以及火灾报警设备品牌为海湾。</w:t>
            </w:r>
          </w:p>
          <w:p>
            <w:pPr>
              <w:pStyle w:val="null3"/>
            </w:pPr>
            <w:r>
              <w:rPr>
                <w:rFonts w:ascii="仿宋_GB2312" w:hAnsi="仿宋_GB2312" w:cs="仿宋_GB2312" w:eastAsia="仿宋_GB2312"/>
              </w:rPr>
              <w:t>2、本项目应急照明系统灯具电压等级为220v，含蓄电池，不接入火灾报警系统。</w:t>
            </w:r>
          </w:p>
          <w:p>
            <w:pPr>
              <w:pStyle w:val="null3"/>
            </w:pPr>
            <w:r>
              <w:rPr>
                <w:rFonts w:ascii="仿宋_GB2312" w:hAnsi="仿宋_GB2312" w:cs="仿宋_GB2312" w:eastAsia="仿宋_GB2312"/>
              </w:rPr>
              <w:t>3、图书馆土建部分，增加的消防车道位置需增加道牙，道牙材质为混凝土。</w:t>
            </w:r>
          </w:p>
          <w:p>
            <w:pPr>
              <w:pStyle w:val="null3"/>
            </w:pPr>
            <w:r>
              <w:rPr>
                <w:rFonts w:ascii="仿宋_GB2312" w:hAnsi="仿宋_GB2312" w:cs="仿宋_GB2312" w:eastAsia="仿宋_GB2312"/>
              </w:rPr>
              <w:t>4、本项目需更换较多防火门，除校务楼和图书馆对防火门颜色有要求外，其他无要求，费用由供应商自行考虑。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严格遵守国家现行有效的消防法律法规、技术规范标准及地方消防部门规定；符合教育部门关于学校建筑消防安全管理的相关要求；负责通过消防部门验收并取得合格文件。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1.工期要求：30个日历日。 2.施工地点：西北政法大学指定地点。 3.保修期：自竣工验收合格之日起24个月。 4.工程质量：合格。 5.采购资金的支付：合同签订后10个工作日内预付 20%。工程竣工验收后支付至合同总金额的50 %（暂定） ，工程结算后支付至合同结算价款的 50 %，剩余部分2026年度支付至竣工结算总价的97%，剩余3%质保期满无质量问题，可无息退还。质保期自采购人验收合格之日起满【2】 年，供应商未能提供符合采购人要求的发票的，采购人有权拒绝付款且不承担逾期付款责任，供应商仍应按照合同约定履行合同义务。工程决算与采购验收所产生的费用由供应商承担。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3.5.1为顺利推进政府采购电子化交易平台应用工作，供应商需要在线提交所有通过电子化交易平台实施的政府采购项目的响应文件，同时，线下提交纸质响应文件贰份并密封。若电子响应文件与纸质响应文件不一致的，以电子响应文件为准。线下递交文件时间：详见本项目采购公告文件截止时间；线下递交文件地点：西安市莲湖区环城西路南段元晟合中心6层。 3.5.2、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 3.5.3、报价说明 （1）供应商应充分考虑磋商文件的各项要求和本工程的实际情况，根据自身实力，充分考虑材料价格、人工费、物价上涨等市场变化的风险，自主报价，风险自担。（2）本次磋商及竣工结算采用陕西省2009工程量清单计价规则及与相关规范。（若清单编制说明与陕西省2009工程量清单计价规则有所冲突，按陕西省2009工程量清单计价规则执行）。（3）本工程材料采购需采购人进行认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7月1日以来至少一个月的纳税证明或完税证明，纳税证明或完税证明上应有代收机构或税务机关的公章或业务专用章；其他组织和自然人提供自2024年7月1日以来至少一个月缴纳税收的凭据；依法免税的或者依法不需缴税的供应商应提供相关文件证明； ③社会保障资金缴纳证明：提供自2024年7月1日以来至少一个月已缴纳的社会保障资金的证明（社会保障资金缴存单据或社保机构开具 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审计报告（成立时间至提交响应文件截止时间不足一年的可提供成立后任意时段的资产负债表），或提交自2025年1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1供应商资格证明文件.docx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供应商具备消防设施工程专业承包二级及以上资质，并具备有效的安全生产许可证。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拟派项目经理须具备机电工程专业二级及以上注册建造师证书及有效的安全生产考核合格证（建安B证），在本单位注册，未担任其他在建工程项目的项目经理（提供承诺）。</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满足本磋商文件中“三、针对本项目的其他技术服务要求”的</w:t>
            </w:r>
          </w:p>
        </w:tc>
        <w:tc>
          <w:tcPr>
            <w:tcW w:type="dxa" w:w="1661"/>
          </w:tcPr>
          <w:p>
            <w:pPr>
              <w:pStyle w:val="null3"/>
            </w:pPr>
            <w:r>
              <w:rPr>
                <w:rFonts w:ascii="仿宋_GB2312" w:hAnsi="仿宋_GB2312" w:cs="仿宋_GB2312" w:eastAsia="仿宋_GB2312"/>
              </w:rPr>
              <w:t>3商务部分偏离表.docx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2承诺书.docx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各类工程的施工方案，包括但不限于①施工工艺、②劳动力配置计划、③对施工难度大、技术含量高的分项工程等进行说明并给出施工保障措施和专项技术方案、④施工机械配备和材料投入计划等方面。施工方案应符合采购项目特点及要求，描述详尽且有利于项目实施。 满足项目实施要求，无瑕疵：8分； 内容存在1处瑕疵：7分； 内容存在2处瑕疵：6分； 内容存在3处瑕疵：5分； 内容存在4处瑕疵：4分； 内容存在5处瑕疵：3分； 内容存在6处瑕疵：2分； 内容存在7处瑕疵：1分； 未提供或内容存在8处及以上瑕疵：0分。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涉及的规范、标准与本项目要求不一致；内容不符合本项目要求或国家强制规定等任意一种情形。（下述评审标准中关于“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供应商针对本项目工期要求及施工特点，提供针对本项目的施工进度计划，包括①工程总进度施工计划、②进度控制保证措施。内容应符合采购项目特点及要求，描述详尽且有利于项目实施。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供应商提供针对本项目的质量技术组织措施包括①质量目标、②技术保障措施、③质量全过程检查制度。内容应符合采购项目特点及要求，描述详尽且有利于项目实施。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6质量技术组织措施.docx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结合工程环境、特点，提供针对本项目的安全保证措施包括①项目安全管理目标、②安全管理组织机构、③安全生产管理制度及安全保障措施。内容应符合采购项目特点及要求，描述详尽且有利于保障项目实施安全。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7安全保证措施.docx</w:t>
            </w:r>
          </w:p>
        </w:tc>
      </w:tr>
      <w:tr>
        <w:tc>
          <w:tcPr>
            <w:tcW w:type="dxa" w:w="831"/>
            <w:vMerge/>
          </w:tcPr>
          <w:p/>
        </w:tc>
        <w:tc>
          <w:tcPr>
            <w:tcW w:type="dxa" w:w="1661"/>
          </w:tcPr>
          <w:p>
            <w:pPr>
              <w:pStyle w:val="null3"/>
            </w:pPr>
            <w:r>
              <w:rPr>
                <w:rFonts w:ascii="仿宋_GB2312" w:hAnsi="仿宋_GB2312" w:cs="仿宋_GB2312" w:eastAsia="仿宋_GB2312"/>
              </w:rPr>
              <w:t>环保文明措施</w:t>
            </w:r>
          </w:p>
        </w:tc>
        <w:tc>
          <w:tcPr>
            <w:tcW w:type="dxa" w:w="2492"/>
          </w:tcPr>
          <w:p>
            <w:pPr>
              <w:pStyle w:val="null3"/>
            </w:pPr>
            <w:r>
              <w:rPr>
                <w:rFonts w:ascii="仿宋_GB2312" w:hAnsi="仿宋_GB2312" w:cs="仿宋_GB2312" w:eastAsia="仿宋_GB2312"/>
              </w:rPr>
              <w:t>供应商提供环保文明措施，包括但不限于①文明施工与环境管理目标、②文明施工与环境管理的组织机构、③文明施工与现场环境保护的控制措施。 满足项目实施要求，无瑕疵：4分；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8环保文明措施.docx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提供本项目施工所需主要材料的品牌、型号等详细清单，并对主要材料选择原因、品质等进行说明。根据清单是否完整、材料选择是否契合项目需求进行综合评审。 满足项目实施要求，无瑕疵：4分；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9主要材料选择.docx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供应商提供针对本项目的项目组织机构，并明确项目人员构成情况（岗位设置、专业种类及能力、人员专业证书）。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供应商针对本项目有详细具体的保修期内服务方案，包括但不限于①保修期内服务内容、②问题响应时间、③服务人员配备、④保修措施。方案制定应完整全面、详细具体。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10保修期内服务方案.docx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提供供应商2022年1月1日至今类似项目施工业绩（已完工），每提供1份得1分，最高得5分。（业绩以合同签订日期为准）。 注：响应文件须提供合同以及工程竣工验收资料并加盖供应商公章。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供应商提供拟派项目经理自2022年1月1日至今的类似项目施工业绩（已完工），每提供1份得1分，最高得5分。（业绩以合同签订日期为准）。 备注：1、响应文件须提供合同以及工程竣工验收资料，合同中需要体现项目经理姓名并加盖供应商公章。 2、拟派项目经理业绩与企业业绩不重复计分。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12拟派项目经理业绩.docx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供应商承诺的质保期在满足磋商文件要求的基础上，每增加1年计1分，满分3分。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3商务部分偏离表.docx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已标价工程量清单 中小企业声明函 残疾人福利性单位声明函 报价函 标的清单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详见附件：4施工方案.docx</w:t>
      </w:r>
    </w:p>
    <w:p>
      <w:pPr>
        <w:pStyle w:val="null3"/>
        <w:ind w:firstLine="960"/>
      </w:pPr>
      <w:r>
        <w:rPr>
          <w:rFonts w:ascii="仿宋_GB2312" w:hAnsi="仿宋_GB2312" w:cs="仿宋_GB2312" w:eastAsia="仿宋_GB2312"/>
        </w:rPr>
        <w:t>详见附件：5施工进度计划.docx</w:t>
      </w:r>
    </w:p>
    <w:p>
      <w:pPr>
        <w:pStyle w:val="null3"/>
        <w:ind w:firstLine="960"/>
      </w:pPr>
      <w:r>
        <w:rPr>
          <w:rFonts w:ascii="仿宋_GB2312" w:hAnsi="仿宋_GB2312" w:cs="仿宋_GB2312" w:eastAsia="仿宋_GB2312"/>
        </w:rPr>
        <w:t>详见附件：6质量技术组织措施.docx</w:t>
      </w:r>
    </w:p>
    <w:p>
      <w:pPr>
        <w:pStyle w:val="null3"/>
        <w:ind w:firstLine="960"/>
      </w:pPr>
      <w:r>
        <w:rPr>
          <w:rFonts w:ascii="仿宋_GB2312" w:hAnsi="仿宋_GB2312" w:cs="仿宋_GB2312" w:eastAsia="仿宋_GB2312"/>
        </w:rPr>
        <w:t>详见附件：7安全保证措施.docx</w:t>
      </w:r>
    </w:p>
    <w:p>
      <w:pPr>
        <w:pStyle w:val="null3"/>
        <w:ind w:firstLine="960"/>
      </w:pPr>
      <w:r>
        <w:rPr>
          <w:rFonts w:ascii="仿宋_GB2312" w:hAnsi="仿宋_GB2312" w:cs="仿宋_GB2312" w:eastAsia="仿宋_GB2312"/>
        </w:rPr>
        <w:t>详见附件：8环保文明措施.docx</w:t>
      </w:r>
    </w:p>
    <w:p>
      <w:pPr>
        <w:pStyle w:val="null3"/>
        <w:ind w:firstLine="960"/>
      </w:pPr>
      <w:r>
        <w:rPr>
          <w:rFonts w:ascii="仿宋_GB2312" w:hAnsi="仿宋_GB2312" w:cs="仿宋_GB2312" w:eastAsia="仿宋_GB2312"/>
        </w:rPr>
        <w:t>详见附件：9主要材料选择.docx</w:t>
      </w:r>
    </w:p>
    <w:p>
      <w:pPr>
        <w:pStyle w:val="null3"/>
        <w:ind w:firstLine="960"/>
      </w:pPr>
      <w:r>
        <w:rPr>
          <w:rFonts w:ascii="仿宋_GB2312" w:hAnsi="仿宋_GB2312" w:cs="仿宋_GB2312" w:eastAsia="仿宋_GB2312"/>
        </w:rPr>
        <w:t>详见附件：10保修期内服务方案.docx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详见附件：12拟派项目经理业绩.docx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