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版本号：ZX2025-07-4520250725002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雁塔校区消防设施升级改造项目（一标段）施工总承包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ZX2025-07-45</w:t>
      </w:r>
      <w:r>
        <w:br/>
      </w:r>
      <w:r>
        <w:br/>
      </w:r>
      <w:r>
        <w:br/>
      </w:r>
    </w:p>
    <w:p>
      <w:pPr>
        <w:pStyle w:val="null3"/>
        <w:jc w:val="center"/>
        <w:outlineLvl w:val="2"/>
      </w:pPr>
      <w:r>
        <w:rPr>
          <w:rFonts w:ascii="仿宋_GB2312" w:hAnsi="仿宋_GB2312" w:cs="仿宋_GB2312" w:eastAsia="仿宋_GB2312"/>
          <w:sz w:val="28"/>
          <w:b/>
        </w:rPr>
        <w:t>西北政法大学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雁塔校区消防设施升级改造项目（一标段）施工总承包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ZX2025-07-45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雁塔校区消防设施升级改造项目（一标段）施工总承包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照雁塔区住房和城乡建设局2024年6月24日出具的《建设工程消防技术服务函》中的整改意见以及陕西同济土木建筑设计有限公司根据整改意见给出的整改实施方案对雁塔校区三号教学楼和地下车库进行消防维修改造，具体详见磋商文件第三章技术参数与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3、施工资质：供应商具备消防设施工程专业承包二级及以上资质，并具备有效的安全生产许可证。</w:t>
      </w:r>
    </w:p>
    <w:p>
      <w:pPr>
        <w:pStyle w:val="null3"/>
      </w:pPr>
      <w:r>
        <w:rPr>
          <w:rFonts w:ascii="仿宋_GB2312" w:hAnsi="仿宋_GB2312" w:cs="仿宋_GB2312" w:eastAsia="仿宋_GB2312"/>
        </w:rPr>
        <w:t>4、拟派项目负责人资质和专业要求：拟派项目经理须具备机电工程专业二级及以上注册建造师证书及有效的安全生产考核合格证（建安B证），在本单位注册，未担任其他在建工程项目的项目经理（提供承诺）。</w:t>
      </w:r>
    </w:p>
    <w:p>
      <w:pPr>
        <w:pStyle w:val="null3"/>
      </w:pPr>
      <w:r>
        <w:rPr>
          <w:rFonts w:ascii="仿宋_GB2312" w:hAnsi="仿宋_GB2312" w:cs="仿宋_GB2312" w:eastAsia="仿宋_GB2312"/>
        </w:rPr>
        <w:t>5、陕西省建筑市场监管与诚信信息发布平台：省外企业须在“陕西省建筑市场监管与诚信信息发布平台”企业库可查询（附完整的查询结果截图加盖供应商公章）。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王宇轩 马演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采购包1：1,321,243.39元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采购包1保证金金额：20,745.00元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西北政法大学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按照磋商文件、响应文件和合同文本执行。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1,321,243.39</w:t>
      </w:r>
    </w:p>
    <w:p>
      <w:pPr>
        <w:pStyle w:val="null3"/>
      </w:pPr>
      <w:r>
        <w:rPr>
          <w:rFonts w:ascii="仿宋_GB2312" w:hAnsi="仿宋_GB2312" w:cs="仿宋_GB2312" w:eastAsia="仿宋_GB2312"/>
        </w:rPr>
        <w:t>采购包最高限价（元）: 1,321,243.39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西北政法大学雁塔校区消防设施升级改造项目（一标段）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1,321,243.39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标的名称：西北政法大学雁塔校区消防设施升级改造项目（一标段）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一、项目基本信息</w:t>
            </w:r>
          </w:p>
          <w:p>
            <w:pPr>
              <w:pStyle w:val="null3"/>
            </w:pPr>
            <w:r>
              <w:rPr>
                <w:rFonts w:ascii="仿宋_GB2312" w:hAnsi="仿宋_GB2312" w:cs="仿宋_GB2312" w:eastAsia="仿宋_GB2312"/>
              </w:rPr>
              <w:t>项目地点：陕西省西安市雁塔区长安南路300号。</w:t>
            </w:r>
          </w:p>
          <w:p>
            <w:pPr>
              <w:pStyle w:val="null3"/>
            </w:pPr>
            <w:r>
              <w:rPr>
                <w:rFonts w:ascii="仿宋_GB2312" w:hAnsi="仿宋_GB2312" w:cs="仿宋_GB2312" w:eastAsia="仿宋_GB2312"/>
              </w:rPr>
              <w:t>二、主要功能或目标：</w:t>
            </w:r>
          </w:p>
          <w:p>
            <w:pPr>
              <w:pStyle w:val="null3"/>
            </w:pPr>
            <w:r>
              <w:rPr>
                <w:rFonts w:ascii="仿宋_GB2312" w:hAnsi="仿宋_GB2312" w:cs="仿宋_GB2312" w:eastAsia="仿宋_GB2312"/>
              </w:rPr>
              <w:t>通过本次维修改造，能够消除雁塔校区三号教学楼和地下车库的消防安全隐患，完成省教育厅的要求的“取证”任务，彻底解决以上两个建筑物的“取证”问题，通过整改促使消防手续合格和消防设施达标，解决了学校长期以来的消防隐患问题，保障了校舍和广大师生的生命财产安全。</w:t>
            </w:r>
          </w:p>
          <w:p>
            <w:pPr>
              <w:pStyle w:val="null3"/>
            </w:pPr>
            <w:r>
              <w:rPr>
                <w:rFonts w:ascii="仿宋_GB2312" w:hAnsi="仿宋_GB2312" w:cs="仿宋_GB2312" w:eastAsia="仿宋_GB2312"/>
              </w:rPr>
              <w:t>三、采购内容</w:t>
            </w:r>
          </w:p>
          <w:p>
            <w:pPr>
              <w:pStyle w:val="null3"/>
            </w:pPr>
            <w:r>
              <w:rPr>
                <w:rFonts w:ascii="仿宋_GB2312" w:hAnsi="仿宋_GB2312" w:cs="仿宋_GB2312" w:eastAsia="仿宋_GB2312"/>
              </w:rPr>
              <w:t>对照雁塔区住房和城乡建设局2024年6月24日出具的《建设工程消防技术服务函》中的整改意见以及陕西同济土木建筑设计有限公司根据整改意见给出的整改实施方案对雁塔校区三号教学楼和地下车库进行消防维修改造，主要包括：</w:t>
            </w:r>
          </w:p>
          <w:p>
            <w:pPr>
              <w:pStyle w:val="null3"/>
            </w:pPr>
            <w:r>
              <w:rPr>
                <w:rFonts w:ascii="仿宋_GB2312" w:hAnsi="仿宋_GB2312" w:cs="仿宋_GB2312" w:eastAsia="仿宋_GB2312"/>
              </w:rPr>
              <w:t>（一）维修三号教学楼和地下车库的消火栓系统、火灾报警系统、机械防排烟系统以及应急照明疏散指示系统，将地下车库消防系统接入现有消防主机内（消防主机为青鸟品牌）；</w:t>
            </w:r>
          </w:p>
          <w:p>
            <w:pPr>
              <w:pStyle w:val="null3"/>
            </w:pPr>
            <w:r>
              <w:rPr>
                <w:rFonts w:ascii="仿宋_GB2312" w:hAnsi="仿宋_GB2312" w:cs="仿宋_GB2312" w:eastAsia="仿宋_GB2312"/>
              </w:rPr>
              <w:t>（二）按照防火分区的整改意见将现有楼梯间改为封闭楼梯间，将部分房间门窗改为防火门窗；</w:t>
            </w:r>
          </w:p>
          <w:p>
            <w:pPr>
              <w:pStyle w:val="null3"/>
            </w:pPr>
            <w:r>
              <w:rPr>
                <w:rFonts w:ascii="仿宋_GB2312" w:hAnsi="仿宋_GB2312" w:cs="仿宋_GB2312" w:eastAsia="仿宋_GB2312"/>
              </w:rPr>
              <w:t>（三）新建三号教学楼自喷系统以及从地下车库新建至三号教学楼的室外消火栓、自喷管道；</w:t>
            </w:r>
          </w:p>
          <w:p>
            <w:pPr>
              <w:pStyle w:val="null3"/>
            </w:pPr>
            <w:r>
              <w:rPr>
                <w:rFonts w:ascii="仿宋_GB2312" w:hAnsi="仿宋_GB2312" w:cs="仿宋_GB2312" w:eastAsia="仿宋_GB2312"/>
              </w:rPr>
              <w:t>（四）消防系统联动调试，协助检测单位进行消防检测和建设单位办理消防验收手续，并完成“取证”。</w:t>
            </w:r>
          </w:p>
          <w:p>
            <w:pPr>
              <w:pStyle w:val="null3"/>
            </w:pPr>
            <w:r>
              <w:rPr>
                <w:rFonts w:ascii="仿宋_GB2312" w:hAnsi="仿宋_GB2312" w:cs="仿宋_GB2312" w:eastAsia="仿宋_GB2312"/>
              </w:rPr>
              <w:t>四、工程量清单及图纸</w:t>
            </w:r>
          </w:p>
          <w:p>
            <w:pPr>
              <w:pStyle w:val="null3"/>
            </w:pPr>
            <w:r>
              <w:rPr>
                <w:rFonts w:ascii="仿宋_GB2312" w:hAnsi="仿宋_GB2312" w:cs="仿宋_GB2312" w:eastAsia="仿宋_GB2312"/>
              </w:rPr>
              <w:t>详见附件</w:t>
            </w:r>
          </w:p>
          <w:p>
            <w:pPr>
              <w:pStyle w:val="null3"/>
            </w:pPr>
            <w:r>
              <w:rPr>
                <w:rFonts w:ascii="仿宋_GB2312" w:hAnsi="仿宋_GB2312" w:cs="仿宋_GB2312" w:eastAsia="仿宋_GB2312"/>
              </w:rPr>
              <w:t>五、主要材料推荐品牌</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材料名称</w:t>
                  </w:r>
                </w:p>
              </w:tc>
              <w:tc>
                <w:tcPr>
                  <w:tcW w:type="dxa" w:w="851"/>
                </w:tcPr>
                <w:p>
                  <w:pPr>
                    <w:pStyle w:val="null3"/>
                  </w:pPr>
                  <w:r>
                    <w:rPr>
                      <w:rFonts w:ascii="仿宋_GB2312" w:hAnsi="仿宋_GB2312" w:cs="仿宋_GB2312" w:eastAsia="仿宋_GB2312"/>
                    </w:rPr>
                    <w:t>品牌</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消防水管</w:t>
                  </w:r>
                </w:p>
              </w:tc>
              <w:tc>
                <w:tcPr>
                  <w:tcW w:type="dxa" w:w="851"/>
                </w:tcPr>
                <w:p>
                  <w:pPr>
                    <w:pStyle w:val="null3"/>
                  </w:pPr>
                  <w:r>
                    <w:rPr>
                      <w:rFonts w:ascii="仿宋_GB2312" w:hAnsi="仿宋_GB2312" w:cs="仿宋_GB2312" w:eastAsia="仿宋_GB2312"/>
                    </w:rPr>
                    <w:t>中财、联塑、高科、东方五十年等同档次或更优品牌</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电线、</w:t>
                  </w:r>
                </w:p>
                <w:p>
                  <w:pPr>
                    <w:pStyle w:val="null3"/>
                  </w:pPr>
                  <w:r>
                    <w:rPr>
                      <w:rFonts w:ascii="仿宋_GB2312" w:hAnsi="仿宋_GB2312" w:cs="仿宋_GB2312" w:eastAsia="仿宋_GB2312"/>
                    </w:rPr>
                    <w:t>电缆</w:t>
                  </w:r>
                </w:p>
              </w:tc>
              <w:tc>
                <w:tcPr>
                  <w:tcW w:type="dxa" w:w="851"/>
                </w:tcPr>
                <w:p>
                  <w:pPr>
                    <w:pStyle w:val="null3"/>
                  </w:pPr>
                  <w:r>
                    <w:rPr>
                      <w:rFonts w:ascii="仿宋_GB2312" w:hAnsi="仿宋_GB2312" w:cs="仿宋_GB2312" w:eastAsia="仿宋_GB2312"/>
                    </w:rPr>
                    <w:t>喜爱、上上、上海南洋等同档次或更优品牌</w:t>
                  </w:r>
                </w:p>
              </w:tc>
            </w:tr>
          </w:tbl>
          <w:p>
            <w:pPr>
              <w:pStyle w:val="null3"/>
            </w:pPr>
            <w:r>
              <w:rPr>
                <w:rFonts w:ascii="仿宋_GB2312" w:hAnsi="仿宋_GB2312" w:cs="仿宋_GB2312" w:eastAsia="仿宋_GB2312"/>
              </w:rPr>
              <w:t>六、补充说明</w:t>
            </w:r>
          </w:p>
          <w:p>
            <w:pPr>
              <w:pStyle w:val="null3"/>
            </w:pPr>
            <w:r>
              <w:rPr>
                <w:rFonts w:ascii="仿宋_GB2312" w:hAnsi="仿宋_GB2312" w:cs="仿宋_GB2312" w:eastAsia="仿宋_GB2312"/>
              </w:rPr>
              <w:t>1、本项目应急照明系统灯具，电压等级为220v，含蓄电池，不接入火灾报警系统。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严格遵守国家现行有效的消防法律法规、技术规范标准及地方消防部门规定；符合教育部门关于学校建筑消防安全管理的相关要求；负责通过消防部门验收并取得合格文件。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1.工期要求：30个日历日。 2.施工地点：西北政法大学指定地点。 3.保修期：自竣工验收合格之日起24个月。 4.工程质量：合格。 5.采购资金的支付：合同签订后10个工作日内预付20%。工程竣工验收后支付至合同总金额的 80 % ，工程结算后支付至合同结算价款的97%，剩余3%质保期满无质量问题，可无息退还。质保期自甲方验收合格之日起满【2】 年，供应商未能提供符合采购人要求的发票的，采购人有权拒绝付款且不承担逾期付款责任，供应商仍应按照合同约定履行合同义务。工程决算与采购验收所产生的费用由供应商承担。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3.5.1为顺利推进政府采购电子化交易平台应用工作，供应商需要在线提交所有通过电子化交易平台实施的政府采购项目的响应文件，同时，线下提交纸质响应文件贰份并密封。若电子响应文件与纸质响应文件不一致的，以电子响应文件为准。线下递交文件时间：详见本项目采购公告文件截止时间；线下递交文件地点：西安市莲湖区环城西路南段元晟合中心6层。 3.5.2、磋商保证金注意事项：（1）磋商保证金须从供应商户名支付，如从个人户名或非供应商户名支付，将被拒绝，视为自动放弃投标权利（该个人是供应商的情形除外）；以保函形式交纳磋商保证金的，供应商应在磋商截止时间前将保函扫描成清晰的PDF文件，发送至邮箱2559647209@qq.com（邮件命名：项目编号），并将保函原件单独递交至代理机构财务；供应商应在响应文件中附保函复印件。保函必须由具有开具投标保函资格的单位开具；若供应商违约，开具保函单位承担 连带责任； （2）磋商保证金的提交金额、时间不满足磋商文件要求的，响应无效； （3）磋商保证金以采购代理机构到账凭证为准，供应商无需更换交纳凭证，由采购代理机构统一提供。 （4）未按指定账户提交的，我公司将退回，供应商须在文件递交截止时间前按照指定账户再次提交。 3.5.3、报价说明 （1）供应商应充分考虑磋商文件的各项要求和本工程的实际情况，根据自身实力，充分考虑材料价格、人工费、物价上涨等市场变化的风险，自主报价，风险自担。（2）本次磋商及竣工结算采用陕西省2009工程量清单计价规则及与相关规范。（若清单编制说明与陕西省2009工程量清单计价规则有所冲突，按陕西省2009工程量清单计价规则执行）。（3）本工程材料采购需采购人进行认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7月1日以来至少一个月的纳税证明或完税证明，纳税证明或完税证明上应有代收机构或税务机关的公章或业务专用章；其他组织和自然人提供自2024年7月1日以来至少一个月缴纳税收的凭据；依法免税的或者依法不需缴税的供应商应提供相关文件证明； ③社会保障资金缴纳证明：提供自2024年7月1日以来至少一个月已缴纳的社会保障资金的证明（社会保障资金缴存单据或社保机构开具 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有效的2024年度审计报告（成立时间至提交响应文件截止时间不足一年的可提供成立后任意时段的资产负债表），或提交自2025年1月1日以来银行出具的资信证明，或信用担保机构出具的投标担保函（以上三种形式的资料提供任何一种即可）；其他组织和自然人提供银行出具 的资信证明或财务报表； 注：此项资格提供“陕西省政府采购供应商信用承诺书”的，可不再提供其他证明文件。供应商需在项目电子化交易系统中按要求上传相应证明文件并进行电子签章。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1供应商资格证明文件.docx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供应商具备消防设施工程专业承包二级及以上资质，并具备有效的安全生产许可证。</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拟派项目经理须具备机电工程专业二级及以上注册建造师证书及有效的安全生产考核合格证（建安B证），在本单位注册，未担任其他在建工程项目的项目经理（提供承诺）。</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省外企业须在“陕西省建筑市场监管与诚信信息发布平台”企业库可查询（附完整的查询结果截图加盖供应商公章）。</w:t>
            </w:r>
          </w:p>
        </w:tc>
        <w:tc>
          <w:tcPr>
            <w:tcW w:type="dxa" w:w="1661"/>
          </w:tcPr>
          <w:p>
            <w:pPr>
              <w:pStyle w:val="null3"/>
            </w:pPr>
            <w:r>
              <w:rPr>
                <w:rFonts w:ascii="仿宋_GB2312" w:hAnsi="仿宋_GB2312" w:cs="仿宋_GB2312" w:eastAsia="仿宋_GB2312"/>
              </w:rPr>
              <w:t>1供应商资格证明文件.docx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满足本磋商文件中“三、针对本项目的其他技术服务要求”的</w:t>
            </w:r>
          </w:p>
        </w:tc>
        <w:tc>
          <w:tcPr>
            <w:tcW w:type="dxa" w:w="1661"/>
          </w:tcPr>
          <w:p>
            <w:pPr>
              <w:pStyle w:val="null3"/>
            </w:pPr>
            <w:r>
              <w:rPr>
                <w:rFonts w:ascii="仿宋_GB2312" w:hAnsi="仿宋_GB2312" w:cs="仿宋_GB2312" w:eastAsia="仿宋_GB2312"/>
              </w:rPr>
              <w:t>3商务部分偏离表.docx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2承诺书.docx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各类工程的施工方案，包括但不限于①施工工艺、②劳动力配置计划、③对施工难度大、技术含量高的分项工程等进行说明并给出施工保障措施和专项技术方案、④施工机械配备和材料投入计划等方面。施工方案应符合采购项目特点及要求，描述详尽且有利于项目实施。 满足项目实施要求，无瑕疵：8分； 内容存在1处瑕疵：7分； 内容存在2处瑕疵：6分； 内容存在3处瑕疵：5分； 内容存在4处瑕疵：4分； 内容存在5处瑕疵：3分； 内容存在6处瑕疵：2分； 内容存在7处瑕疵：1分； 未提供或内容存在8处及以上瑕疵：0分。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涉及的规范、标准与本项目要求不一致；内容不符合本项目要求或国家强制规定等任意一种情形。（下述评审标准中关于“瑕疵”的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供应商针对本项目工期要求及施工特点，提供针对本项目的施工进度计划，包括①工程总进度施工计划、②进度控制保证措施。内容应符合采购项目特点及要求，描述详尽且有利于项目实施。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供应商提供针对本项目的质量技术组织措施包括①质量目标、②技术保障措施、③质量全过程检查制度。内容应符合采购项目特点及要求，描述详尽且有利于项目实施。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6质量技术组织措施.docx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结合工程环境、特点，提供针对本项目的安全保证措施包括①项目安全管理目标、②安全管理组织机构、③安全生产管理制度及安全保障措施。内容应符合采购项目特点及要求，描述详尽且有利于保障项目实施安全。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7安全保证措施.docx</w:t>
            </w:r>
          </w:p>
        </w:tc>
      </w:tr>
      <w:tr>
        <w:tc>
          <w:tcPr>
            <w:tcW w:type="dxa" w:w="831"/>
            <w:vMerge/>
          </w:tcPr>
          <w:p/>
        </w:tc>
        <w:tc>
          <w:tcPr>
            <w:tcW w:type="dxa" w:w="1661"/>
          </w:tcPr>
          <w:p>
            <w:pPr>
              <w:pStyle w:val="null3"/>
            </w:pPr>
            <w:r>
              <w:rPr>
                <w:rFonts w:ascii="仿宋_GB2312" w:hAnsi="仿宋_GB2312" w:cs="仿宋_GB2312" w:eastAsia="仿宋_GB2312"/>
              </w:rPr>
              <w:t>环保文明措施</w:t>
            </w:r>
          </w:p>
        </w:tc>
        <w:tc>
          <w:tcPr>
            <w:tcW w:type="dxa" w:w="2492"/>
          </w:tcPr>
          <w:p>
            <w:pPr>
              <w:pStyle w:val="null3"/>
            </w:pPr>
            <w:r>
              <w:rPr>
                <w:rFonts w:ascii="仿宋_GB2312" w:hAnsi="仿宋_GB2312" w:cs="仿宋_GB2312" w:eastAsia="仿宋_GB2312"/>
              </w:rPr>
              <w:t>供应商提供环保文明措施，包括但不限于①文明施工与环境管理目标、②文明施工与环境管理的组织机构、③文明施工与现场环境保护的控制措施。 满足项目实施要求，无瑕疵：4分； 内容存在1处瑕疵：3分； 内容存在2处瑕疵：2分； 内容存在3处瑕疵：1分；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8环保文明措施.docx</w:t>
            </w:r>
          </w:p>
        </w:tc>
      </w:tr>
      <w:tr>
        <w:tc>
          <w:tcPr>
            <w:tcW w:type="dxa" w:w="831"/>
            <w:vMerge/>
          </w:tcPr>
          <w:p/>
        </w:tc>
        <w:tc>
          <w:tcPr>
            <w:tcW w:type="dxa" w:w="1661"/>
          </w:tcPr>
          <w:p>
            <w:pPr>
              <w:pStyle w:val="null3"/>
            </w:pPr>
            <w:r>
              <w:rPr>
                <w:rFonts w:ascii="仿宋_GB2312" w:hAnsi="仿宋_GB2312" w:cs="仿宋_GB2312" w:eastAsia="仿宋_GB2312"/>
              </w:rPr>
              <w:t>主要材料选择</w:t>
            </w:r>
          </w:p>
        </w:tc>
        <w:tc>
          <w:tcPr>
            <w:tcW w:type="dxa" w:w="2492"/>
          </w:tcPr>
          <w:p>
            <w:pPr>
              <w:pStyle w:val="null3"/>
            </w:pPr>
            <w:r>
              <w:rPr>
                <w:rFonts w:ascii="仿宋_GB2312" w:hAnsi="仿宋_GB2312" w:cs="仿宋_GB2312" w:eastAsia="仿宋_GB2312"/>
              </w:rPr>
              <w:t>提供本项目施工所需主要材料的品牌、型号等详细清单，并对主要材料选择原因、品质等进行说明。根据清单是否完整、材料选择是否契合项目需求进行综合评审。 满足项目实施要求，无瑕疵：4分； 内容存在1处瑕疵：3分； 内容存在2处瑕疵：2分； 内容存在3处瑕疵：1分；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9主要材料选择.docx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供应商提供针对本项目的项目组织机构，并明确项目人员构成情况（岗位设置、专业种类及能力、人员专业证书）。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保修期内服务方案</w:t>
            </w:r>
          </w:p>
        </w:tc>
        <w:tc>
          <w:tcPr>
            <w:tcW w:type="dxa" w:w="2492"/>
          </w:tcPr>
          <w:p>
            <w:pPr>
              <w:pStyle w:val="null3"/>
            </w:pPr>
            <w:r>
              <w:rPr>
                <w:rFonts w:ascii="仿宋_GB2312" w:hAnsi="仿宋_GB2312" w:cs="仿宋_GB2312" w:eastAsia="仿宋_GB2312"/>
              </w:rPr>
              <w:t>供应商针对本项目有详细具体的保修期内服务方案，包括但不限于①保修期内服务内容、②问题响应时间、③服务人员配备、④保修措施。方案制定应完整全面、详细具体。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10保修期内服务方案.docx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提供供应商2022年1月1日至今类似项目施工业绩（已完工），每提供1份得1分，最高得5分。（业绩以合同签订日期为准）。 注：响应文件须提供合同以及工程竣工验收资料并加盖供应商公章。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供应商提供拟派项目经理自2022年1月1日至今的类似项目施工业绩（已完工），每提供1份得1分，最高得5分。（业绩以合同签订日期为准）。 备注：1、响应文件须提供合同以及工程竣工验收资料，合同中需要体现项目经理姓名并加盖供应商公章。 2、拟派项目经理业绩与企业业绩不重复计分。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12拟派项目经理业绩.docx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供应商承诺的质保期在满足磋商文件要求的基础上，每增加1年计1分，满分3分。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3商务部分偏离表.docx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磋商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已标价工程量清单 中小企业声明函 残疾人福利性单位声明函 报价函 标的清单 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详见附件：1供应商资格证明文件.docx</w:t>
      </w:r>
    </w:p>
    <w:p>
      <w:pPr>
        <w:pStyle w:val="null3"/>
        <w:ind w:firstLine="960"/>
      </w:pPr>
      <w:r>
        <w:rPr>
          <w:rFonts w:ascii="仿宋_GB2312" w:hAnsi="仿宋_GB2312" w:cs="仿宋_GB2312" w:eastAsia="仿宋_GB2312"/>
        </w:rPr>
        <w:t>详见附件：2承诺书.docx</w:t>
      </w:r>
    </w:p>
    <w:p>
      <w:pPr>
        <w:pStyle w:val="null3"/>
        <w:ind w:firstLine="960"/>
      </w:pPr>
      <w:r>
        <w:rPr>
          <w:rFonts w:ascii="仿宋_GB2312" w:hAnsi="仿宋_GB2312" w:cs="仿宋_GB2312" w:eastAsia="仿宋_GB2312"/>
        </w:rPr>
        <w:t>详见附件：3商务部分偏离表.docx</w:t>
      </w:r>
    </w:p>
    <w:p>
      <w:pPr>
        <w:pStyle w:val="null3"/>
        <w:ind w:firstLine="960"/>
      </w:pPr>
      <w:r>
        <w:rPr>
          <w:rFonts w:ascii="仿宋_GB2312" w:hAnsi="仿宋_GB2312" w:cs="仿宋_GB2312" w:eastAsia="仿宋_GB2312"/>
        </w:rPr>
        <w:t>详见附件：4施工方案.docx</w:t>
      </w:r>
    </w:p>
    <w:p>
      <w:pPr>
        <w:pStyle w:val="null3"/>
        <w:ind w:firstLine="960"/>
      </w:pPr>
      <w:r>
        <w:rPr>
          <w:rFonts w:ascii="仿宋_GB2312" w:hAnsi="仿宋_GB2312" w:cs="仿宋_GB2312" w:eastAsia="仿宋_GB2312"/>
        </w:rPr>
        <w:t>详见附件：5施工进度计划.docx</w:t>
      </w:r>
    </w:p>
    <w:p>
      <w:pPr>
        <w:pStyle w:val="null3"/>
        <w:ind w:firstLine="960"/>
      </w:pPr>
      <w:r>
        <w:rPr>
          <w:rFonts w:ascii="仿宋_GB2312" w:hAnsi="仿宋_GB2312" w:cs="仿宋_GB2312" w:eastAsia="仿宋_GB2312"/>
        </w:rPr>
        <w:t>详见附件：6质量技术组织措施.docx</w:t>
      </w:r>
    </w:p>
    <w:p>
      <w:pPr>
        <w:pStyle w:val="null3"/>
        <w:ind w:firstLine="960"/>
      </w:pPr>
      <w:r>
        <w:rPr>
          <w:rFonts w:ascii="仿宋_GB2312" w:hAnsi="仿宋_GB2312" w:cs="仿宋_GB2312" w:eastAsia="仿宋_GB2312"/>
        </w:rPr>
        <w:t>详见附件：7安全保证措施.docx</w:t>
      </w:r>
    </w:p>
    <w:p>
      <w:pPr>
        <w:pStyle w:val="null3"/>
        <w:ind w:firstLine="960"/>
      </w:pPr>
      <w:r>
        <w:rPr>
          <w:rFonts w:ascii="仿宋_GB2312" w:hAnsi="仿宋_GB2312" w:cs="仿宋_GB2312" w:eastAsia="仿宋_GB2312"/>
        </w:rPr>
        <w:t>详见附件：8环保文明措施.docx</w:t>
      </w:r>
    </w:p>
    <w:p>
      <w:pPr>
        <w:pStyle w:val="null3"/>
        <w:ind w:firstLine="960"/>
      </w:pPr>
      <w:r>
        <w:rPr>
          <w:rFonts w:ascii="仿宋_GB2312" w:hAnsi="仿宋_GB2312" w:cs="仿宋_GB2312" w:eastAsia="仿宋_GB2312"/>
        </w:rPr>
        <w:t>详见附件：9主要材料选择.docx</w:t>
      </w:r>
    </w:p>
    <w:p>
      <w:pPr>
        <w:pStyle w:val="null3"/>
        <w:ind w:firstLine="960"/>
      </w:pPr>
      <w:r>
        <w:rPr>
          <w:rFonts w:ascii="仿宋_GB2312" w:hAnsi="仿宋_GB2312" w:cs="仿宋_GB2312" w:eastAsia="仿宋_GB2312"/>
        </w:rPr>
        <w:t>详见附件：10保修期内服务方案.docx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详见附件：12拟派项目经理业绩.docx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