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版本号：ZY2025-ZB-CS1058.20250702001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公平竞争审查抽查项目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ZY2025-ZB-CS1058.</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公平竞争审查抽查项目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公平竞争审查抽查项目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公平竞争审查抽查项目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采购包1（公平竞争审查抽查项目）：属于专门面向中小企业采购。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2、财务状况报告：提供2023年度或2024年度经审计的完整财务报告或开标日期前三个月内其基本存款账户开户银行出具的资信证明。（如提供资信证明，须同时提供基本存款账户开户许可证或基本账户信息表）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书（附法定代表人、被授权人身份证复印件）及被授权人在磋商截止日前6个月内在本单位已缴存的至少1个月的社会保险参保缴费证明；（法定代表人直接参加磋商，只须提供法定代表人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数，依据《招标代理服务收费管理暂行办法》（计价格[2002]1980号）和《关于招标代理服务收费有关问题的通知》（发改办价格[2003]857号）文件规定执行；不足6000.00元按6000.00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w:t>
      </w:r>
    </w:p>
    <w:p>
      <w:pPr>
        <w:pStyle w:val="null3"/>
      </w:pPr>
      <w:r>
        <w:rPr>
          <w:rFonts w:ascii="仿宋_GB2312" w:hAnsi="仿宋_GB2312" w:cs="仿宋_GB2312" w:eastAsia="仿宋_GB2312"/>
        </w:rPr>
        <w:t>联系电话：029-86210100转802</w:t>
      </w:r>
    </w:p>
    <w:p>
      <w:pPr>
        <w:pStyle w:val="null3"/>
      </w:pPr>
      <w:r>
        <w:rPr>
          <w:rFonts w:ascii="仿宋_GB2312" w:hAnsi="仿宋_GB2312" w:cs="仿宋_GB2312" w:eastAsia="仿宋_GB2312"/>
        </w:rPr>
        <w:t>地址：陕西省西安市未央区西安经济技术开发区凤城一路6号利君V时代B座901、912室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公平竞争审查抽查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299,200.00</w:t>
      </w:r>
    </w:p>
    <w:p>
      <w:pPr>
        <w:pStyle w:val="null3"/>
      </w:pPr>
      <w:r>
        <w:rPr>
          <w:rFonts w:ascii="仿宋_GB2312" w:hAnsi="仿宋_GB2312" w:cs="仿宋_GB2312" w:eastAsia="仿宋_GB2312"/>
        </w:rPr>
        <w:t>采购包最高限价（元）: 299,200.00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公平竞争审查抽查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标的名称：公平竞争审查抽查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b/>
              </w:rPr>
              <w:t>1.项目名称</w:t>
            </w:r>
          </w:p>
          <w:p>
            <w:pPr>
              <w:pStyle w:val="null3"/>
              <w:ind w:firstLine="480"/>
            </w:pPr>
            <w:r>
              <w:rPr>
                <w:rFonts w:ascii="仿宋_GB2312" w:hAnsi="仿宋_GB2312" w:cs="仿宋_GB2312" w:eastAsia="仿宋_GB2312"/>
              </w:rPr>
              <w:t>公平竞争审查抽查项目</w:t>
            </w:r>
          </w:p>
          <w:p>
            <w:pPr>
              <w:pStyle w:val="null3"/>
              <w:ind w:firstLine="481"/>
            </w:pPr>
            <w:r>
              <w:rPr>
                <w:rFonts w:ascii="仿宋_GB2312" w:hAnsi="仿宋_GB2312" w:cs="仿宋_GB2312" w:eastAsia="仿宋_GB2312"/>
                <w:b/>
              </w:rPr>
              <w:t>2.</w:t>
            </w:r>
            <w:r>
              <w:rPr>
                <w:rFonts w:ascii="仿宋_GB2312" w:hAnsi="仿宋_GB2312" w:cs="仿宋_GB2312" w:eastAsia="仿宋_GB2312"/>
                <w:b/>
              </w:rPr>
              <w:t>项目</w:t>
            </w:r>
            <w:r>
              <w:rPr>
                <w:rFonts w:ascii="仿宋_GB2312" w:hAnsi="仿宋_GB2312" w:cs="仿宋_GB2312" w:eastAsia="仿宋_GB2312"/>
                <w:b/>
              </w:rPr>
              <w:t>实施目的</w:t>
            </w:r>
          </w:p>
          <w:p>
            <w:pPr>
              <w:pStyle w:val="null3"/>
              <w:ind w:firstLine="480"/>
            </w:pPr>
            <w:r>
              <w:rPr>
                <w:rFonts w:ascii="仿宋_GB2312" w:hAnsi="仿宋_GB2312" w:cs="仿宋_GB2312" w:eastAsia="仿宋_GB2312"/>
              </w:rPr>
              <w:t>本项目实施以新时代中国特色社会主义思想为指导，深入贯彻落实中央经济工作会议精神，认真贯彻党中央、国务院和省委、省政府决策部署，发挥市场在资源配置中的决定性作用，打破地方保护和市场分割，激发市场主体活力，维护市场公平竞争秩序，促进陕西经济高质量发展，营造统一开放、竞争有序的良好营商环境。</w:t>
            </w:r>
          </w:p>
          <w:p>
            <w:pPr>
              <w:pStyle w:val="null3"/>
              <w:ind w:firstLine="480"/>
            </w:pPr>
            <w:r>
              <w:rPr>
                <w:rFonts w:ascii="仿宋_GB2312" w:hAnsi="仿宋_GB2312" w:cs="仿宋_GB2312" w:eastAsia="仿宋_GB2312"/>
              </w:rPr>
              <w:t>本项目旨在督促政策制定机关落实公平竞争审查制度，抽查公平竞争审查的实施效果。过抽查评估及时发现和规范政府妨碍市场公平竞争的行为，防止出台排除、限制竞争的地方性法规、草案、规章、规范性文件和其他政策措施。</w:t>
            </w:r>
          </w:p>
          <w:p>
            <w:pPr>
              <w:pStyle w:val="null3"/>
              <w:ind w:firstLine="481"/>
            </w:pPr>
            <w:r>
              <w:rPr>
                <w:rFonts w:ascii="仿宋_GB2312" w:hAnsi="仿宋_GB2312" w:cs="仿宋_GB2312" w:eastAsia="仿宋_GB2312"/>
                <w:b/>
              </w:rPr>
              <w:t>3.服务内容</w:t>
            </w:r>
          </w:p>
          <w:p>
            <w:pPr>
              <w:pStyle w:val="null3"/>
              <w:ind w:firstLine="480"/>
            </w:pPr>
            <w:r>
              <w:rPr>
                <w:rFonts w:ascii="仿宋_GB2312" w:hAnsi="仿宋_GB2312" w:cs="仿宋_GB2312" w:eastAsia="仿宋_GB2312"/>
              </w:rPr>
              <w:t>本项目主要服务内容由公平竞争抽查服务、重大政策措施辅助审查服务、公平竞争审查专家培训服务、公平竞争审查专家研讨服务四个部分组成。</w:t>
            </w:r>
          </w:p>
          <w:p>
            <w:pPr>
              <w:pStyle w:val="null3"/>
              <w:numPr>
                <w:ilvl w:val="0"/>
                <w:numId w:val="1"/>
              </w:numPr>
            </w:pPr>
            <w:r>
              <w:rPr>
                <w:rFonts w:ascii="仿宋_GB2312" w:hAnsi="仿宋_GB2312" w:cs="仿宋_GB2312" w:eastAsia="仿宋_GB2312"/>
              </w:rPr>
              <w:t>公平竞争抽查服务</w:t>
            </w:r>
          </w:p>
          <w:p>
            <w:pPr>
              <w:pStyle w:val="null3"/>
              <w:ind w:firstLine="480"/>
            </w:pPr>
            <w:r>
              <w:rPr>
                <w:rFonts w:ascii="仿宋_GB2312" w:hAnsi="仿宋_GB2312" w:cs="仿宋_GB2312" w:eastAsia="仿宋_GB2312"/>
              </w:rPr>
              <w:t>通过技术手段采集省市场监督管理局内涉及经营者经济活动的政策措施，采用人工智能系统与专业审查人员复核相结合的方式，进行全面抽查、筛查、审查，抽查数量不少于2500份；</w:t>
            </w:r>
          </w:p>
          <w:p>
            <w:pPr>
              <w:pStyle w:val="null3"/>
              <w:ind w:firstLine="480"/>
            </w:pPr>
            <w:r>
              <w:rPr>
                <w:rFonts w:ascii="仿宋_GB2312" w:hAnsi="仿宋_GB2312" w:cs="仿宋_GB2312" w:eastAsia="仿宋_GB2312"/>
              </w:rPr>
              <w:t>对抽取的政策措施进行梳理汇总、组织评审, 研究提出涉嫌违反公平竞争审查标准的政策措施，对涉嫌违反公平竞争审查标准的政策措施出具第三方评估报告，协助指导相关单位部门进行政策措施废止、整改工作。</w:t>
            </w:r>
          </w:p>
          <w:p>
            <w:pPr>
              <w:pStyle w:val="null3"/>
              <w:ind w:firstLine="480"/>
            </w:pPr>
            <w:r>
              <w:rPr>
                <w:rFonts w:ascii="仿宋_GB2312" w:hAnsi="仿宋_GB2312" w:cs="仿宋_GB2312" w:eastAsia="仿宋_GB2312"/>
              </w:rPr>
              <w:t>（2）重大政策措施辅助审查服务</w:t>
            </w:r>
          </w:p>
          <w:p>
            <w:pPr>
              <w:pStyle w:val="null3"/>
              <w:ind w:firstLine="480"/>
            </w:pPr>
            <w:r>
              <w:rPr>
                <w:rFonts w:ascii="仿宋_GB2312" w:hAnsi="仿宋_GB2312" w:cs="仿宋_GB2312" w:eastAsia="仿宋_GB2312"/>
              </w:rPr>
              <w:t>采用公平竞争审查人工智能系统和专业审查人员人工复核方式，对全省开展重大政策措施会同审查进行辅助审查服务，并形成评估报告。</w:t>
            </w:r>
          </w:p>
          <w:p>
            <w:pPr>
              <w:pStyle w:val="null3"/>
              <w:ind w:firstLine="480"/>
            </w:pPr>
            <w:r>
              <w:rPr>
                <w:rFonts w:ascii="仿宋_GB2312" w:hAnsi="仿宋_GB2312" w:cs="仿宋_GB2312" w:eastAsia="仿宋_GB2312"/>
              </w:rPr>
              <w:t>流程如下：</w:t>
            </w:r>
          </w:p>
          <w:p>
            <w:pPr>
              <w:pStyle w:val="null3"/>
              <w:ind w:firstLine="480"/>
            </w:pPr>
            <w:r>
              <w:rPr>
                <w:rFonts w:ascii="仿宋_GB2312" w:hAnsi="仿宋_GB2312" w:cs="仿宋_GB2312" w:eastAsia="仿宋_GB2312"/>
              </w:rPr>
              <w:t>①初步审查，智能化关键词筛查，快速对文件是否在应审范围内进行甄别；</w:t>
            </w:r>
          </w:p>
          <w:p>
            <w:pPr>
              <w:pStyle w:val="null3"/>
              <w:ind w:firstLine="480"/>
            </w:pPr>
            <w:r>
              <w:rPr>
                <w:rFonts w:ascii="仿宋_GB2312" w:hAnsi="仿宋_GB2312" w:cs="仿宋_GB2312" w:eastAsia="仿宋_GB2312"/>
              </w:rPr>
              <w:t>②专家审查，依据相关法律法规，研究提出涉嫌违反公平竞争审查标准的政策措施；</w:t>
            </w:r>
          </w:p>
          <w:p>
            <w:pPr>
              <w:pStyle w:val="null3"/>
              <w:ind w:firstLine="480"/>
            </w:pPr>
            <w:r>
              <w:rPr>
                <w:rFonts w:ascii="仿宋_GB2312" w:hAnsi="仿宋_GB2312" w:cs="仿宋_GB2312" w:eastAsia="仿宋_GB2312"/>
              </w:rPr>
              <w:t>③逐份出具第三方评估报告；</w:t>
            </w:r>
          </w:p>
          <w:p>
            <w:pPr>
              <w:pStyle w:val="null3"/>
              <w:ind w:firstLine="480"/>
            </w:pPr>
            <w:r>
              <w:rPr>
                <w:rFonts w:ascii="仿宋_GB2312" w:hAnsi="仿宋_GB2312" w:cs="仿宋_GB2312" w:eastAsia="仿宋_GB2312"/>
              </w:rPr>
              <w:t>④协助落实改进措施，可将拟出台的政策措施上传至信息化平台，平台通过“智能判断+人工复审”的模式，按照《公平竞争审查条例》《公平竞争审查条例实施办法》程序规定和审查标准，形成第三方审查意见。</w:t>
            </w:r>
          </w:p>
          <w:p>
            <w:pPr>
              <w:pStyle w:val="null3"/>
              <w:ind w:firstLine="480"/>
            </w:pPr>
            <w:r>
              <w:rPr>
                <w:rFonts w:ascii="仿宋_GB2312" w:hAnsi="仿宋_GB2312" w:cs="仿宋_GB2312" w:eastAsia="仿宋_GB2312"/>
              </w:rPr>
              <w:t>（3）公平竞争审查专家培训服务</w:t>
            </w:r>
          </w:p>
          <w:p>
            <w:pPr>
              <w:pStyle w:val="null3"/>
              <w:ind w:firstLine="480"/>
            </w:pPr>
            <w:r>
              <w:rPr>
                <w:rFonts w:ascii="仿宋_GB2312" w:hAnsi="仿宋_GB2312" w:cs="仿宋_GB2312" w:eastAsia="仿宋_GB2312"/>
              </w:rPr>
              <w:t>邀请法学正高级别专家1名，开展公平竞争政策实施与反垄断培训工作，培训次数不少于2次，主要培训方向：</w:t>
            </w:r>
          </w:p>
          <w:p>
            <w:pPr>
              <w:pStyle w:val="null3"/>
              <w:ind w:firstLine="480"/>
            </w:pPr>
            <w:r>
              <w:rPr>
                <w:rFonts w:ascii="仿宋_GB2312" w:hAnsi="仿宋_GB2312" w:cs="仿宋_GB2312" w:eastAsia="仿宋_GB2312"/>
              </w:rPr>
              <w:t>①全面讲解公平竞争审查制度的基础理论和主要内容;</w:t>
            </w:r>
          </w:p>
          <w:p>
            <w:pPr>
              <w:pStyle w:val="null3"/>
              <w:ind w:firstLine="480"/>
            </w:pPr>
            <w:r>
              <w:rPr>
                <w:rFonts w:ascii="仿宋_GB2312" w:hAnsi="仿宋_GB2312" w:cs="仿宋_GB2312" w:eastAsia="仿宋_GB2312"/>
              </w:rPr>
              <w:t>②讲解党的公平竞争审查工作方向;</w:t>
            </w:r>
          </w:p>
          <w:p>
            <w:pPr>
              <w:pStyle w:val="null3"/>
              <w:ind w:firstLine="480"/>
            </w:pPr>
            <w:r>
              <w:rPr>
                <w:rFonts w:ascii="仿宋_GB2312" w:hAnsi="仿宋_GB2312" w:cs="仿宋_GB2312" w:eastAsia="仿宋_GB2312"/>
              </w:rPr>
              <w:t>③以案释法，通过深入剖析相关案例强化对公平竞争审查标准的理解;</w:t>
            </w:r>
          </w:p>
          <w:p>
            <w:pPr>
              <w:pStyle w:val="null3"/>
              <w:ind w:firstLine="480"/>
            </w:pPr>
            <w:r>
              <w:rPr>
                <w:rFonts w:ascii="仿宋_GB2312" w:hAnsi="仿宋_GB2312" w:cs="仿宋_GB2312" w:eastAsia="仿宋_GB2312"/>
              </w:rPr>
              <w:t>④立足政策制定机关公平竞争审查工作关切点，分享产业政策与竞争政策协调保障的方法。</w:t>
            </w:r>
          </w:p>
          <w:p>
            <w:pPr>
              <w:pStyle w:val="null3"/>
              <w:ind w:firstLine="480"/>
            </w:pPr>
            <w:r>
              <w:rPr>
                <w:rFonts w:ascii="仿宋_GB2312" w:hAnsi="仿宋_GB2312" w:cs="仿宋_GB2312" w:eastAsia="仿宋_GB2312"/>
              </w:rPr>
              <w:t>邀请法学或经济学正高级别专家1名，开展公平竞争审查政策理论和实务操作方面的业务研讨，提高审查人员对于政策措施的识别能力、准确审查能力及常态化业务咨询服务等，研讨次数不少于2次。</w:t>
            </w:r>
          </w:p>
          <w:p>
            <w:pPr>
              <w:pStyle w:val="null3"/>
              <w:ind w:firstLine="481"/>
            </w:pPr>
            <w:r>
              <w:rPr>
                <w:rFonts w:ascii="仿宋_GB2312" w:hAnsi="仿宋_GB2312" w:cs="仿宋_GB2312" w:eastAsia="仿宋_GB2312"/>
                <w:b/>
              </w:rPr>
              <w:t>4.服务原则</w:t>
            </w:r>
          </w:p>
          <w:p>
            <w:pPr>
              <w:pStyle w:val="null3"/>
              <w:ind w:firstLine="480"/>
            </w:pPr>
            <w:r>
              <w:rPr>
                <w:rFonts w:ascii="仿宋_GB2312" w:hAnsi="仿宋_GB2312" w:cs="仿宋_GB2312" w:eastAsia="仿宋_GB2312"/>
              </w:rPr>
              <w:t>抽查应当坚持客观公正、科学严谨、专业规范、公开透明、注重实效的原则。</w:t>
            </w:r>
          </w:p>
          <w:p>
            <w:pPr>
              <w:pStyle w:val="null3"/>
              <w:ind w:firstLine="480"/>
            </w:pPr>
            <w:r>
              <w:rPr>
                <w:rFonts w:ascii="仿宋_GB2312" w:hAnsi="仿宋_GB2312" w:cs="仿宋_GB2312" w:eastAsia="仿宋_GB2312"/>
              </w:rPr>
              <w:t>（1）坚持客观公正。抽查及第三方评估应紧紧围绕充分发挥市场在资源配置中的决定性作用，做到定性准确、数据精准、程序规范，结论科学、客观公正；</w:t>
            </w:r>
          </w:p>
          <w:p>
            <w:pPr>
              <w:pStyle w:val="null3"/>
              <w:ind w:firstLine="480"/>
            </w:pPr>
            <w:r>
              <w:rPr>
                <w:rFonts w:ascii="仿宋_GB2312" w:hAnsi="仿宋_GB2312" w:cs="仿宋_GB2312" w:eastAsia="仿宋_GB2312"/>
              </w:rPr>
              <w:t>（2）坚持科学严谨。以科学严谨的态度，运用法治思维和法治方式，立足于各类市场主体权利平等、机会平等、规则平等和政府监管标准公开、程序公开、保护市场主体和社会公众的知情权、参与权、监督权；</w:t>
            </w:r>
          </w:p>
          <w:p>
            <w:pPr>
              <w:pStyle w:val="null3"/>
              <w:ind w:firstLine="480"/>
            </w:pPr>
            <w:r>
              <w:rPr>
                <w:rFonts w:ascii="仿宋_GB2312" w:hAnsi="仿宋_GB2312" w:cs="仿宋_GB2312" w:eastAsia="仿宋_GB2312"/>
              </w:rPr>
              <w:t>（3）坚持专业规范。充分发挥科学方法在抽查及第三方评估实施过程中的重要作用，坚持以专业化、标准化、规范化的技术手段和方法确保抽查及第三方评估的科学性、全面性、严谨性、精准性。</w:t>
            </w:r>
          </w:p>
          <w:p>
            <w:pPr>
              <w:pStyle w:val="null3"/>
              <w:ind w:firstLine="480"/>
            </w:pPr>
            <w:r>
              <w:rPr>
                <w:rFonts w:ascii="仿宋_GB2312" w:hAnsi="仿宋_GB2312" w:cs="仿宋_GB2312" w:eastAsia="仿宋_GB2312"/>
              </w:rPr>
              <w:t>（4）坚持公开透明。抽查及第三方评估的重要指向就是要从客观公正的角度出发，通过有效的制度设计，全程做到公开透明，确保抽查及第三方评估结果客观公正。</w:t>
            </w:r>
          </w:p>
          <w:p>
            <w:pPr>
              <w:pStyle w:val="null3"/>
              <w:ind w:firstLine="480"/>
            </w:pPr>
            <w:r>
              <w:rPr>
                <w:rFonts w:ascii="仿宋_GB2312" w:hAnsi="仿宋_GB2312" w:cs="仿宋_GB2312" w:eastAsia="仿宋_GB2312"/>
              </w:rPr>
              <w:t>（5）坚持注重实效。突出问题导向，聚焦政策制定和落实效果，准确分析现状、原因，运用科学方法，注重评估工作时效性，力求达到以评促建、以评促审、以评促改。</w:t>
            </w:r>
          </w:p>
          <w:p>
            <w:pPr>
              <w:pStyle w:val="null3"/>
              <w:ind w:firstLine="481"/>
            </w:pPr>
            <w:r>
              <w:rPr>
                <w:rFonts w:ascii="仿宋_GB2312" w:hAnsi="仿宋_GB2312" w:cs="仿宋_GB2312" w:eastAsia="仿宋_GB2312"/>
                <w:b/>
              </w:rPr>
              <w:t>5.项目服务期限</w:t>
            </w:r>
          </w:p>
          <w:p>
            <w:pPr>
              <w:pStyle w:val="null3"/>
              <w:ind w:firstLine="480"/>
            </w:pPr>
            <w:r>
              <w:rPr>
                <w:rFonts w:ascii="仿宋_GB2312" w:hAnsi="仿宋_GB2312" w:cs="仿宋_GB2312" w:eastAsia="仿宋_GB2312"/>
              </w:rPr>
              <w:t>自合同签订起一年。</w:t>
            </w:r>
          </w:p>
          <w:p>
            <w:pPr>
              <w:pStyle w:val="null3"/>
              <w:ind w:firstLine="481"/>
            </w:pPr>
            <w:r>
              <w:rPr>
                <w:rFonts w:ascii="仿宋_GB2312" w:hAnsi="仿宋_GB2312" w:cs="仿宋_GB2312" w:eastAsia="仿宋_GB2312"/>
                <w:b/>
              </w:rPr>
              <w:t>6.付款方式</w:t>
            </w:r>
          </w:p>
          <w:p>
            <w:pPr>
              <w:pStyle w:val="null3"/>
              <w:ind w:firstLine="480"/>
            </w:pPr>
            <w:r>
              <w:rPr>
                <w:rFonts w:ascii="仿宋_GB2312" w:hAnsi="仿宋_GB2312" w:cs="仿宋_GB2312" w:eastAsia="仿宋_GB2312"/>
              </w:rPr>
              <w:t>（1）合同签订后15日历日内，支付合同总金额的90.00% ；</w:t>
            </w:r>
          </w:p>
          <w:p>
            <w:pPr>
              <w:pStyle w:val="null3"/>
              <w:ind w:firstLine="480"/>
            </w:pPr>
            <w:r>
              <w:rPr>
                <w:rFonts w:ascii="仿宋_GB2312" w:hAnsi="仿宋_GB2312" w:cs="仿宋_GB2312" w:eastAsia="仿宋_GB2312"/>
              </w:rPr>
              <w:t>（2）项目整体内容完成组织验收，通过验收后15个日历日内支付合同总金额的10%。</w:t>
            </w:r>
          </w:p>
          <w:p>
            <w:pPr>
              <w:pStyle w:val="null3"/>
              <w:ind w:firstLine="481"/>
            </w:pPr>
            <w:r>
              <w:rPr>
                <w:rFonts w:ascii="仿宋_GB2312" w:hAnsi="仿宋_GB2312" w:cs="仿宋_GB2312" w:eastAsia="仿宋_GB2312"/>
                <w:b/>
              </w:rPr>
              <w:t>7.项目成果交付</w:t>
            </w:r>
          </w:p>
          <w:p>
            <w:pPr>
              <w:pStyle w:val="null3"/>
              <w:ind w:firstLine="480"/>
            </w:pPr>
            <w:r>
              <w:rPr>
                <w:rFonts w:ascii="仿宋_GB2312" w:hAnsi="仿宋_GB2312" w:cs="仿宋_GB2312" w:eastAsia="仿宋_GB2312"/>
              </w:rPr>
              <w:t>（1）公平竞争抽查服务记录表及报告；</w:t>
            </w:r>
          </w:p>
          <w:p>
            <w:pPr>
              <w:pStyle w:val="null3"/>
              <w:ind w:firstLine="480"/>
            </w:pPr>
            <w:r>
              <w:rPr>
                <w:rFonts w:ascii="仿宋_GB2312" w:hAnsi="仿宋_GB2312" w:cs="仿宋_GB2312" w:eastAsia="仿宋_GB2312"/>
              </w:rPr>
              <w:t>（2）重大政策措施辅助审查服务第三方评估报告；</w:t>
            </w:r>
          </w:p>
          <w:p>
            <w:pPr>
              <w:pStyle w:val="null3"/>
              <w:ind w:firstLine="480"/>
            </w:pPr>
            <w:r>
              <w:rPr>
                <w:rFonts w:ascii="仿宋_GB2312" w:hAnsi="仿宋_GB2312" w:cs="仿宋_GB2312" w:eastAsia="仿宋_GB2312"/>
              </w:rPr>
              <w:t>（3）公平竞争审查专家培训服务培训资料；</w:t>
            </w:r>
          </w:p>
          <w:p>
            <w:pPr>
              <w:pStyle w:val="null3"/>
              <w:ind w:firstLine="480"/>
            </w:pPr>
            <w:r>
              <w:rPr>
                <w:rFonts w:ascii="仿宋_GB2312" w:hAnsi="仿宋_GB2312" w:cs="仿宋_GB2312" w:eastAsia="仿宋_GB2312"/>
              </w:rPr>
              <w:t>（4）公平竞争审查政策理论和实务操作方面的业务研讨资料；</w:t>
            </w:r>
          </w:p>
          <w:p>
            <w:pPr>
              <w:pStyle w:val="null3"/>
              <w:ind w:firstLine="480"/>
            </w:pPr>
            <w:r>
              <w:rPr>
                <w:rFonts w:ascii="仿宋_GB2312" w:hAnsi="仿宋_GB2312" w:cs="仿宋_GB2312" w:eastAsia="仿宋_GB2312"/>
                <w:color w:val="000000"/>
              </w:rPr>
              <w:t>（5）公平竞争AI审查系统账号。</w:t>
            </w:r>
          </w:p>
          <w:p>
            <w:pPr>
              <w:pStyle w:val="null3"/>
              <w:ind w:firstLine="481"/>
            </w:pPr>
            <w:r>
              <w:rPr>
                <w:rFonts w:ascii="仿宋_GB2312" w:hAnsi="仿宋_GB2312" w:cs="仿宋_GB2312" w:eastAsia="仿宋_GB2312"/>
                <w:b/>
                <w:color w:val="000000"/>
              </w:rPr>
              <w:t>8.项目团队</w:t>
            </w:r>
          </w:p>
          <w:p>
            <w:pPr>
              <w:pStyle w:val="null3"/>
              <w:jc w:val="both"/>
            </w:pPr>
            <w:r>
              <w:rPr>
                <w:rFonts w:ascii="仿宋_GB2312" w:hAnsi="仿宋_GB2312" w:cs="仿宋_GB2312" w:eastAsia="仿宋_GB2312"/>
                <w:color w:val="000000"/>
              </w:rPr>
              <w:t xml:space="preserve">    供应商针对本项目至少配备一名项目负责人及5名团队成员。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 3.4.2（响应文件格式-标的清单）本项目服务范围：公平竞争审查抽查；服务要求：符合采购文件有关技术、商务要求；服务标准：符合国家和省、市有关行业标准及采购人的有关规定。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6个月内在本单位已缴存的至少1个月的社会保险参保缴费证明；（法定代表人直接参加磋商，只须提供法定代表人身份证明书）</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区间分值0-10分。 评审标准细化内容： 包括但不限于①供应商对本项目背景和现状的了解;②服务内容、需求的理解和把握。 评审标准： 1、完整性：内容详细全面，对本项目了解透彻； 2、真实性：切合本项目实际情况，描述贴合实际和本次采购要求； 3、针对性：对项目的理解要有足够的针对性，需要紧扣项目实际情况。 评审标准量化内容： （1）各部分内容全面详细、阐述条理清晰详尽、符合本项目采购需求得10分； （2）评审标准细化内容每缺少一项扣5分；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区间分值：0-10分。 评审标准细化内容： 指①针对本项目的重难点分析②针对重难点分析后的预防及解决措施等内容。 评审标准 1、完整性：针对本项目的重难点分析及预防解决措施，有详细描述； 2、可实施性：结合本项目实际情况，提出步骤清晰、合理的措施。 评审标准量化内容： （1）评审标准细化内容全面详细、阐述条理清晰详尽、符合本项目采购需求得10分； (2)评审标准细化内容每缺少一项内容扣5分；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区间分值：0-18分。 评审标准细化内容： 包括但不限于①涉及经营者经济活动政策采集方案②全面抽查、筛查、审查方案③涉嫌违反公平竞争审查标准的第三方评估方案④重大政策措施辅助审查方案⑤专家培训方案⑥业务研讨会实施方案等内容。 评审标准： 1、可实施性：切合本项目实际情况，方案全面、实施步骤清晰、合理； 2、针对性：方案能够紧扣项目实际情况，内容科学合理； 评审标准量化内容： （1）各部分内容全面详细、阐述条理清晰详尽、符合本项目采购需求得18分；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系统配套方案</w:t>
            </w:r>
          </w:p>
        </w:tc>
        <w:tc>
          <w:tcPr>
            <w:tcW w:type="dxa" w:w="2492"/>
          </w:tcPr>
          <w:p>
            <w:pPr>
              <w:pStyle w:val="null3"/>
            </w:pPr>
            <w:r>
              <w:rPr>
                <w:rFonts w:ascii="仿宋_GB2312" w:hAnsi="仿宋_GB2312" w:cs="仿宋_GB2312" w:eastAsia="仿宋_GB2312"/>
              </w:rPr>
              <w:t>区间分值0-15分; 评审标准细化及量化内容： 根据《公平竞争审查条例》（中华人民共和国国务院令﹝第783号﹞）相关规定结合本项目具体需求，供应商应当具备自有的、成熟的公平竞争审查AI系统，以保障服务需求质量，包括以下几个方面： ①文件审查功能：可开通独立账号。系统具备对上传文件完成快速“AI智慧审查”及“专家复审”功能的得2分；系统具备对审查情况出具加盖审查单位公章的公平竞争审查结论报告的得2分； ②公平竞争审查智能会审功能：根据《公平竞争审查条例》（中华人民共和国国务院令﹝第783号﹞）规定，2024年8月1日起，拟由县级以上人民政府出台或者提请本级人民代表大会及其常务委员会审议的政策措施，由本级人民政府市场监督管理部门会同起草单位在起草阶段开展公平竞争审查’等要求。”信息化系统需实现政策起草单位、市场监督管理局及第三方在线会审功能，具备此项功能的得3分； ③公平竞争审查制度建设智能辅助功能：系统需具备在线完成协助使用单位梳理、完善公平竞争审查制度建设功能的得2分； ④网络监测预警功能：系统具备对区域政府及部门相关公开网站的政策措施有无违反公平竞争审查情况的监测预警功能的得2分； ⑤综合评价功能：为实时掌握区域公平竞争审查工作实时开展情况，信息化系统能实现对区域范围公平竞争审查工作综合评价功能的得2分； ⑥公平竞争审查工作智能督查抽查功能：为提高联席会议办公室对本级各单位公平竞争审查工作督查抽查效率，信息化系统能实现各级联席办在线对各成员单位完成工作督查及文件抽查功能的得2分。 注：上述各功能板块的系统截图或测试报告等证明资料，无证明材料不得分。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区间分值0-5分； 评审标准细化及量化内容： 供应商具备有效的的质量管理体系认证证书，得5分。 注：提供证书扫描件（或官方网站截图），原件备查，无证明材料不得分。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企业技术积累</w:t>
            </w:r>
          </w:p>
        </w:tc>
        <w:tc>
          <w:tcPr>
            <w:tcW w:type="dxa" w:w="2492"/>
          </w:tcPr>
          <w:p>
            <w:pPr>
              <w:pStyle w:val="null3"/>
            </w:pPr>
            <w:r>
              <w:rPr>
                <w:rFonts w:ascii="仿宋_GB2312" w:hAnsi="仿宋_GB2312" w:cs="仿宋_GB2312" w:eastAsia="仿宋_GB2312"/>
              </w:rPr>
              <w:t>区间分值0-9分； 评审标准细化及量化内容： 供应商具备数据采集、大模型、人工智能、公平竞争审查相关软件产品专利或软件著作权登记证书。 评分标准： 每提供一个得3分，同一类别不能重复得分，本项最高得9分。 注：提供证书扫描件（或官方网站截图），原件备查，无证明材料不得分。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区间分值0-10分； 评审标准细化及量化内容： 供应商提供2022年7月至今类似项目业绩合同（以合同签订时间为准）；一个业绩得2分，最高得10分； 评审依据：提供合同复印件并加盖公章。 类似项目是指公平竞争服务类或人工智能类项目。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1.供应商投入本项目的项目负责人具有信息系统项目管理师或高级以上职称的，得2分； 2.供应商投入本项目的服务团队10人以上（不包含本数），得6分；5-10人，得4分；5人以下（不包含本数）不得分； 3.项目团队成员(项目负责人除外)专业（法学、经济学、数据科学类）与本项目相关，1人得1分，本项最高得5分； 注：提供拟投入项目团队人员身份证，及包括但不限于资质证书或学历证书等相关证明材料，并加盖企业公章，否则不得分。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