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60E57">
      <w:pPr>
        <w:pStyle w:val="6"/>
        <w:jc w:val="center"/>
        <w:outlineLvl w:val="1"/>
        <w:rPr>
          <w:rFonts w:hint="default"/>
          <w:color w:val="auto"/>
          <w:highlight w:val="none"/>
        </w:rPr>
      </w:pPr>
      <w:r>
        <w:rPr>
          <w:rFonts w:ascii="仿宋_GB2312" w:hAnsi="仿宋_GB2312" w:eastAsia="仿宋_GB2312" w:cs="仿宋_GB2312"/>
          <w:b/>
          <w:color w:val="auto"/>
          <w:sz w:val="36"/>
          <w:highlight w:val="none"/>
        </w:rPr>
        <w:t>拟签订采购合同文本</w:t>
      </w:r>
    </w:p>
    <w:p w14:paraId="0645F64D">
      <w:pPr>
        <w:widowControl/>
        <w:jc w:val="center"/>
        <w:rPr>
          <w:rFonts w:hint="eastAsia" w:ascii="宋体" w:hAnsi="宋体" w:eastAsia="宋体" w:cs="宋体"/>
          <w:b/>
          <w:color w:val="auto"/>
          <w:sz w:val="24"/>
          <w:highlight w:val="none"/>
        </w:rPr>
      </w:pPr>
    </w:p>
    <w:p w14:paraId="3212B532">
      <w:pPr>
        <w:widowControl/>
        <w:jc w:val="center"/>
        <w:rPr>
          <w:rFonts w:ascii="宋体" w:hAnsi="宋体" w:eastAsia="宋体" w:cs="宋体"/>
          <w:b/>
          <w:color w:val="auto"/>
          <w:sz w:val="24"/>
          <w:highlight w:val="none"/>
        </w:rPr>
      </w:pPr>
      <w:r>
        <w:rPr>
          <w:rFonts w:hint="eastAsia" w:ascii="宋体" w:hAnsi="宋体" w:eastAsia="宋体" w:cs="宋体"/>
          <w:b/>
          <w:color w:val="auto"/>
          <w:sz w:val="24"/>
          <w:highlight w:val="none"/>
        </w:rPr>
        <w:t>第一部分 合同协议书</w:t>
      </w:r>
    </w:p>
    <w:p w14:paraId="12BE13FC">
      <w:pPr>
        <w:widowControl/>
        <w:jc w:val="center"/>
        <w:rPr>
          <w:rFonts w:ascii="宋体" w:hAnsi="宋体" w:eastAsia="宋体" w:cs="宋体"/>
          <w:b/>
          <w:color w:val="auto"/>
          <w:sz w:val="24"/>
          <w:highlight w:val="none"/>
        </w:rPr>
      </w:pPr>
    </w:p>
    <w:p w14:paraId="211175B4">
      <w:pPr>
        <w:widowControl/>
        <w:spacing w:line="480" w:lineRule="exact"/>
        <w:ind w:firstLine="482" w:firstLineChars="200"/>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rPr>
        <w:t>发包人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5DD34FC">
      <w:pPr>
        <w:spacing w:after="156" w:afterLines="50" w:line="480" w:lineRule="exact"/>
        <w:ind w:firstLine="482" w:firstLineChars="200"/>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rPr>
        <w:t>设计人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p>
    <w:p w14:paraId="0246830A">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根据《中华人民共和国民法典》《中华人民共和国建筑法》及有关法律规定，遵循平等、自愿、公平和诚实信用的原则，双方就</w:t>
      </w:r>
      <w:r>
        <w:rPr>
          <w:rFonts w:hint="eastAsia" w:ascii="仿宋" w:hAnsi="仿宋" w:eastAsia="仿宋" w:cs="仿宋"/>
          <w:color w:val="auto"/>
          <w:sz w:val="24"/>
          <w:szCs w:val="24"/>
          <w:highlight w:val="none"/>
          <w:u w:val="single"/>
        </w:rPr>
        <w:t xml:space="preserve"> 陕西中医药大学15、17、18、19号学生宿舍楼施工图设计项目 </w:t>
      </w:r>
      <w:r>
        <w:rPr>
          <w:rFonts w:hint="eastAsia" w:ascii="仿宋" w:hAnsi="仿宋" w:eastAsia="仿宋" w:cs="仿宋"/>
          <w:color w:val="auto"/>
          <w:sz w:val="24"/>
          <w:szCs w:val="24"/>
          <w:highlight w:val="none"/>
        </w:rPr>
        <w:t>及有关事项协商一致，共同达成如下协议：</w:t>
      </w:r>
    </w:p>
    <w:p w14:paraId="661DC1CA">
      <w:pPr>
        <w:spacing w:line="480" w:lineRule="exact"/>
        <w:rPr>
          <w:rFonts w:hint="eastAsia" w:ascii="仿宋" w:hAnsi="仿宋" w:eastAsia="仿宋" w:cs="仿宋"/>
          <w:b/>
          <w:color w:val="auto"/>
          <w:sz w:val="24"/>
          <w:szCs w:val="24"/>
          <w:highlight w:val="none"/>
        </w:rPr>
      </w:pPr>
      <w:bookmarkStart w:id="0" w:name="_Toc351203481"/>
      <w:r>
        <w:rPr>
          <w:rFonts w:hint="eastAsia" w:ascii="仿宋" w:hAnsi="仿宋" w:eastAsia="仿宋" w:cs="仿宋"/>
          <w:b/>
          <w:color w:val="auto"/>
          <w:sz w:val="24"/>
          <w:szCs w:val="24"/>
          <w:highlight w:val="none"/>
        </w:rPr>
        <w:t>一、工程概况</w:t>
      </w:r>
      <w:bookmarkEnd w:id="0"/>
    </w:p>
    <w:p w14:paraId="1EA05434">
      <w:pPr>
        <w:spacing w:line="480" w:lineRule="exact"/>
        <w:ind w:firstLine="470" w:firstLineChars="196"/>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1.工程名称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陕西中医药大学15、17、18、19号学生宿舍楼施工图设计项目</w:t>
      </w:r>
      <w:r>
        <w:rPr>
          <w:rFonts w:hint="eastAsia" w:ascii="仿宋" w:hAnsi="仿宋" w:eastAsia="仿宋" w:cs="仿宋"/>
          <w:color w:val="auto"/>
          <w:sz w:val="24"/>
          <w:szCs w:val="24"/>
          <w:highlight w:val="none"/>
        </w:rPr>
        <w:t>。</w:t>
      </w:r>
    </w:p>
    <w:p w14:paraId="07CB1600">
      <w:pPr>
        <w:spacing w:line="480" w:lineRule="exact"/>
        <w:ind w:firstLine="470" w:firstLineChars="196"/>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2.工程所在地详细地址：陕西中医药大学南校区</w:t>
      </w:r>
      <w:r>
        <w:rPr>
          <w:rFonts w:hint="eastAsia" w:ascii="仿宋" w:hAnsi="仿宋" w:eastAsia="仿宋" w:cs="仿宋"/>
          <w:color w:val="auto"/>
          <w:sz w:val="24"/>
          <w:szCs w:val="24"/>
          <w:highlight w:val="none"/>
        </w:rPr>
        <w:t>。</w:t>
      </w:r>
    </w:p>
    <w:p w14:paraId="1517BFF1">
      <w:pPr>
        <w:widowControl/>
        <w:spacing w:line="480" w:lineRule="exact"/>
        <w:ind w:firstLine="480" w:firstLineChars="200"/>
        <w:rPr>
          <w:rFonts w:hint="eastAsia" w:ascii="仿宋" w:hAnsi="仿宋" w:eastAsia="仿宋" w:cs="仿宋"/>
          <w:bCs/>
          <w:color w:val="auto"/>
          <w:sz w:val="24"/>
          <w:szCs w:val="24"/>
          <w:highlight w:val="none"/>
          <w:u w:val="single"/>
        </w:rPr>
      </w:pPr>
      <w:r>
        <w:rPr>
          <w:rFonts w:hint="eastAsia" w:ascii="仿宋" w:hAnsi="仿宋" w:eastAsia="仿宋" w:cs="仿宋"/>
          <w:color w:val="auto"/>
          <w:sz w:val="24"/>
          <w:szCs w:val="24"/>
          <w:highlight w:val="none"/>
        </w:rPr>
        <w:t>3.工程内容及规模：</w:t>
      </w:r>
      <w:bookmarkStart w:id="1" w:name="OLE_LINK33"/>
      <w:bookmarkStart w:id="2" w:name="OLE_LINK34"/>
      <w:r>
        <w:rPr>
          <w:rFonts w:hint="eastAsia" w:ascii="仿宋" w:hAnsi="仿宋" w:eastAsia="仿宋" w:cs="仿宋"/>
          <w:color w:val="auto"/>
          <w:sz w:val="24"/>
          <w:szCs w:val="24"/>
          <w:highlight w:val="none"/>
        </w:rPr>
        <w:t>15#学生宿舍楼建筑面积12081.65平方米，地上13层，9691.00平方米，地下1层，2390.65平方米;17#学生宿舍楼建筑面积10789.41平方米，地上13层，8642.98平方米，地下1层，2146.43平方米;均为钢筋混凝土框剪结构，总建筑面积22871.06平方米，总投资约12517.32万元。18、19号学生宿舍项目建议书总建筑面积 22735.72 平方米,其中地上建筑面积18268.02平方米，地下建筑面积 4467.70 平方米。地上13层，地下一层</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总投资约</w:t>
      </w:r>
      <w:r>
        <w:rPr>
          <w:rFonts w:hint="eastAsia" w:ascii="仿宋" w:hAnsi="仿宋" w:eastAsia="仿宋" w:cs="仿宋"/>
          <w:color w:val="auto"/>
          <w:sz w:val="24"/>
          <w:szCs w:val="24"/>
          <w:highlight w:val="none"/>
          <w:lang w:eastAsia="zh-CN"/>
        </w:rPr>
        <w:t>12482.69万元。</w:t>
      </w:r>
    </w:p>
    <w:bookmarkEnd w:id="1"/>
    <w:bookmarkEnd w:id="2"/>
    <w:p w14:paraId="4B2B2E08">
      <w:pPr>
        <w:spacing w:line="480" w:lineRule="exact"/>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4.工程设计依据的主要技术标准</w:t>
      </w:r>
      <w:r>
        <w:rPr>
          <w:rFonts w:hint="eastAsia" w:ascii="仿宋" w:hAnsi="仿宋" w:eastAsia="仿宋" w:cs="仿宋"/>
          <w:color w:val="auto"/>
          <w:kern w:val="0"/>
          <w:sz w:val="24"/>
          <w:szCs w:val="24"/>
          <w:highlight w:val="none"/>
        </w:rPr>
        <w:t>、规范及技术要求（包含但不限于以下所列规范、规程、标准，各项标准均应为现行标准）</w:t>
      </w:r>
      <w:r>
        <w:rPr>
          <w:rFonts w:hint="eastAsia" w:ascii="仿宋" w:hAnsi="仿宋" w:eastAsia="仿宋" w:cs="仿宋"/>
          <w:color w:val="auto"/>
          <w:sz w:val="24"/>
          <w:szCs w:val="24"/>
          <w:highlight w:val="none"/>
        </w:rPr>
        <w:t>：国家现行有效的有关建设项目管理、施工及验收规范和验收标准，以及项目主管部门批准的文件等。</w:t>
      </w:r>
    </w:p>
    <w:p w14:paraId="5291CC8F">
      <w:pPr>
        <w:spacing w:line="48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二、工程设计范围、阶段与服务内容</w:t>
      </w:r>
    </w:p>
    <w:p w14:paraId="4F8F6076">
      <w:pPr>
        <w:pStyle w:val="6"/>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陕西中医药大学15、17、18、19号学生宿舍施工图设计，设计深度需满足现行标准、规范及发包人要求。报价涵盖：绿建及装配式方案设计和评审、验收评审；初步设计对接配合，施工图设计、概算编制、预算编制配合、技术交底答疑、后期施工现场配合服务、竣工验收、移交配合等。</w:t>
      </w:r>
    </w:p>
    <w:p w14:paraId="3C96A784">
      <w:pPr>
        <w:widowControl/>
        <w:spacing w:line="480" w:lineRule="exact"/>
        <w:jc w:val="left"/>
        <w:rPr>
          <w:rFonts w:hint="eastAsia" w:ascii="仿宋" w:hAnsi="仿宋" w:eastAsia="仿宋" w:cs="仿宋"/>
          <w:b/>
          <w:color w:val="auto"/>
          <w:sz w:val="24"/>
          <w:szCs w:val="24"/>
          <w:highlight w:val="none"/>
        </w:rPr>
      </w:pPr>
      <w:bookmarkStart w:id="3" w:name="_Toc351203482"/>
      <w:r>
        <w:rPr>
          <w:rFonts w:hint="eastAsia" w:ascii="仿宋" w:hAnsi="仿宋" w:eastAsia="仿宋" w:cs="仿宋"/>
          <w:b/>
          <w:color w:val="auto"/>
          <w:sz w:val="24"/>
          <w:szCs w:val="24"/>
          <w:highlight w:val="none"/>
        </w:rPr>
        <w:t>三、</w:t>
      </w:r>
      <w:bookmarkEnd w:id="3"/>
      <w:r>
        <w:rPr>
          <w:rFonts w:hint="eastAsia" w:ascii="仿宋" w:hAnsi="仿宋" w:eastAsia="仿宋" w:cs="仿宋"/>
          <w:b/>
          <w:color w:val="auto"/>
          <w:sz w:val="24"/>
          <w:szCs w:val="24"/>
          <w:highlight w:val="none"/>
        </w:rPr>
        <w:t>工程设计周期</w:t>
      </w:r>
    </w:p>
    <w:p w14:paraId="7AA54BE4">
      <w:pPr>
        <w:spacing w:line="480" w:lineRule="exact"/>
        <w:ind w:firstLine="45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计划开始日期：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25D5AF9">
      <w:pPr>
        <w:spacing w:line="480" w:lineRule="exact"/>
        <w:ind w:firstLine="45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计划完成日期：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4277C093">
      <w:pPr>
        <w:spacing w:line="480" w:lineRule="exact"/>
        <w:ind w:firstLine="45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具体工程设计周期以专用合同条款及其附件的约定为准。</w:t>
      </w:r>
    </w:p>
    <w:p w14:paraId="07239123">
      <w:pPr>
        <w:spacing w:line="480" w:lineRule="exact"/>
        <w:rPr>
          <w:rFonts w:hint="eastAsia" w:ascii="仿宋" w:hAnsi="仿宋" w:eastAsia="仿宋" w:cs="仿宋"/>
          <w:b/>
          <w:color w:val="auto"/>
          <w:sz w:val="24"/>
          <w:szCs w:val="24"/>
          <w:highlight w:val="none"/>
        </w:rPr>
      </w:pPr>
      <w:bookmarkStart w:id="4" w:name="_Toc351203484"/>
      <w:r>
        <w:rPr>
          <w:rFonts w:hint="eastAsia" w:ascii="仿宋" w:hAnsi="仿宋" w:eastAsia="仿宋" w:cs="仿宋"/>
          <w:b/>
          <w:color w:val="auto"/>
          <w:sz w:val="24"/>
          <w:szCs w:val="24"/>
          <w:highlight w:val="none"/>
        </w:rPr>
        <w:t>四、合同价格形式与签约合同价</w:t>
      </w:r>
      <w:bookmarkEnd w:id="4"/>
    </w:p>
    <w:p w14:paraId="7A8394FF">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1.合同价格形式：</w:t>
      </w:r>
      <w:r>
        <w:rPr>
          <w:rFonts w:hint="eastAsia" w:ascii="仿宋" w:hAnsi="仿宋" w:eastAsia="仿宋" w:cs="仿宋"/>
          <w:color w:val="auto"/>
          <w:sz w:val="24"/>
          <w:szCs w:val="24"/>
          <w:highlight w:val="none"/>
          <w:u w:val="single"/>
        </w:rPr>
        <w:t>固定</w:t>
      </w:r>
      <w:r>
        <w:rPr>
          <w:rFonts w:hint="eastAsia" w:ascii="仿宋" w:hAnsi="仿宋" w:eastAsia="仿宋" w:cs="仿宋"/>
          <w:color w:val="auto"/>
          <w:sz w:val="24"/>
          <w:szCs w:val="24"/>
          <w:highlight w:val="none"/>
          <w:u w:val="single"/>
          <w:lang w:val="en-US" w:eastAsia="zh-CN"/>
        </w:rPr>
        <w:t>单</w:t>
      </w:r>
      <w:r>
        <w:rPr>
          <w:rFonts w:hint="eastAsia" w:ascii="仿宋" w:hAnsi="仿宋" w:eastAsia="仿宋" w:cs="仿宋"/>
          <w:color w:val="auto"/>
          <w:sz w:val="24"/>
          <w:szCs w:val="24"/>
          <w:highlight w:val="none"/>
          <w:u w:val="single"/>
        </w:rPr>
        <w:t>价；</w:t>
      </w:r>
    </w:p>
    <w:p w14:paraId="24F7FE10">
      <w:pPr>
        <w:spacing w:line="480" w:lineRule="exact"/>
        <w:rPr>
          <w:rFonts w:hint="eastAsia" w:ascii="仿宋" w:hAnsi="仿宋" w:eastAsia="仿宋" w:cs="仿宋"/>
          <w:b/>
          <w:color w:val="auto"/>
          <w:sz w:val="24"/>
          <w:szCs w:val="24"/>
          <w:highlight w:val="none"/>
        </w:rPr>
      </w:pPr>
      <w:bookmarkStart w:id="5" w:name="_Toc351203485"/>
      <w:r>
        <w:rPr>
          <w:rFonts w:hint="eastAsia" w:ascii="仿宋" w:hAnsi="仿宋" w:eastAsia="仿宋" w:cs="仿宋"/>
          <w:b/>
          <w:color w:val="auto"/>
          <w:sz w:val="24"/>
          <w:szCs w:val="24"/>
          <w:highlight w:val="none"/>
        </w:rPr>
        <w:t>五、</w:t>
      </w:r>
      <w:bookmarkEnd w:id="5"/>
      <w:r>
        <w:rPr>
          <w:rFonts w:hint="eastAsia" w:ascii="仿宋" w:hAnsi="仿宋" w:eastAsia="仿宋" w:cs="仿宋"/>
          <w:b/>
          <w:color w:val="auto"/>
          <w:sz w:val="24"/>
          <w:szCs w:val="24"/>
          <w:highlight w:val="none"/>
        </w:rPr>
        <w:t>发包人代表与设计人项目负责人</w:t>
      </w:r>
    </w:p>
    <w:p w14:paraId="58DA7637">
      <w:pPr>
        <w:spacing w:line="48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发包人代表：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身份证：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4FF603F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设计人项目负责人：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身份证：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2C039285">
      <w:pPr>
        <w:spacing w:line="480" w:lineRule="exact"/>
        <w:rPr>
          <w:rFonts w:hint="eastAsia" w:ascii="仿宋" w:hAnsi="仿宋" w:eastAsia="仿宋" w:cs="仿宋"/>
          <w:b/>
          <w:color w:val="auto"/>
          <w:sz w:val="24"/>
          <w:szCs w:val="24"/>
          <w:highlight w:val="none"/>
        </w:rPr>
      </w:pPr>
      <w:bookmarkStart w:id="6" w:name="_Toc351203486"/>
      <w:r>
        <w:rPr>
          <w:rFonts w:hint="eastAsia" w:ascii="仿宋" w:hAnsi="仿宋" w:eastAsia="仿宋" w:cs="仿宋"/>
          <w:b/>
          <w:color w:val="auto"/>
          <w:sz w:val="24"/>
          <w:szCs w:val="24"/>
          <w:highlight w:val="none"/>
        </w:rPr>
        <w:t>六、合同文件构成</w:t>
      </w:r>
      <w:bookmarkEnd w:id="6"/>
    </w:p>
    <w:p w14:paraId="2018C618">
      <w:pPr>
        <w:spacing w:line="48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本协议书与下列文件一起构成合同文件：</w:t>
      </w:r>
    </w:p>
    <w:p w14:paraId="71744F06">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（1）专用合同条款及其附件； </w:t>
      </w:r>
    </w:p>
    <w:p w14:paraId="16087DE3">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（2）通用合同条款； </w:t>
      </w:r>
    </w:p>
    <w:p w14:paraId="5ED225BC">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（3）成交通知书；</w:t>
      </w:r>
    </w:p>
    <w:p w14:paraId="3EFE86F2">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（4）投标函及其附录；</w:t>
      </w:r>
    </w:p>
    <w:p w14:paraId="458BD019">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（5）发包人要求；</w:t>
      </w:r>
    </w:p>
    <w:p w14:paraId="1FBB3549">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（6）技术标准；</w:t>
      </w:r>
    </w:p>
    <w:p w14:paraId="6BF80211">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（7）其他合同文件。</w:t>
      </w:r>
    </w:p>
    <w:p w14:paraId="24742A22">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在合同履行过程中形成的与合同有关的文件均构成合同文件组成部分。</w:t>
      </w:r>
    </w:p>
    <w:p w14:paraId="178119AB">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上述各项合同文件包括合同当事人就该项合同文件所作出的补充和修改，属于同一类内容的文件，应以最新签署的为准。</w:t>
      </w:r>
    </w:p>
    <w:p w14:paraId="4EC27B41">
      <w:pPr>
        <w:spacing w:line="48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七、承诺</w:t>
      </w:r>
    </w:p>
    <w:p w14:paraId="15FF470E">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1.发包人承诺按照法律规定履行项目审批手续，按照合同约定提供设计依据，并按合同约定的期限和方式支付合同价款。</w:t>
      </w:r>
    </w:p>
    <w:p w14:paraId="7D55A0C6">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2.设计人承诺按照法律和技术标准规定及合同约定提供工程设计服务。</w:t>
      </w:r>
    </w:p>
    <w:p w14:paraId="5905D113">
      <w:pPr>
        <w:spacing w:line="48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八、词语含义</w:t>
      </w:r>
    </w:p>
    <w:p w14:paraId="4F32BD90">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本协议书中词语含义与第二部分通用合同条款中赋予的含义相同。</w:t>
      </w:r>
    </w:p>
    <w:p w14:paraId="689F1A39">
      <w:pPr>
        <w:spacing w:line="48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九、签订地点</w:t>
      </w:r>
    </w:p>
    <w:p w14:paraId="3ABDDF8A">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w:t>
      </w:r>
      <w:r>
        <w:rPr>
          <w:rFonts w:hint="eastAsia" w:ascii="仿宋" w:hAnsi="仿宋" w:eastAsia="仿宋" w:cs="仿宋"/>
          <w:color w:val="auto"/>
          <w:sz w:val="24"/>
          <w:szCs w:val="24"/>
          <w:highlight w:val="none"/>
          <w:u w:val="single"/>
        </w:rPr>
        <w:t xml:space="preserve"> 咸阳市 </w:t>
      </w:r>
      <w:r>
        <w:rPr>
          <w:rFonts w:hint="eastAsia" w:ascii="仿宋" w:hAnsi="仿宋" w:eastAsia="仿宋" w:cs="仿宋"/>
          <w:color w:val="auto"/>
          <w:sz w:val="24"/>
          <w:szCs w:val="24"/>
          <w:highlight w:val="none"/>
        </w:rPr>
        <w:t>签订。</w:t>
      </w:r>
    </w:p>
    <w:p w14:paraId="21357B04">
      <w:pPr>
        <w:spacing w:line="48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十、补充协议</w:t>
      </w:r>
    </w:p>
    <w:p w14:paraId="1BBCFFAE">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合同未尽事宜，合同当事人另行签订补充协议，补充协议是合同的组成部分。</w:t>
      </w:r>
    </w:p>
    <w:p w14:paraId="3CA964AB">
      <w:pPr>
        <w:spacing w:line="48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十一、合同生效</w:t>
      </w:r>
    </w:p>
    <w:p w14:paraId="4987BF46">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本合同自</w:t>
      </w:r>
      <w:r>
        <w:rPr>
          <w:rFonts w:hint="eastAsia" w:ascii="仿宋" w:hAnsi="仿宋" w:eastAsia="仿宋" w:cs="仿宋"/>
          <w:color w:val="auto"/>
          <w:sz w:val="24"/>
          <w:szCs w:val="24"/>
          <w:highlight w:val="none"/>
          <w:u w:val="single"/>
        </w:rPr>
        <w:t xml:space="preserve"> 双方签字盖章后 </w:t>
      </w:r>
      <w:r>
        <w:rPr>
          <w:rFonts w:hint="eastAsia" w:ascii="仿宋" w:hAnsi="仿宋" w:eastAsia="仿宋" w:cs="仿宋"/>
          <w:color w:val="auto"/>
          <w:sz w:val="24"/>
          <w:szCs w:val="24"/>
          <w:highlight w:val="none"/>
        </w:rPr>
        <w:t>生效。</w:t>
      </w:r>
    </w:p>
    <w:p w14:paraId="77C1C162">
      <w:pPr>
        <w:spacing w:line="480" w:lineRule="exact"/>
        <w:rPr>
          <w:rFonts w:hint="eastAsia" w:ascii="仿宋" w:hAnsi="仿宋" w:eastAsia="仿宋" w:cs="仿宋"/>
          <w:b/>
          <w:color w:val="auto"/>
          <w:sz w:val="24"/>
          <w:szCs w:val="24"/>
          <w:highlight w:val="none"/>
        </w:rPr>
      </w:pPr>
      <w:bookmarkStart w:id="7" w:name="_Toc351203493"/>
      <w:r>
        <w:rPr>
          <w:rFonts w:hint="eastAsia" w:ascii="仿宋" w:hAnsi="仿宋" w:eastAsia="仿宋" w:cs="仿宋"/>
          <w:b/>
          <w:color w:val="auto"/>
          <w:sz w:val="24"/>
          <w:szCs w:val="24"/>
          <w:highlight w:val="none"/>
        </w:rPr>
        <w:t>十二、合同份数</w:t>
      </w:r>
      <w:bookmarkEnd w:id="7"/>
    </w:p>
    <w:p w14:paraId="5F24CE73">
      <w:pPr>
        <w:autoSpaceDE w:val="0"/>
        <w:autoSpaceDN w:val="0"/>
        <w:adjustRightInd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份，均具有同等法律效力，发包人执</w:t>
      </w:r>
      <w:r>
        <w:rPr>
          <w:rFonts w:hint="eastAsia" w:ascii="仿宋" w:hAnsi="仿宋" w:eastAsia="仿宋" w:cs="仿宋"/>
          <w:color w:val="auto"/>
          <w:sz w:val="24"/>
          <w:szCs w:val="24"/>
          <w:highlight w:val="none"/>
          <w:u w:val="single"/>
        </w:rPr>
        <w:t xml:space="preserve"> </w:t>
      </w:r>
      <w:bookmarkStart w:id="18" w:name="_GoBack"/>
      <w:bookmarkEnd w:id="18"/>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份，设计人执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14:paraId="1CE41B32">
      <w:pPr>
        <w:pStyle w:val="2"/>
        <w:rPr>
          <w:rFonts w:hint="eastAsia"/>
        </w:rPr>
      </w:pPr>
    </w:p>
    <w:tbl>
      <w:tblPr>
        <w:tblStyle w:val="4"/>
        <w:tblW w:w="87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20"/>
        <w:gridCol w:w="4520"/>
      </w:tblGrid>
      <w:tr w14:paraId="589F3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4220" w:type="dxa"/>
            <w:vAlign w:val="center"/>
          </w:tcPr>
          <w:p w14:paraId="52C2579A">
            <w:pPr>
              <w:pStyle w:val="2"/>
              <w:adjustRightInd w:val="0"/>
              <w:spacing w:after="0"/>
              <w:rPr>
                <w:rFonts w:hint="eastAsia" w:ascii="仿宋" w:hAnsi="仿宋" w:eastAsia="仿宋" w:cs="仿宋"/>
                <w:sz w:val="24"/>
                <w:szCs w:val="24"/>
              </w:rPr>
            </w:pPr>
            <w:r>
              <w:rPr>
                <w:rFonts w:hint="eastAsia" w:ascii="仿宋" w:hAnsi="仿宋" w:eastAsia="仿宋" w:cs="仿宋"/>
                <w:sz w:val="24"/>
                <w:szCs w:val="24"/>
              </w:rPr>
              <w:t>甲      方：（公章）</w:t>
            </w:r>
          </w:p>
        </w:tc>
        <w:tc>
          <w:tcPr>
            <w:tcW w:w="4520" w:type="dxa"/>
            <w:vAlign w:val="center"/>
          </w:tcPr>
          <w:p w14:paraId="5636DB0A">
            <w:pPr>
              <w:pStyle w:val="2"/>
              <w:adjustRightInd w:val="0"/>
              <w:spacing w:after="0"/>
              <w:rPr>
                <w:rFonts w:hint="eastAsia" w:ascii="仿宋" w:hAnsi="仿宋" w:eastAsia="仿宋" w:cs="仿宋"/>
                <w:sz w:val="24"/>
                <w:szCs w:val="24"/>
              </w:rPr>
            </w:pPr>
            <w:r>
              <w:rPr>
                <w:rFonts w:hint="eastAsia" w:ascii="仿宋" w:hAnsi="仿宋" w:eastAsia="仿宋" w:cs="仿宋"/>
                <w:sz w:val="24"/>
                <w:szCs w:val="24"/>
              </w:rPr>
              <w:t>乙      方：（公章）</w:t>
            </w:r>
          </w:p>
        </w:tc>
      </w:tr>
      <w:tr w14:paraId="31A02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1" w:hRule="atLeast"/>
          <w:jc w:val="center"/>
        </w:trPr>
        <w:tc>
          <w:tcPr>
            <w:tcW w:w="4220" w:type="dxa"/>
            <w:vAlign w:val="center"/>
          </w:tcPr>
          <w:p w14:paraId="7884922E">
            <w:pPr>
              <w:pStyle w:val="2"/>
              <w:adjustRightInd w:val="0"/>
              <w:spacing w:after="0" w:line="638" w:lineRule="exact"/>
              <w:rPr>
                <w:rFonts w:hint="eastAsia" w:ascii="仿宋" w:hAnsi="仿宋" w:eastAsia="仿宋" w:cs="仿宋"/>
                <w:bCs/>
                <w:sz w:val="24"/>
                <w:szCs w:val="24"/>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p>
          <w:p w14:paraId="1EEE8ED3">
            <w:pPr>
              <w:pStyle w:val="2"/>
              <w:adjustRightInd w:val="0"/>
              <w:spacing w:after="0" w:line="638" w:lineRule="exact"/>
              <w:rPr>
                <w:rFonts w:hint="eastAsia" w:ascii="仿宋" w:hAnsi="仿宋" w:eastAsia="仿宋" w:cs="仿宋"/>
                <w:sz w:val="24"/>
                <w:szCs w:val="24"/>
              </w:rPr>
            </w:pPr>
            <w:r>
              <w:rPr>
                <w:rFonts w:hint="eastAsia" w:ascii="仿宋" w:hAnsi="仿宋" w:eastAsia="仿宋" w:cs="仿宋"/>
                <w:bCs/>
                <w:sz w:val="24"/>
                <w:szCs w:val="24"/>
              </w:rPr>
              <w:t>委托代理人：</w:t>
            </w:r>
            <w:r>
              <w:rPr>
                <w:rFonts w:hint="eastAsia" w:ascii="仿宋" w:hAnsi="仿宋" w:eastAsia="仿宋" w:cs="仿宋"/>
                <w:bCs/>
                <w:sz w:val="24"/>
                <w:szCs w:val="24"/>
                <w:u w:val="single"/>
              </w:rPr>
              <w:t xml:space="preserve">                 </w:t>
            </w:r>
          </w:p>
          <w:p w14:paraId="1919D92D">
            <w:pPr>
              <w:pStyle w:val="2"/>
              <w:adjustRightInd w:val="0"/>
              <w:spacing w:after="0" w:line="638" w:lineRule="exact"/>
              <w:rPr>
                <w:rFonts w:hint="eastAsia" w:ascii="仿宋" w:hAnsi="仿宋" w:eastAsia="仿宋" w:cs="仿宋"/>
                <w:sz w:val="24"/>
                <w:szCs w:val="24"/>
              </w:rPr>
            </w:pPr>
            <w:r>
              <w:rPr>
                <w:rFonts w:hint="eastAsia" w:ascii="仿宋" w:hAnsi="仿宋" w:eastAsia="仿宋" w:cs="仿宋"/>
                <w:bCs/>
                <w:sz w:val="24"/>
                <w:szCs w:val="24"/>
              </w:rPr>
              <w:t>电      话：</w:t>
            </w:r>
            <w:r>
              <w:rPr>
                <w:rFonts w:hint="eastAsia" w:ascii="仿宋" w:hAnsi="仿宋" w:eastAsia="仿宋" w:cs="仿宋"/>
                <w:bCs/>
                <w:sz w:val="24"/>
                <w:szCs w:val="24"/>
                <w:u w:val="single"/>
              </w:rPr>
              <w:t xml:space="preserve">                 </w:t>
            </w:r>
          </w:p>
          <w:p w14:paraId="50A1B1AC">
            <w:pPr>
              <w:pStyle w:val="2"/>
              <w:adjustRightInd w:val="0"/>
              <w:spacing w:after="0" w:line="638" w:lineRule="exact"/>
              <w:rPr>
                <w:rFonts w:hint="eastAsia" w:ascii="仿宋" w:hAnsi="仿宋" w:eastAsia="仿宋" w:cs="仿宋"/>
                <w:sz w:val="24"/>
                <w:szCs w:val="24"/>
              </w:rPr>
            </w:pPr>
            <w:r>
              <w:rPr>
                <w:rFonts w:hint="eastAsia" w:ascii="仿宋" w:hAnsi="仿宋" w:eastAsia="仿宋" w:cs="仿宋"/>
                <w:bCs/>
                <w:sz w:val="24"/>
                <w:szCs w:val="24"/>
              </w:rPr>
              <w:t>账户名称：</w:t>
            </w:r>
            <w:r>
              <w:rPr>
                <w:rFonts w:hint="eastAsia" w:ascii="仿宋" w:hAnsi="仿宋" w:eastAsia="仿宋" w:cs="仿宋"/>
                <w:bCs/>
                <w:sz w:val="24"/>
                <w:szCs w:val="24"/>
                <w:u w:val="single"/>
              </w:rPr>
              <w:t xml:space="preserve">                   </w:t>
            </w:r>
          </w:p>
          <w:p w14:paraId="647F623C">
            <w:pPr>
              <w:pStyle w:val="2"/>
              <w:adjustRightInd w:val="0"/>
              <w:spacing w:after="0" w:line="638" w:lineRule="exact"/>
              <w:rPr>
                <w:rFonts w:hint="eastAsia" w:ascii="仿宋" w:hAnsi="仿宋" w:eastAsia="仿宋" w:cs="仿宋"/>
                <w:sz w:val="24"/>
                <w:szCs w:val="24"/>
              </w:rPr>
            </w:pPr>
            <w:r>
              <w:rPr>
                <w:rFonts w:hint="eastAsia" w:ascii="仿宋" w:hAnsi="仿宋" w:eastAsia="仿宋" w:cs="仿宋"/>
                <w:bCs/>
                <w:sz w:val="24"/>
                <w:szCs w:val="24"/>
              </w:rPr>
              <w:t>开户银行：</w:t>
            </w:r>
            <w:r>
              <w:rPr>
                <w:rFonts w:hint="eastAsia" w:ascii="仿宋" w:hAnsi="仿宋" w:eastAsia="仿宋" w:cs="仿宋"/>
                <w:bCs/>
                <w:sz w:val="24"/>
                <w:szCs w:val="24"/>
                <w:u w:val="single"/>
              </w:rPr>
              <w:t xml:space="preserve">                   </w:t>
            </w:r>
          </w:p>
          <w:p w14:paraId="768EA299">
            <w:pPr>
              <w:pStyle w:val="2"/>
              <w:adjustRightInd w:val="0"/>
              <w:spacing w:after="0" w:line="638" w:lineRule="exact"/>
              <w:rPr>
                <w:rFonts w:hint="eastAsia" w:ascii="仿宋" w:hAnsi="仿宋" w:eastAsia="仿宋" w:cs="仿宋"/>
                <w:sz w:val="24"/>
                <w:szCs w:val="24"/>
              </w:rPr>
            </w:pPr>
            <w:r>
              <w:rPr>
                <w:rFonts w:hint="eastAsia" w:ascii="仿宋" w:hAnsi="仿宋" w:eastAsia="仿宋" w:cs="仿宋"/>
                <w:bCs/>
                <w:sz w:val="24"/>
                <w:szCs w:val="24"/>
              </w:rPr>
              <w:t>账    号：</w:t>
            </w:r>
            <w:r>
              <w:rPr>
                <w:rFonts w:hint="eastAsia" w:ascii="仿宋" w:hAnsi="仿宋" w:eastAsia="仿宋" w:cs="仿宋"/>
                <w:bCs/>
                <w:sz w:val="24"/>
                <w:szCs w:val="24"/>
                <w:u w:val="single"/>
              </w:rPr>
              <w:t xml:space="preserve">                   </w:t>
            </w:r>
          </w:p>
          <w:p w14:paraId="79C5CDB4">
            <w:pPr>
              <w:pStyle w:val="2"/>
              <w:adjustRightInd w:val="0"/>
              <w:spacing w:after="0" w:line="638" w:lineRule="exact"/>
              <w:rPr>
                <w:rFonts w:hint="eastAsia" w:ascii="仿宋" w:hAnsi="仿宋" w:eastAsia="仿宋" w:cs="仿宋"/>
                <w:sz w:val="24"/>
                <w:szCs w:val="24"/>
              </w:rPr>
            </w:pPr>
            <w:r>
              <w:rPr>
                <w:rFonts w:hint="eastAsia" w:ascii="仿宋" w:hAnsi="仿宋" w:eastAsia="仿宋" w:cs="仿宋"/>
                <w:bCs/>
                <w:sz w:val="24"/>
                <w:szCs w:val="24"/>
              </w:rPr>
              <w:t>通讯地址：</w:t>
            </w:r>
            <w:r>
              <w:rPr>
                <w:rFonts w:hint="eastAsia" w:ascii="仿宋" w:hAnsi="仿宋" w:eastAsia="仿宋" w:cs="仿宋"/>
                <w:bCs/>
                <w:sz w:val="24"/>
                <w:szCs w:val="24"/>
                <w:u w:val="single"/>
              </w:rPr>
              <w:t xml:space="preserve">                   </w:t>
            </w:r>
          </w:p>
        </w:tc>
        <w:tc>
          <w:tcPr>
            <w:tcW w:w="4520" w:type="dxa"/>
            <w:vAlign w:val="center"/>
          </w:tcPr>
          <w:p w14:paraId="57DB6812">
            <w:pPr>
              <w:pStyle w:val="2"/>
              <w:adjustRightInd w:val="0"/>
              <w:spacing w:after="0" w:line="550" w:lineRule="exact"/>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sz w:val="24"/>
                <w:szCs w:val="24"/>
                <w:u w:val="single"/>
              </w:rPr>
              <w:t xml:space="preserve">            </w:t>
            </w:r>
          </w:p>
          <w:p w14:paraId="34BB59B4">
            <w:pPr>
              <w:pStyle w:val="2"/>
              <w:adjustRightInd w:val="0"/>
              <w:spacing w:after="0" w:line="550" w:lineRule="exact"/>
              <w:rPr>
                <w:rFonts w:hint="eastAsia" w:ascii="仿宋" w:hAnsi="仿宋" w:eastAsia="仿宋" w:cs="仿宋"/>
                <w:sz w:val="24"/>
                <w:szCs w:val="24"/>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p>
          <w:p w14:paraId="7F2AA7EB">
            <w:pPr>
              <w:pStyle w:val="2"/>
              <w:adjustRightInd w:val="0"/>
              <w:spacing w:after="0" w:line="550" w:lineRule="exact"/>
              <w:rPr>
                <w:rFonts w:hint="eastAsia" w:ascii="仿宋" w:hAnsi="仿宋" w:eastAsia="仿宋" w:cs="仿宋"/>
                <w:sz w:val="24"/>
                <w:szCs w:val="24"/>
              </w:rPr>
            </w:pPr>
            <w:r>
              <w:rPr>
                <w:rFonts w:hint="eastAsia" w:ascii="仿宋" w:hAnsi="仿宋" w:eastAsia="仿宋" w:cs="仿宋"/>
                <w:bCs/>
                <w:sz w:val="24"/>
                <w:szCs w:val="24"/>
              </w:rPr>
              <w:t>委托代理人：</w:t>
            </w:r>
            <w:r>
              <w:rPr>
                <w:rFonts w:hint="eastAsia" w:ascii="仿宋" w:hAnsi="仿宋" w:eastAsia="仿宋" w:cs="仿宋"/>
                <w:bCs/>
                <w:sz w:val="24"/>
                <w:szCs w:val="24"/>
                <w:u w:val="single"/>
              </w:rPr>
              <w:t xml:space="preserve">                  </w:t>
            </w:r>
          </w:p>
          <w:p w14:paraId="00EAA43D">
            <w:pPr>
              <w:pStyle w:val="2"/>
              <w:adjustRightInd w:val="0"/>
              <w:spacing w:after="0" w:line="550" w:lineRule="exact"/>
              <w:rPr>
                <w:rFonts w:hint="eastAsia" w:ascii="仿宋" w:hAnsi="仿宋" w:eastAsia="仿宋" w:cs="仿宋"/>
                <w:sz w:val="24"/>
                <w:szCs w:val="24"/>
              </w:rPr>
            </w:pPr>
            <w:r>
              <w:rPr>
                <w:rFonts w:hint="eastAsia" w:ascii="仿宋" w:hAnsi="仿宋" w:eastAsia="仿宋" w:cs="仿宋"/>
                <w:bCs/>
                <w:sz w:val="24"/>
                <w:szCs w:val="24"/>
              </w:rPr>
              <w:t>电      话：</w:t>
            </w:r>
            <w:r>
              <w:rPr>
                <w:rFonts w:hint="eastAsia" w:ascii="仿宋" w:hAnsi="仿宋" w:eastAsia="仿宋" w:cs="仿宋"/>
                <w:bCs/>
                <w:sz w:val="24"/>
                <w:szCs w:val="24"/>
                <w:u w:val="single"/>
              </w:rPr>
              <w:t xml:space="preserve">                  </w:t>
            </w:r>
          </w:p>
          <w:p w14:paraId="6064BC86">
            <w:pPr>
              <w:pStyle w:val="2"/>
              <w:adjustRightInd w:val="0"/>
              <w:spacing w:after="0" w:line="550" w:lineRule="exact"/>
              <w:rPr>
                <w:rFonts w:hint="eastAsia" w:ascii="仿宋" w:hAnsi="仿宋" w:eastAsia="仿宋" w:cs="仿宋"/>
                <w:sz w:val="24"/>
                <w:szCs w:val="24"/>
              </w:rPr>
            </w:pPr>
            <w:r>
              <w:rPr>
                <w:rFonts w:hint="eastAsia" w:ascii="仿宋" w:hAnsi="仿宋" w:eastAsia="仿宋" w:cs="仿宋"/>
                <w:bCs/>
                <w:sz w:val="24"/>
                <w:szCs w:val="24"/>
              </w:rPr>
              <w:t>账户名称：</w:t>
            </w:r>
            <w:r>
              <w:rPr>
                <w:rFonts w:hint="eastAsia" w:ascii="仿宋" w:hAnsi="仿宋" w:eastAsia="仿宋" w:cs="仿宋"/>
                <w:bCs/>
                <w:sz w:val="24"/>
                <w:szCs w:val="24"/>
                <w:u w:val="single"/>
              </w:rPr>
              <w:t xml:space="preserve">                    </w:t>
            </w:r>
          </w:p>
          <w:p w14:paraId="66EE1749">
            <w:pPr>
              <w:pStyle w:val="2"/>
              <w:adjustRightInd w:val="0"/>
              <w:spacing w:after="0" w:line="550" w:lineRule="exact"/>
              <w:rPr>
                <w:rFonts w:hint="eastAsia" w:ascii="仿宋" w:hAnsi="仿宋" w:eastAsia="仿宋" w:cs="仿宋"/>
                <w:sz w:val="24"/>
                <w:szCs w:val="24"/>
              </w:rPr>
            </w:pPr>
            <w:r>
              <w:rPr>
                <w:rFonts w:hint="eastAsia" w:ascii="仿宋" w:hAnsi="仿宋" w:eastAsia="仿宋" w:cs="仿宋"/>
                <w:bCs/>
                <w:sz w:val="24"/>
                <w:szCs w:val="24"/>
              </w:rPr>
              <w:t>开户银行：</w:t>
            </w:r>
            <w:r>
              <w:rPr>
                <w:rFonts w:hint="eastAsia" w:ascii="仿宋" w:hAnsi="仿宋" w:eastAsia="仿宋" w:cs="仿宋"/>
                <w:bCs/>
                <w:sz w:val="24"/>
                <w:szCs w:val="24"/>
                <w:u w:val="single"/>
              </w:rPr>
              <w:t xml:space="preserve">                    </w:t>
            </w:r>
          </w:p>
          <w:p w14:paraId="3406B3DA">
            <w:pPr>
              <w:pStyle w:val="2"/>
              <w:adjustRightInd w:val="0"/>
              <w:spacing w:after="0" w:line="550" w:lineRule="exact"/>
              <w:rPr>
                <w:rFonts w:hint="eastAsia" w:ascii="仿宋" w:hAnsi="仿宋" w:eastAsia="仿宋" w:cs="仿宋"/>
                <w:sz w:val="24"/>
                <w:szCs w:val="24"/>
              </w:rPr>
            </w:pPr>
            <w:r>
              <w:rPr>
                <w:rFonts w:hint="eastAsia" w:ascii="仿宋" w:hAnsi="仿宋" w:eastAsia="仿宋" w:cs="仿宋"/>
                <w:bCs/>
                <w:sz w:val="24"/>
                <w:szCs w:val="24"/>
              </w:rPr>
              <w:t>账    号：</w:t>
            </w:r>
            <w:r>
              <w:rPr>
                <w:rFonts w:hint="eastAsia" w:ascii="仿宋" w:hAnsi="仿宋" w:eastAsia="仿宋" w:cs="仿宋"/>
                <w:bCs/>
                <w:sz w:val="24"/>
                <w:szCs w:val="24"/>
                <w:u w:val="single"/>
              </w:rPr>
              <w:t xml:space="preserve">                    </w:t>
            </w:r>
          </w:p>
          <w:p w14:paraId="36FB31E4">
            <w:pPr>
              <w:pStyle w:val="2"/>
              <w:adjustRightInd w:val="0"/>
              <w:spacing w:after="0" w:line="550" w:lineRule="exact"/>
              <w:rPr>
                <w:rFonts w:hint="eastAsia" w:ascii="仿宋" w:hAnsi="仿宋" w:eastAsia="仿宋" w:cs="仿宋"/>
                <w:bCs/>
                <w:sz w:val="24"/>
                <w:szCs w:val="24"/>
              </w:rPr>
            </w:pPr>
            <w:r>
              <w:rPr>
                <w:rFonts w:hint="eastAsia" w:ascii="仿宋" w:hAnsi="仿宋" w:eastAsia="仿宋" w:cs="仿宋"/>
                <w:bCs/>
                <w:sz w:val="24"/>
                <w:szCs w:val="24"/>
              </w:rPr>
              <w:t>通讯地址：</w:t>
            </w:r>
            <w:r>
              <w:rPr>
                <w:rFonts w:hint="eastAsia" w:ascii="仿宋" w:hAnsi="仿宋" w:eastAsia="仿宋" w:cs="仿宋"/>
                <w:bCs/>
                <w:sz w:val="24"/>
                <w:szCs w:val="24"/>
                <w:u w:val="single"/>
              </w:rPr>
              <w:t xml:space="preserve">                    </w:t>
            </w:r>
          </w:p>
        </w:tc>
      </w:tr>
    </w:tbl>
    <w:p w14:paraId="221109BD">
      <w:pPr>
        <w:spacing w:line="360" w:lineRule="auto"/>
        <w:jc w:val="center"/>
        <w:rPr>
          <w:rFonts w:ascii="宋体" w:hAnsi="宋体" w:eastAsia="宋体" w:cs="宋体"/>
          <w:color w:val="auto"/>
          <w:sz w:val="24"/>
          <w:highlight w:val="none"/>
        </w:rPr>
      </w:pPr>
      <w:r>
        <w:rPr>
          <w:rFonts w:hint="eastAsia" w:ascii="仿宋" w:hAnsi="仿宋" w:eastAsia="仿宋" w:cs="仿宋"/>
          <w:color w:val="auto"/>
          <w:sz w:val="24"/>
          <w:szCs w:val="24"/>
          <w:highlight w:val="none"/>
        </w:rPr>
        <w:br w:type="page"/>
      </w:r>
      <w:bookmarkStart w:id="8" w:name="_Toc351203494"/>
      <w:bookmarkStart w:id="9" w:name="_Toc14086173"/>
      <w:bookmarkStart w:id="10" w:name="_Toc57278488"/>
      <w:bookmarkStart w:id="11" w:name="_Toc14086135"/>
      <w:bookmarkStart w:id="12" w:name="_Toc19702635"/>
      <w:bookmarkStart w:id="13" w:name="_Toc14086075"/>
      <w:bookmarkStart w:id="14" w:name="_Toc14085872"/>
      <w:bookmarkStart w:id="15" w:name="_Toc14085781"/>
      <w:r>
        <w:rPr>
          <w:rFonts w:hint="eastAsia" w:ascii="宋体" w:hAnsi="宋体" w:eastAsia="宋体" w:cs="宋体"/>
          <w:b/>
          <w:bCs/>
          <w:color w:val="auto"/>
          <w:kern w:val="44"/>
          <w:sz w:val="24"/>
          <w:highlight w:val="none"/>
        </w:rPr>
        <w:t>第二部分 通用合同条款</w:t>
      </w:r>
      <w:bookmarkEnd w:id="8"/>
      <w:bookmarkEnd w:id="9"/>
      <w:bookmarkEnd w:id="10"/>
      <w:bookmarkEnd w:id="11"/>
      <w:bookmarkEnd w:id="12"/>
      <w:bookmarkEnd w:id="13"/>
      <w:bookmarkEnd w:id="14"/>
      <w:bookmarkEnd w:id="15"/>
      <w:bookmarkStart w:id="16" w:name="_Toc337558727"/>
    </w:p>
    <w:p w14:paraId="02AF6A16">
      <w:pPr>
        <w:spacing w:line="360" w:lineRule="auto"/>
        <w:jc w:val="center"/>
        <w:rPr>
          <w:rFonts w:ascii="宋体" w:hAnsi="宋体" w:eastAsia="宋体" w:cs="宋体"/>
          <w:color w:val="auto"/>
          <w:sz w:val="24"/>
          <w:highlight w:val="none"/>
        </w:rPr>
      </w:pPr>
    </w:p>
    <w:p w14:paraId="1E8579FA">
      <w:pPr>
        <w:spacing w:line="48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详见中华人民共和国住房和城乡建设部指定的《</w:t>
      </w:r>
      <w:r>
        <w:rPr>
          <w:rFonts w:hint="eastAsia" w:ascii="宋体" w:hAnsi="宋体" w:eastAsia="宋体" w:cs="宋体"/>
          <w:color w:val="auto"/>
          <w:sz w:val="24"/>
          <w:highlight w:val="none"/>
          <w:lang w:eastAsia="ko-KR"/>
        </w:rPr>
        <w:t>建设工程设计合同</w:t>
      </w:r>
      <w:r>
        <w:rPr>
          <w:rFonts w:hint="eastAsia" w:ascii="宋体" w:hAnsi="宋体" w:eastAsia="宋体" w:cs="宋体"/>
          <w:color w:val="auto"/>
          <w:sz w:val="24"/>
          <w:highlight w:val="none"/>
        </w:rPr>
        <w:t>（房屋建筑工程）》</w:t>
      </w:r>
      <w:r>
        <w:rPr>
          <w:rFonts w:hint="eastAsia" w:ascii="宋体" w:hAnsi="宋体" w:eastAsia="宋体" w:cs="宋体"/>
          <w:bCs/>
          <w:color w:val="auto"/>
          <w:sz w:val="24"/>
          <w:highlight w:val="none"/>
        </w:rPr>
        <w:t>GF—2015—0209</w:t>
      </w:r>
      <w:r>
        <w:rPr>
          <w:rFonts w:hint="eastAsia" w:ascii="宋体" w:hAnsi="宋体" w:eastAsia="宋体" w:cs="宋体"/>
          <w:color w:val="auto"/>
          <w:sz w:val="24"/>
          <w:highlight w:val="none"/>
        </w:rPr>
        <w:t>“第二部分  通用合同条款”。</w:t>
      </w:r>
    </w:p>
    <w:p w14:paraId="01A53734">
      <w:pPr>
        <w:spacing w:line="48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（此处略）</w:t>
      </w:r>
    </w:p>
    <w:bookmarkEnd w:id="16"/>
    <w:p w14:paraId="3A438608">
      <w:pPr>
        <w:spacing w:line="360" w:lineRule="auto"/>
        <w:ind w:right="166" w:rightChars="79" w:firstLine="241" w:firstLineChars="100"/>
        <w:jc w:val="center"/>
        <w:rPr>
          <w:rFonts w:ascii="宋体" w:hAnsi="宋体" w:eastAsia="宋体" w:cs="宋体"/>
          <w:b/>
          <w:bCs/>
          <w:color w:val="auto"/>
          <w:sz w:val="24"/>
          <w:highlight w:val="none"/>
        </w:rPr>
      </w:pPr>
    </w:p>
    <w:p w14:paraId="4B79A6F7">
      <w:pPr>
        <w:autoSpaceDE w:val="0"/>
        <w:autoSpaceDN w:val="0"/>
        <w:adjustRightInd w:val="0"/>
        <w:spacing w:line="360" w:lineRule="auto"/>
        <w:ind w:firstLine="482" w:firstLineChars="200"/>
        <w:jc w:val="center"/>
        <w:rPr>
          <w:rFonts w:ascii="宋体" w:hAnsi="宋体" w:eastAsia="宋体" w:cs="宋体"/>
          <w:b/>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第三部分 专用合同条款</w:t>
      </w:r>
    </w:p>
    <w:p w14:paraId="150730AB">
      <w:pPr>
        <w:keepNext/>
        <w:keepLines/>
        <w:spacing w:line="480" w:lineRule="exact"/>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 一般约定</w:t>
      </w:r>
    </w:p>
    <w:p w14:paraId="4FE2C8E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词语定义与解释</w:t>
      </w:r>
    </w:p>
    <w:p w14:paraId="4A42AD12">
      <w:pPr>
        <w:spacing w:line="48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1.1.1合同</w:t>
      </w:r>
    </w:p>
    <w:p w14:paraId="7AF6733D">
      <w:pPr>
        <w:spacing w:line="48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1.1.1.8 其他合同文件包括：</w:t>
      </w:r>
      <w:r>
        <w:rPr>
          <w:rFonts w:hint="eastAsia" w:ascii="仿宋" w:hAnsi="仿宋" w:eastAsia="仿宋" w:cs="仿宋"/>
          <w:color w:val="auto"/>
          <w:kern w:val="0"/>
          <w:sz w:val="24"/>
          <w:szCs w:val="24"/>
          <w:highlight w:val="none"/>
          <w:lang w:val="en-US" w:eastAsia="zh-CN"/>
        </w:rPr>
        <w:t>磋商</w:t>
      </w:r>
      <w:r>
        <w:rPr>
          <w:rFonts w:hint="eastAsia" w:ascii="仿宋" w:hAnsi="仿宋" w:eastAsia="仿宋" w:cs="仿宋"/>
          <w:color w:val="auto"/>
          <w:sz w:val="24"/>
          <w:szCs w:val="24"/>
          <w:highlight w:val="none"/>
          <w:u w:val="single"/>
        </w:rPr>
        <w:t>文件、</w:t>
      </w:r>
      <w:r>
        <w:rPr>
          <w:rFonts w:hint="eastAsia" w:ascii="仿宋" w:hAnsi="仿宋" w:eastAsia="仿宋" w:cs="仿宋"/>
          <w:color w:val="auto"/>
          <w:sz w:val="24"/>
          <w:szCs w:val="24"/>
          <w:highlight w:val="none"/>
          <w:u w:val="single"/>
          <w:lang w:val="en-US" w:eastAsia="zh-CN"/>
        </w:rPr>
        <w:t>磋商响应</w:t>
      </w:r>
      <w:r>
        <w:rPr>
          <w:rFonts w:hint="eastAsia" w:ascii="仿宋" w:hAnsi="仿宋" w:eastAsia="仿宋" w:cs="仿宋"/>
          <w:color w:val="auto"/>
          <w:sz w:val="24"/>
          <w:szCs w:val="24"/>
          <w:highlight w:val="none"/>
          <w:u w:val="single"/>
        </w:rPr>
        <w:t>文件、设计任务书、答疑等、双方约定的与工程有关并经双方负责人签字的文件、会议纪要、往来函件等</w:t>
      </w:r>
      <w:r>
        <w:rPr>
          <w:rFonts w:hint="eastAsia" w:ascii="仿宋" w:hAnsi="仿宋" w:eastAsia="仿宋" w:cs="仿宋"/>
          <w:color w:val="auto"/>
          <w:sz w:val="24"/>
          <w:szCs w:val="24"/>
          <w:highlight w:val="none"/>
        </w:rPr>
        <w:t>。</w:t>
      </w:r>
    </w:p>
    <w:p w14:paraId="5BAFD3FC">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1.3 法律 </w:t>
      </w:r>
    </w:p>
    <w:p w14:paraId="036448E3">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适用于合同的其他规范性文件：</w:t>
      </w:r>
      <w:r>
        <w:rPr>
          <w:rFonts w:hint="eastAsia" w:ascii="仿宋" w:hAnsi="仿宋" w:eastAsia="仿宋" w:cs="仿宋"/>
          <w:color w:val="auto"/>
          <w:sz w:val="24"/>
          <w:szCs w:val="24"/>
          <w:highlight w:val="none"/>
          <w:u w:val="single"/>
        </w:rPr>
        <w:t xml:space="preserve">   /   。</w:t>
      </w:r>
    </w:p>
    <w:p w14:paraId="394CD3E1">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技术标准</w:t>
      </w:r>
    </w:p>
    <w:p w14:paraId="5369270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1.4.1适用于工程的技术标准包括：</w:t>
      </w:r>
      <w:r>
        <w:rPr>
          <w:rFonts w:hint="eastAsia" w:ascii="仿宋" w:hAnsi="仿宋" w:eastAsia="仿宋" w:cs="仿宋"/>
          <w:color w:val="auto"/>
          <w:sz w:val="24"/>
          <w:szCs w:val="24"/>
          <w:highlight w:val="none"/>
          <w:u w:val="single"/>
        </w:rPr>
        <w:t>工程设计文件的编制应符合法律、技术标准的强制性规定及合同的要求，并满足本合同相应设计阶段的规定要求，符合国家和行业现行有效的相关规定</w:t>
      </w:r>
      <w:r>
        <w:rPr>
          <w:rFonts w:hint="eastAsia" w:ascii="仿宋" w:hAnsi="仿宋" w:eastAsia="仿宋" w:cs="仿宋"/>
          <w:color w:val="auto"/>
          <w:sz w:val="24"/>
          <w:szCs w:val="24"/>
          <w:highlight w:val="none"/>
        </w:rPr>
        <w:t>。</w:t>
      </w:r>
    </w:p>
    <w:p w14:paraId="040BB5B4">
      <w:pPr>
        <w:spacing w:line="480" w:lineRule="exact"/>
        <w:ind w:firstLine="480" w:firstLineChars="20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1.4.2 国外技术标准原文版本和中文译本的提供方：</w:t>
      </w:r>
      <w:r>
        <w:rPr>
          <w:rFonts w:hint="eastAsia" w:ascii="仿宋" w:hAnsi="仿宋" w:eastAsia="仿宋" w:cs="仿宋"/>
          <w:color w:val="auto"/>
          <w:sz w:val="24"/>
          <w:szCs w:val="24"/>
          <w:highlight w:val="none"/>
          <w:u w:val="single"/>
        </w:rPr>
        <w:t>所有标准、规范均由设计人自备，发包人不另行提供</w:t>
      </w:r>
      <w:r>
        <w:rPr>
          <w:rFonts w:hint="eastAsia" w:ascii="仿宋" w:hAnsi="仿宋" w:eastAsia="仿宋" w:cs="仿宋"/>
          <w:color w:val="auto"/>
          <w:sz w:val="24"/>
          <w:szCs w:val="24"/>
          <w:highlight w:val="none"/>
        </w:rPr>
        <w:t>；</w:t>
      </w:r>
    </w:p>
    <w:p w14:paraId="504672A9">
      <w:pPr>
        <w:spacing w:line="480" w:lineRule="exact"/>
        <w:ind w:firstLine="480" w:firstLineChars="20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提供国外技术标准的名称：</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kern w:val="0"/>
          <w:sz w:val="24"/>
          <w:szCs w:val="24"/>
          <w:highlight w:val="none"/>
        </w:rPr>
        <w:t xml:space="preserve">； </w:t>
      </w:r>
    </w:p>
    <w:p w14:paraId="39A9A70B">
      <w:pPr>
        <w:spacing w:line="48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提供国外技术标准的份数：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kern w:val="0"/>
          <w:sz w:val="24"/>
          <w:szCs w:val="24"/>
          <w:highlight w:val="none"/>
        </w:rPr>
        <w:t>；</w:t>
      </w:r>
    </w:p>
    <w:p w14:paraId="3C7A2F2E">
      <w:pPr>
        <w:spacing w:line="480" w:lineRule="exact"/>
        <w:ind w:firstLine="480" w:firstLineChars="20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提供国外技术标准的时间：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kern w:val="0"/>
          <w:sz w:val="24"/>
          <w:szCs w:val="24"/>
          <w:highlight w:val="none"/>
        </w:rPr>
        <w:t>；</w:t>
      </w:r>
    </w:p>
    <w:p w14:paraId="3670DDEA">
      <w:pPr>
        <w:spacing w:line="480" w:lineRule="exact"/>
        <w:ind w:firstLine="480" w:firstLineChars="20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提供国外技术标准的费用承担：</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kern w:val="0"/>
          <w:sz w:val="24"/>
          <w:szCs w:val="24"/>
          <w:highlight w:val="none"/>
        </w:rPr>
        <w:t>；</w:t>
      </w:r>
    </w:p>
    <w:p w14:paraId="22FE2A8F">
      <w:pPr>
        <w:spacing w:line="480" w:lineRule="exact"/>
        <w:ind w:firstLine="480" w:firstLineChars="200"/>
        <w:rPr>
          <w:rFonts w:hint="eastAsia" w:ascii="仿宋" w:hAnsi="仿宋" w:eastAsia="仿宋" w:cs="仿宋"/>
          <w:color w:val="auto"/>
          <w:kern w:val="0"/>
          <w:sz w:val="24"/>
          <w:szCs w:val="24"/>
          <w:highlight w:val="none"/>
          <w:u w:val="single"/>
        </w:rPr>
      </w:pPr>
      <w:r>
        <w:rPr>
          <w:rFonts w:hint="eastAsia" w:ascii="仿宋" w:hAnsi="仿宋" w:eastAsia="仿宋" w:cs="仿宋"/>
          <w:color w:val="auto"/>
          <w:sz w:val="24"/>
          <w:szCs w:val="24"/>
          <w:highlight w:val="none"/>
        </w:rPr>
        <w:t>1.4.3 发包人对工程的技术标准和功能要求的特殊要求：</w:t>
      </w:r>
      <w:r>
        <w:rPr>
          <w:rFonts w:hint="eastAsia" w:ascii="仿宋" w:hAnsi="仿宋" w:eastAsia="仿宋" w:cs="仿宋"/>
          <w:color w:val="auto"/>
          <w:sz w:val="24"/>
          <w:szCs w:val="24"/>
          <w:highlight w:val="none"/>
          <w:u w:val="single"/>
        </w:rPr>
        <w:t>按通用条款执行</w:t>
      </w:r>
      <w:r>
        <w:rPr>
          <w:rFonts w:hint="eastAsia" w:ascii="仿宋" w:hAnsi="仿宋" w:eastAsia="仿宋" w:cs="仿宋"/>
          <w:color w:val="auto"/>
          <w:sz w:val="24"/>
          <w:szCs w:val="24"/>
          <w:highlight w:val="none"/>
        </w:rPr>
        <w:t>。</w:t>
      </w:r>
    </w:p>
    <w:p w14:paraId="0BB36D8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合同文件的优先顺序</w:t>
      </w:r>
    </w:p>
    <w:p w14:paraId="7D7E2CCF">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合同文件组成及优先顺序为：</w:t>
      </w:r>
    </w:p>
    <w:p w14:paraId="6C89EDB1">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1.合同协议书；2.合同专用条款及附件；3.合同通用条款；4.</w:t>
      </w:r>
      <w:r>
        <w:rPr>
          <w:rFonts w:hint="eastAsia" w:ascii="仿宋" w:hAnsi="仿宋" w:eastAsia="仿宋" w:cs="仿宋"/>
          <w:color w:val="auto"/>
          <w:sz w:val="24"/>
          <w:szCs w:val="24"/>
          <w:highlight w:val="none"/>
          <w:u w:val="single"/>
          <w:lang w:val="en-US" w:eastAsia="zh-CN"/>
        </w:rPr>
        <w:t>磋商</w:t>
      </w:r>
      <w:r>
        <w:rPr>
          <w:rFonts w:hint="eastAsia" w:ascii="仿宋" w:hAnsi="仿宋" w:eastAsia="仿宋" w:cs="仿宋"/>
          <w:color w:val="auto"/>
          <w:sz w:val="24"/>
          <w:szCs w:val="24"/>
          <w:highlight w:val="none"/>
          <w:u w:val="single"/>
        </w:rPr>
        <w:t>文件（</w:t>
      </w:r>
      <w:r>
        <w:rPr>
          <w:rFonts w:hint="eastAsia" w:ascii="仿宋" w:hAnsi="仿宋" w:eastAsia="仿宋" w:cs="仿宋"/>
          <w:color w:val="auto"/>
          <w:sz w:val="24"/>
          <w:szCs w:val="24"/>
          <w:highlight w:val="none"/>
          <w:u w:val="single"/>
          <w:lang w:val="en-US" w:eastAsia="zh-CN"/>
        </w:rPr>
        <w:t>磋商</w:t>
      </w:r>
      <w:r>
        <w:rPr>
          <w:rFonts w:hint="eastAsia" w:ascii="仿宋" w:hAnsi="仿宋" w:eastAsia="仿宋" w:cs="仿宋"/>
          <w:color w:val="auto"/>
          <w:sz w:val="24"/>
          <w:szCs w:val="24"/>
          <w:highlight w:val="none"/>
          <w:u w:val="single"/>
        </w:rPr>
        <w:t>答疑文件）；5.</w:t>
      </w:r>
      <w:r>
        <w:rPr>
          <w:rFonts w:hint="eastAsia" w:ascii="仿宋" w:hAnsi="仿宋" w:eastAsia="仿宋" w:cs="仿宋"/>
          <w:color w:val="auto"/>
          <w:sz w:val="24"/>
          <w:szCs w:val="24"/>
          <w:highlight w:val="none"/>
          <w:u w:val="single"/>
          <w:lang w:val="en-US" w:eastAsia="zh-CN"/>
        </w:rPr>
        <w:t>成交</w:t>
      </w:r>
      <w:r>
        <w:rPr>
          <w:rFonts w:hint="eastAsia" w:ascii="仿宋" w:hAnsi="仿宋" w:eastAsia="仿宋" w:cs="仿宋"/>
          <w:color w:val="auto"/>
          <w:sz w:val="24"/>
          <w:szCs w:val="24"/>
          <w:highlight w:val="none"/>
          <w:u w:val="single"/>
        </w:rPr>
        <w:t>通知书；6.</w:t>
      </w:r>
      <w:r>
        <w:rPr>
          <w:rFonts w:hint="eastAsia" w:ascii="仿宋" w:hAnsi="仿宋" w:eastAsia="仿宋" w:cs="仿宋"/>
          <w:color w:val="auto"/>
          <w:sz w:val="24"/>
          <w:szCs w:val="24"/>
          <w:highlight w:val="none"/>
          <w:u w:val="single"/>
          <w:lang w:val="en-US" w:eastAsia="zh-CN"/>
        </w:rPr>
        <w:t>响应</w:t>
      </w:r>
      <w:r>
        <w:rPr>
          <w:rFonts w:hint="eastAsia" w:ascii="仿宋" w:hAnsi="仿宋" w:eastAsia="仿宋" w:cs="仿宋"/>
          <w:color w:val="auto"/>
          <w:sz w:val="24"/>
          <w:szCs w:val="24"/>
          <w:highlight w:val="none"/>
          <w:u w:val="single"/>
        </w:rPr>
        <w:t>文件。</w:t>
      </w:r>
    </w:p>
    <w:p w14:paraId="0270A01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联络</w:t>
      </w:r>
    </w:p>
    <w:p w14:paraId="35BAE894">
      <w:pPr>
        <w:spacing w:line="48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1.6.1 发包人和设计人应当在</w:t>
      </w:r>
      <w:r>
        <w:rPr>
          <w:rFonts w:hint="eastAsia" w:ascii="仿宋" w:hAnsi="仿宋" w:eastAsia="仿宋" w:cs="仿宋"/>
          <w:color w:val="auto"/>
          <w:kern w:val="0"/>
          <w:sz w:val="24"/>
          <w:szCs w:val="24"/>
          <w:highlight w:val="none"/>
          <w:u w:val="single"/>
        </w:rPr>
        <w:t xml:space="preserve"> 3 </w:t>
      </w:r>
      <w:r>
        <w:rPr>
          <w:rFonts w:hint="eastAsia" w:ascii="仿宋" w:hAnsi="仿宋" w:eastAsia="仿宋" w:cs="仿宋"/>
          <w:color w:val="auto"/>
          <w:kern w:val="0"/>
          <w:sz w:val="24"/>
          <w:szCs w:val="24"/>
          <w:highlight w:val="none"/>
        </w:rPr>
        <w:t>天内将与合同有关的通知、批准、证明、证书、指示、指令、要求、请求、同意、确定和决定等书面函件送达对方当事人。</w:t>
      </w:r>
    </w:p>
    <w:p w14:paraId="5E793528">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保密</w:t>
      </w:r>
    </w:p>
    <w:p w14:paraId="6AF923A2">
      <w:pPr>
        <w:spacing w:line="48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保密期限：</w:t>
      </w:r>
      <w:r>
        <w:rPr>
          <w:rFonts w:hint="eastAsia" w:ascii="仿宋" w:hAnsi="仿宋" w:eastAsia="仿宋" w:cs="仿宋"/>
          <w:color w:val="auto"/>
          <w:kern w:val="0"/>
          <w:sz w:val="24"/>
          <w:szCs w:val="24"/>
          <w:highlight w:val="none"/>
          <w:u w:val="single"/>
        </w:rPr>
        <w:t xml:space="preserve">按设计使用年限 </w:t>
      </w:r>
      <w:r>
        <w:rPr>
          <w:rFonts w:hint="eastAsia" w:ascii="仿宋" w:hAnsi="仿宋" w:eastAsia="仿宋" w:cs="仿宋"/>
          <w:color w:val="auto"/>
          <w:kern w:val="0"/>
          <w:sz w:val="24"/>
          <w:szCs w:val="24"/>
          <w:highlight w:val="none"/>
        </w:rPr>
        <w:t>。</w:t>
      </w:r>
    </w:p>
    <w:p w14:paraId="72D8F177">
      <w:pPr>
        <w:keepNext/>
        <w:keepLines/>
        <w:spacing w:line="480" w:lineRule="exact"/>
        <w:jc w:val="left"/>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 发包人</w:t>
      </w:r>
    </w:p>
    <w:p w14:paraId="07B44690">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发包人一般义务</w:t>
      </w:r>
    </w:p>
    <w:p w14:paraId="2A03BE2F">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发包人其它义务：</w:t>
      </w:r>
    </w:p>
    <w:p w14:paraId="6CA3C991">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kern w:val="0"/>
          <w:sz w:val="24"/>
          <w:szCs w:val="24"/>
          <w:highlight w:val="none"/>
          <w:u w:val="single"/>
        </w:rPr>
        <w:t>①发包人在规定的时间内向设计人提交基础资料及文件，并对其完整性、正确性及时限负责。发包人不得要求设计人违反国家有关标准进行设计</w:t>
      </w:r>
      <w:r>
        <w:rPr>
          <w:rFonts w:hint="eastAsia" w:ascii="仿宋" w:hAnsi="仿宋" w:eastAsia="仿宋" w:cs="仿宋"/>
          <w:color w:val="auto"/>
          <w:sz w:val="24"/>
          <w:szCs w:val="24"/>
          <w:highlight w:val="none"/>
        </w:rPr>
        <w:t>。</w:t>
      </w:r>
    </w:p>
    <w:p w14:paraId="6278BE3A">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kern w:val="0"/>
          <w:sz w:val="24"/>
          <w:szCs w:val="24"/>
          <w:highlight w:val="none"/>
          <w:u w:val="single"/>
        </w:rPr>
        <w:t>②发包人应按合同约定的金额和时间向设计人支付设计费</w:t>
      </w:r>
      <w:r>
        <w:rPr>
          <w:rFonts w:hint="eastAsia" w:ascii="仿宋" w:hAnsi="仿宋" w:eastAsia="仿宋" w:cs="仿宋"/>
          <w:color w:val="auto"/>
          <w:sz w:val="24"/>
          <w:szCs w:val="24"/>
          <w:highlight w:val="none"/>
        </w:rPr>
        <w:t>。</w:t>
      </w:r>
    </w:p>
    <w:p w14:paraId="4D26AF54">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kern w:val="0"/>
          <w:sz w:val="24"/>
          <w:szCs w:val="24"/>
          <w:highlight w:val="none"/>
          <w:u w:val="single"/>
        </w:rPr>
        <w:t>③发包人应保护设计人的响应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r>
        <w:rPr>
          <w:rFonts w:hint="eastAsia" w:ascii="仿宋" w:hAnsi="仿宋" w:eastAsia="仿宋" w:cs="仿宋"/>
          <w:color w:val="auto"/>
          <w:sz w:val="24"/>
          <w:szCs w:val="24"/>
          <w:highlight w:val="none"/>
        </w:rPr>
        <w:t>。</w:t>
      </w:r>
    </w:p>
    <w:p w14:paraId="602117CF">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发包人代表</w:t>
      </w:r>
    </w:p>
    <w:p w14:paraId="709B486C">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发包人代表</w:t>
      </w:r>
    </w:p>
    <w:p w14:paraId="10364A7A">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0DD3EBBC">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60754B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发包人对发包人代表的授权范围如下：</w:t>
      </w:r>
      <w:r>
        <w:rPr>
          <w:rFonts w:hint="eastAsia" w:ascii="仿宋" w:hAnsi="仿宋" w:eastAsia="仿宋" w:cs="仿宋"/>
          <w:color w:val="auto"/>
          <w:sz w:val="24"/>
          <w:szCs w:val="24"/>
          <w:highlight w:val="none"/>
          <w:u w:val="single"/>
        </w:rPr>
        <w:t>代表发包人做好全过程协调、监督等管理工作，负责处理合同履行过程中与发包人有关的具体事宜</w:t>
      </w:r>
      <w:r>
        <w:rPr>
          <w:rFonts w:hint="eastAsia" w:ascii="仿宋" w:hAnsi="仿宋" w:eastAsia="仿宋" w:cs="仿宋"/>
          <w:color w:val="auto"/>
          <w:sz w:val="24"/>
          <w:szCs w:val="24"/>
          <w:highlight w:val="none"/>
        </w:rPr>
        <w:t>。</w:t>
      </w:r>
    </w:p>
    <w:p w14:paraId="324A3DB6">
      <w:pPr>
        <w:autoSpaceDE w:val="0"/>
        <w:autoSpaceDN w:val="0"/>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发包人更换发包人代表的，应当提前</w:t>
      </w:r>
      <w:r>
        <w:rPr>
          <w:rFonts w:hint="eastAsia" w:ascii="仿宋" w:hAnsi="仿宋" w:eastAsia="仿宋" w:cs="仿宋"/>
          <w:color w:val="auto"/>
          <w:sz w:val="24"/>
          <w:szCs w:val="24"/>
          <w:highlight w:val="none"/>
          <w:u w:val="single"/>
        </w:rPr>
        <w:t xml:space="preserve"> 7 </w:t>
      </w:r>
      <w:r>
        <w:rPr>
          <w:rFonts w:hint="eastAsia" w:ascii="仿宋" w:hAnsi="仿宋" w:eastAsia="仿宋" w:cs="仿宋"/>
          <w:color w:val="auto"/>
          <w:sz w:val="24"/>
          <w:szCs w:val="24"/>
          <w:highlight w:val="none"/>
        </w:rPr>
        <w:t>天书面通知设计人。</w:t>
      </w:r>
    </w:p>
    <w:p w14:paraId="652E364C">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发包人决定</w:t>
      </w:r>
    </w:p>
    <w:p w14:paraId="38E5F0E1">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 发包人应在</w:t>
      </w:r>
      <w:r>
        <w:rPr>
          <w:rFonts w:hint="eastAsia" w:ascii="仿宋" w:hAnsi="仿宋" w:eastAsia="仿宋" w:cs="仿宋"/>
          <w:color w:val="auto"/>
          <w:sz w:val="24"/>
          <w:szCs w:val="24"/>
          <w:highlight w:val="none"/>
          <w:u w:val="single"/>
        </w:rPr>
        <w:t xml:space="preserve"> 7 </w:t>
      </w:r>
      <w:r>
        <w:rPr>
          <w:rFonts w:hint="eastAsia" w:ascii="仿宋" w:hAnsi="仿宋" w:eastAsia="仿宋" w:cs="仿宋"/>
          <w:color w:val="auto"/>
          <w:sz w:val="24"/>
          <w:szCs w:val="24"/>
          <w:highlight w:val="none"/>
        </w:rPr>
        <w:t>天内对设计人书面提出的事项作出书面决定。</w:t>
      </w:r>
    </w:p>
    <w:p w14:paraId="6856B776">
      <w:pPr>
        <w:keepNext/>
        <w:keepLines/>
        <w:spacing w:line="480" w:lineRule="exact"/>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 设计人</w:t>
      </w:r>
    </w:p>
    <w:p w14:paraId="61C90DE5">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设计人一般义务</w:t>
      </w:r>
    </w:p>
    <w:p w14:paraId="7926F6D6">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 设计人</w:t>
      </w:r>
      <w:r>
        <w:rPr>
          <w:rFonts w:hint="eastAsia" w:ascii="仿宋" w:hAnsi="仿宋" w:eastAsia="仿宋" w:cs="仿宋"/>
          <w:color w:val="auto"/>
          <w:sz w:val="24"/>
          <w:szCs w:val="24"/>
          <w:highlight w:val="none"/>
          <w:u w:val="single"/>
        </w:rPr>
        <w:t xml:space="preserve"> 需 </w:t>
      </w:r>
      <w:r>
        <w:rPr>
          <w:rFonts w:hint="eastAsia" w:ascii="仿宋" w:hAnsi="仿宋" w:eastAsia="仿宋" w:cs="仿宋"/>
          <w:color w:val="auto"/>
          <w:kern w:val="0"/>
          <w:sz w:val="24"/>
          <w:szCs w:val="24"/>
          <w:highlight w:val="none"/>
        </w:rPr>
        <w:t>配合发包人办理有关许可、批准或备案手续。</w:t>
      </w:r>
    </w:p>
    <w:p w14:paraId="66D8581E">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3.1.3 设计人其他义务：</w:t>
      </w:r>
    </w:p>
    <w:p w14:paraId="14B951CA">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设计人责任：</w:t>
      </w:r>
    </w:p>
    <w:p w14:paraId="24837286">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（1）基准日期：招标发包的工程设计以投标截止日前28天的日期为基准日期，直接发包的工程设计以合同签订日前28天的日期为基准日期。</w:t>
      </w:r>
    </w:p>
    <w:p w14:paraId="34494E97">
      <w:pPr>
        <w:numPr>
          <w:ilvl w:val="0"/>
          <w:numId w:val="0"/>
        </w:numPr>
        <w:spacing w:line="480" w:lineRule="exact"/>
        <w:ind w:left="420" w:firstLine="0" w:firstLineChars="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（2） </w:t>
      </w:r>
      <w:r>
        <w:rPr>
          <w:rFonts w:hint="eastAsia" w:ascii="仿宋" w:hAnsi="仿宋" w:eastAsia="仿宋" w:cs="仿宋"/>
          <w:color w:val="auto"/>
          <w:sz w:val="24"/>
          <w:szCs w:val="24"/>
          <w:highlight w:val="none"/>
          <w:lang w:eastAsia="zh-CN"/>
        </w:rPr>
        <w:t xml:space="preserve"> 除合同另有约定外，设计人完成设计工作所应遵守的法律以及技术标准，均应视为在基准日期适用的版本。基准日期之后，前述版本发生重大变化，或者有新的法律以及技术标准实施的，设计人</w:t>
      </w:r>
      <w:r>
        <w:rPr>
          <w:rFonts w:hint="eastAsia" w:ascii="仿宋" w:hAnsi="仿宋" w:eastAsia="仿宋" w:cs="仿宋"/>
          <w:color w:val="auto"/>
          <w:sz w:val="24"/>
          <w:szCs w:val="24"/>
          <w:highlight w:val="none"/>
          <w:lang w:val="en-US" w:eastAsia="zh-CN"/>
        </w:rPr>
        <w:t>在规范已发布未推行前提前告知发包人，</w:t>
      </w:r>
      <w:r>
        <w:rPr>
          <w:rFonts w:hint="eastAsia" w:ascii="仿宋" w:hAnsi="仿宋" w:eastAsia="仿宋" w:cs="仿宋"/>
          <w:color w:val="auto"/>
          <w:sz w:val="24"/>
          <w:szCs w:val="24"/>
          <w:highlight w:val="none"/>
          <w:lang w:eastAsia="zh-CN"/>
        </w:rPr>
        <w:t>应就推荐性标准向发包人提出遵守新标准的建议，对强制性的规定或标准应当遵照执行。</w:t>
      </w:r>
      <w:r>
        <w:rPr>
          <w:rFonts w:hint="eastAsia" w:ascii="仿宋" w:hAnsi="仿宋" w:eastAsia="仿宋" w:cs="仿宋"/>
          <w:color w:val="auto"/>
          <w:sz w:val="24"/>
          <w:szCs w:val="24"/>
          <w:highlight w:val="none"/>
          <w:lang w:val="en-US" w:eastAsia="zh-CN"/>
        </w:rPr>
        <w:t>此部分变更包含在报价中，工期执行18.（10）条。</w:t>
      </w:r>
    </w:p>
    <w:p w14:paraId="1AD2DA22">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（3）设计合理使用年限为  50  年。</w:t>
      </w:r>
    </w:p>
    <w:p w14:paraId="774428AA">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lang w:val="en-US" w:eastAsia="zh-CN"/>
        </w:rPr>
        <w:t>（4）合同签订后20天内完成效果图</w:t>
      </w:r>
      <w:r>
        <w:rPr>
          <w:rFonts w:hint="eastAsia" w:ascii="仿宋" w:hAnsi="仿宋" w:eastAsia="仿宋" w:cs="仿宋"/>
          <w:color w:val="auto"/>
          <w:sz w:val="22"/>
          <w:szCs w:val="22"/>
          <w:highlight w:val="none"/>
          <w:lang w:val="en-US" w:eastAsia="zh-CN"/>
        </w:rPr>
        <w:t>（外立面、门厅、电梯厅、宿舍、通道、卫生间等）</w:t>
      </w:r>
      <w:r>
        <w:rPr>
          <w:rFonts w:hint="eastAsia" w:ascii="仿宋" w:hAnsi="仿宋" w:eastAsia="仿宋" w:cs="仿宋"/>
          <w:color w:val="auto"/>
          <w:sz w:val="24"/>
          <w:szCs w:val="24"/>
          <w:highlight w:val="none"/>
          <w:u w:val="single"/>
          <w:lang w:val="en-US" w:eastAsia="zh-CN"/>
        </w:rPr>
        <w:t>，发包人下发施工图设计开始通知之日起20天完成施工图设计并提交全专业施工图设计成果。如发包人未及时按2.1.3向设计人提交有关资料，或者发包人对方案提出重大调整，则成果提交日期另行协商。工期描述为设计人工作时间，不包括发包人、相关单位审查、修改时间，此部分按违约责任条款处罚。</w:t>
      </w:r>
      <w:r>
        <w:rPr>
          <w:rFonts w:hint="eastAsia" w:ascii="仿宋" w:hAnsi="仿宋" w:eastAsia="仿宋" w:cs="仿宋"/>
          <w:color w:val="auto"/>
          <w:sz w:val="24"/>
          <w:szCs w:val="24"/>
          <w:highlight w:val="none"/>
          <w:u w:val="single"/>
        </w:rPr>
        <w:t>（5）设计人交付设计资料及文件后，按规定参加有关的设计审查，并根据审查结论负责对不超出原定范围的内容做必要调整补充。</w:t>
      </w:r>
    </w:p>
    <w:p w14:paraId="0CD8FCDE">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（6）设计人应当提供设计技术交底、解决施工中设计技术问题和提供竣工验收服务。发包人要求设计人派专人长期驻施工现场进行配合与解决有关问题时，双方应另行签订补充协议或技术咨询服务合同。</w:t>
      </w:r>
    </w:p>
    <w:p w14:paraId="7B6994E8">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（7） 设计人应选派符合发包人要求的设计人员，更换设计人员的应提前征得发包人的书面同意。对离职、调离工作岗位或其他合理原因需更换设计人员的，设计人应保证更换后的人员不低于最初选定的设计人员的素质和专业水平。</w:t>
      </w:r>
    </w:p>
    <w:p w14:paraId="1C827455">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8）设计人负责投保年度工程设计责任保险，按时足额缴纳保费，及时向保险公司索赔，承担由于设计人的疏忽或过失而引发的工程质量事故所造成的建设工程本身的物质损失以及第三者人身伤亡、财产损失或费用的赔偿责任。</w:t>
      </w:r>
    </w:p>
    <w:p w14:paraId="779BFDA4">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（9）设计人员需主动提前对接图审单位、咸阳市行政审批局、咸阳市住建局、咸阳市墙改办、咸阳市人防办及其他相关单位，确保设计条件满足政府要求。因对接问题导致图纸返工由设计单位承担延误责任。</w:t>
      </w:r>
    </w:p>
    <w:p w14:paraId="365E7F7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项目负责人</w:t>
      </w:r>
    </w:p>
    <w:p w14:paraId="624D51BF">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 xml:space="preserve">3.2.1 </w:t>
      </w:r>
      <w:r>
        <w:rPr>
          <w:rFonts w:hint="eastAsia" w:ascii="仿宋" w:hAnsi="仿宋" w:eastAsia="仿宋" w:cs="仿宋"/>
          <w:color w:val="auto"/>
          <w:sz w:val="24"/>
          <w:szCs w:val="24"/>
          <w:highlight w:val="none"/>
        </w:rPr>
        <w:t>项目负责人</w:t>
      </w:r>
    </w:p>
    <w:p w14:paraId="4B45F1D7">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555B9CB2">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执业资格及等级：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6973F77">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证书号：</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636A9A29">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2A67FBDA">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设计人对项目负责人的授权范围如下：</w:t>
      </w:r>
      <w:r>
        <w:rPr>
          <w:rFonts w:hint="eastAsia" w:ascii="仿宋" w:hAnsi="仿宋" w:eastAsia="仿宋" w:cs="仿宋"/>
          <w:color w:val="auto"/>
          <w:sz w:val="24"/>
          <w:szCs w:val="24"/>
          <w:highlight w:val="none"/>
          <w:u w:val="single"/>
        </w:rPr>
        <w:t>主持本项目设计全过程的质量控制、进度安排和各专业之前的协调沟通等与该项目有关的所有事宜。</w:t>
      </w:r>
    </w:p>
    <w:p w14:paraId="7235A93E">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3.2.2 设计人更换项目负责人的，应提前</w:t>
      </w:r>
      <w:r>
        <w:rPr>
          <w:rFonts w:hint="eastAsia" w:ascii="仿宋" w:hAnsi="仿宋" w:eastAsia="仿宋" w:cs="仿宋"/>
          <w:color w:val="auto"/>
          <w:sz w:val="24"/>
          <w:szCs w:val="24"/>
          <w:highlight w:val="none"/>
          <w:u w:val="single"/>
        </w:rPr>
        <w:t xml:space="preserve"> 7  </w:t>
      </w:r>
      <w:r>
        <w:rPr>
          <w:rFonts w:hint="eastAsia" w:ascii="仿宋" w:hAnsi="仿宋" w:eastAsia="仿宋" w:cs="仿宋"/>
          <w:color w:val="auto"/>
          <w:sz w:val="24"/>
          <w:szCs w:val="24"/>
          <w:highlight w:val="none"/>
        </w:rPr>
        <w:t>天书面通知发包人。</w:t>
      </w:r>
    </w:p>
    <w:p w14:paraId="0FAAA191">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设计人擅自更换项目负责人的违约责任：</w:t>
      </w:r>
      <w:r>
        <w:rPr>
          <w:rFonts w:hint="eastAsia" w:ascii="仿宋" w:hAnsi="仿宋" w:eastAsia="仿宋" w:cs="仿宋"/>
          <w:color w:val="auto"/>
          <w:sz w:val="24"/>
          <w:szCs w:val="24"/>
          <w:highlight w:val="none"/>
          <w:u w:val="single"/>
        </w:rPr>
        <w:t>由设计人支付违约金壹拾万元整；情节严重的，发包人有权解除合同，设计人承担违约责任</w:t>
      </w:r>
      <w:r>
        <w:rPr>
          <w:rFonts w:hint="eastAsia" w:ascii="仿宋" w:hAnsi="仿宋" w:eastAsia="仿宋" w:cs="仿宋"/>
          <w:color w:val="auto"/>
          <w:sz w:val="24"/>
          <w:szCs w:val="24"/>
          <w:highlight w:val="none"/>
        </w:rPr>
        <w:t>。</w:t>
      </w:r>
    </w:p>
    <w:p w14:paraId="2004FCB0">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3.2.3 设计人应在收到书面更换通知后</w:t>
      </w:r>
      <w:r>
        <w:rPr>
          <w:rFonts w:hint="eastAsia" w:ascii="仿宋" w:hAnsi="仿宋" w:eastAsia="仿宋" w:cs="仿宋"/>
          <w:color w:val="auto"/>
          <w:sz w:val="24"/>
          <w:szCs w:val="24"/>
          <w:highlight w:val="none"/>
          <w:u w:val="single"/>
        </w:rPr>
        <w:t xml:space="preserve">  7  </w:t>
      </w:r>
      <w:r>
        <w:rPr>
          <w:rFonts w:hint="eastAsia" w:ascii="仿宋" w:hAnsi="仿宋" w:eastAsia="仿宋" w:cs="仿宋"/>
          <w:color w:val="auto"/>
          <w:sz w:val="24"/>
          <w:szCs w:val="24"/>
          <w:highlight w:val="none"/>
        </w:rPr>
        <w:t>天内更换项目负责人。</w:t>
      </w:r>
    </w:p>
    <w:p w14:paraId="7A5EAA93">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设计人无正当理由拒绝更换项目负责人的违约责任：</w:t>
      </w:r>
      <w:r>
        <w:rPr>
          <w:rFonts w:hint="eastAsia" w:ascii="仿宋" w:hAnsi="仿宋" w:eastAsia="仿宋" w:cs="仿宋"/>
          <w:color w:val="auto"/>
          <w:sz w:val="24"/>
          <w:szCs w:val="24"/>
          <w:highlight w:val="none"/>
          <w:u w:val="single"/>
        </w:rPr>
        <w:t>情节严重的，发包人有权解除合同，设计人承担违约责任</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（因设计人项目负责人不称职，发包人要求调换的设计人必须在7天内调换，未及时调换的，视为设计人违约，扣除设计费1</w:t>
      </w:r>
      <w:r>
        <w:rPr>
          <w:rFonts w:hint="eastAsia" w:ascii="仿宋" w:hAnsi="仿宋" w:eastAsia="仿宋" w:cs="仿宋"/>
          <w:color w:val="auto"/>
          <w:sz w:val="24"/>
          <w:szCs w:val="24"/>
          <w:highlight w:val="none"/>
          <w:u w:val="single"/>
          <w:lang w:val="en-US" w:eastAsia="zh-CN"/>
        </w:rPr>
        <w:t>0000元</w:t>
      </w:r>
      <w:r>
        <w:rPr>
          <w:rFonts w:hint="eastAsia" w:ascii="仿宋" w:hAnsi="仿宋" w:eastAsia="仿宋" w:cs="仿宋"/>
          <w:color w:val="auto"/>
          <w:sz w:val="24"/>
          <w:szCs w:val="24"/>
          <w:highlight w:val="none"/>
          <w:u w:val="single"/>
        </w:rPr>
        <w:t>人民币/人•次，且设计 期限不予延长，所造成的经济损失及法律责任由设计人全部承担。具体以发包人实际要求为</w:t>
      </w:r>
      <w:r>
        <w:rPr>
          <w:rFonts w:hint="eastAsia" w:ascii="仿宋" w:hAnsi="仿宋" w:eastAsia="仿宋" w:cs="仿宋"/>
          <w:color w:val="auto"/>
          <w:spacing w:val="7"/>
          <w:sz w:val="24"/>
          <w:szCs w:val="24"/>
          <w:highlight w:val="none"/>
          <w:u w:val="single"/>
        </w:rPr>
        <w:t>准。）</w:t>
      </w:r>
    </w:p>
    <w:p w14:paraId="1CC2C3EA">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设计人员</w:t>
      </w:r>
    </w:p>
    <w:p w14:paraId="76E29AE2">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3.3.1 设计人提交项目管理机构及人员安排报告的期限：</w:t>
      </w:r>
      <w:r>
        <w:rPr>
          <w:rFonts w:hint="eastAsia" w:ascii="仿宋" w:hAnsi="仿宋" w:eastAsia="仿宋" w:cs="仿宋"/>
          <w:color w:val="auto"/>
          <w:sz w:val="24"/>
          <w:szCs w:val="24"/>
          <w:highlight w:val="none"/>
          <w:u w:val="single"/>
        </w:rPr>
        <w:t>设计人应在接到开始设计通知后7天内</w:t>
      </w:r>
      <w:r>
        <w:rPr>
          <w:rFonts w:hint="eastAsia" w:ascii="仿宋" w:hAnsi="仿宋" w:eastAsia="仿宋" w:cs="仿宋"/>
          <w:color w:val="auto"/>
          <w:sz w:val="24"/>
          <w:szCs w:val="24"/>
          <w:highlight w:val="none"/>
        </w:rPr>
        <w:t>。</w:t>
      </w:r>
    </w:p>
    <w:p w14:paraId="6E5CB6C0">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3.3.3 设计人无正当理由拒绝撤换主要设计人员的违约责任：</w:t>
      </w:r>
      <w:r>
        <w:rPr>
          <w:rFonts w:hint="eastAsia" w:ascii="仿宋" w:hAnsi="仿宋" w:eastAsia="仿宋" w:cs="仿宋"/>
          <w:color w:val="auto"/>
          <w:sz w:val="24"/>
          <w:szCs w:val="24"/>
          <w:highlight w:val="none"/>
          <w:u w:val="single"/>
        </w:rPr>
        <w:t>每发生一次处以每人每次人民币</w:t>
      </w:r>
      <w:r>
        <w:rPr>
          <w:rFonts w:hint="eastAsia" w:ascii="仿宋" w:hAnsi="仿宋" w:eastAsia="仿宋" w:cs="仿宋"/>
          <w:color w:val="auto"/>
          <w:sz w:val="24"/>
          <w:szCs w:val="24"/>
          <w:highlight w:val="none"/>
          <w:u w:val="single"/>
          <w:lang w:val="en-US" w:eastAsia="zh-CN"/>
        </w:rPr>
        <w:t>10000</w:t>
      </w:r>
      <w:r>
        <w:rPr>
          <w:rFonts w:hint="eastAsia" w:ascii="仿宋" w:hAnsi="仿宋" w:eastAsia="仿宋" w:cs="仿宋"/>
          <w:color w:val="auto"/>
          <w:sz w:val="24"/>
          <w:szCs w:val="24"/>
          <w:highlight w:val="none"/>
          <w:u w:val="single"/>
        </w:rPr>
        <w:t>元的违约金</w:t>
      </w:r>
      <w:r>
        <w:rPr>
          <w:rFonts w:hint="eastAsia" w:ascii="仿宋" w:hAnsi="仿宋" w:eastAsia="仿宋" w:cs="仿宋"/>
          <w:color w:val="auto"/>
          <w:sz w:val="24"/>
          <w:szCs w:val="24"/>
          <w:highlight w:val="none"/>
        </w:rPr>
        <w:t>。</w:t>
      </w:r>
    </w:p>
    <w:p w14:paraId="75DBDE1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设计分包</w:t>
      </w:r>
    </w:p>
    <w:p w14:paraId="0EE4A37A">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3.4.1 设计分包的一般约定</w:t>
      </w:r>
    </w:p>
    <w:p w14:paraId="746047EC">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禁止设计分包的工程包括：</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2CB42950">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主体结构、关键性工作的范围：</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6A1B037">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3.4.2设计分包的确定</w:t>
      </w:r>
    </w:p>
    <w:p w14:paraId="53F1F2C4">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允许分包的专业工程包括：</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03FB194E">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其他关于分包的约定：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53067F7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3.4.3 设计人向发包人提交有关分包人资料包括：</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3B5569BA">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3.4.4 分包工程设计费支付方式：</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56C5C874">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 联合体</w:t>
      </w:r>
    </w:p>
    <w:p w14:paraId="7CA7F9B5">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3.5.4 发包人向联合体支付设计费用的方式：</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5323805A">
      <w:pPr>
        <w:keepNext/>
        <w:keepLines/>
        <w:spacing w:line="480" w:lineRule="exact"/>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 工程设计要求</w:t>
      </w:r>
    </w:p>
    <w:p w14:paraId="13FFD03E">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工程设计一般要求</w:t>
      </w:r>
    </w:p>
    <w:p w14:paraId="57E4A24E">
      <w:pPr>
        <w:spacing w:line="480" w:lineRule="exact"/>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5.1.2.1 工程设计的特殊标准或要求：</w:t>
      </w:r>
      <w:r>
        <w:rPr>
          <w:rFonts w:hint="eastAsia" w:ascii="仿宋" w:hAnsi="仿宋" w:eastAsia="仿宋" w:cs="仿宋"/>
          <w:color w:val="auto"/>
          <w:sz w:val="24"/>
          <w:szCs w:val="24"/>
          <w:highlight w:val="none"/>
          <w:u w:val="single"/>
        </w:rPr>
        <w:t>设计应遵守项目所在地相关的技术标准及规范</w:t>
      </w:r>
      <w:r>
        <w:rPr>
          <w:rFonts w:hint="eastAsia" w:ascii="仿宋" w:hAnsi="仿宋" w:eastAsia="仿宋" w:cs="仿宋"/>
          <w:color w:val="auto"/>
          <w:sz w:val="24"/>
          <w:szCs w:val="24"/>
          <w:highlight w:val="none"/>
        </w:rPr>
        <w:t>。</w:t>
      </w:r>
    </w:p>
    <w:p w14:paraId="7933649F">
      <w:pPr>
        <w:spacing w:line="480" w:lineRule="exact"/>
        <w:ind w:firstLine="504" w:firstLineChars="21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5.1.2.2 工程设计适用的技术标准：</w:t>
      </w:r>
      <w:r>
        <w:rPr>
          <w:rFonts w:hint="eastAsia" w:ascii="仿宋" w:hAnsi="仿宋" w:eastAsia="仿宋" w:cs="仿宋"/>
          <w:color w:val="auto"/>
          <w:sz w:val="24"/>
          <w:szCs w:val="24"/>
          <w:highlight w:val="none"/>
          <w:u w:val="single"/>
        </w:rPr>
        <w:t>按现行国家、省市有关技术规范执行</w:t>
      </w:r>
      <w:r>
        <w:rPr>
          <w:rFonts w:hint="eastAsia" w:ascii="仿宋" w:hAnsi="仿宋" w:eastAsia="仿宋" w:cs="仿宋"/>
          <w:color w:val="auto"/>
          <w:sz w:val="24"/>
          <w:szCs w:val="24"/>
          <w:highlight w:val="none"/>
        </w:rPr>
        <w:t>。</w:t>
      </w:r>
    </w:p>
    <w:p w14:paraId="43A8233E">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工程设计文件的要求</w:t>
      </w:r>
    </w:p>
    <w:p w14:paraId="245CE88D">
      <w:pPr>
        <w:spacing w:line="480" w:lineRule="exact"/>
        <w:ind w:firstLine="480" w:firstLineChars="200"/>
        <w:jc w:val="lef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5.3.3 工程设计文件深度规定：</w:t>
      </w:r>
      <w:r>
        <w:rPr>
          <w:rFonts w:hint="eastAsia" w:ascii="仿宋" w:hAnsi="仿宋" w:eastAsia="仿宋" w:cs="仿宋"/>
          <w:color w:val="auto"/>
          <w:sz w:val="24"/>
          <w:szCs w:val="24"/>
          <w:highlight w:val="none"/>
          <w:u w:val="single"/>
        </w:rPr>
        <w:t>应符合建设部《建筑工程设计文件编制深度的规定》（2024）版及设计任务书的要求</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同时满足清单编制和发包人要求深度。</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不得以需二次深化设计、设置暂估价规避设计责任。所有二次深化设计内容和暂估价内容均需经甲方同意。</w:t>
      </w:r>
    </w:p>
    <w:p w14:paraId="1B5239B3">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5.3.5 工程的合理使用寿命年限：</w:t>
      </w:r>
      <w:r>
        <w:rPr>
          <w:rFonts w:hint="eastAsia" w:ascii="仿宋" w:hAnsi="仿宋" w:eastAsia="仿宋" w:cs="仿宋"/>
          <w:color w:val="auto"/>
          <w:sz w:val="24"/>
          <w:szCs w:val="24"/>
          <w:highlight w:val="none"/>
          <w:u w:val="single"/>
        </w:rPr>
        <w:t>符合国家相关法律、法规规定以及图纸设计使用年限</w:t>
      </w:r>
      <w:r>
        <w:rPr>
          <w:rFonts w:hint="eastAsia" w:ascii="仿宋" w:hAnsi="仿宋" w:eastAsia="仿宋" w:cs="仿宋"/>
          <w:color w:val="auto"/>
          <w:sz w:val="24"/>
          <w:szCs w:val="24"/>
          <w:highlight w:val="none"/>
        </w:rPr>
        <w:t>。</w:t>
      </w:r>
    </w:p>
    <w:p w14:paraId="3C7C3EA7">
      <w:pPr>
        <w:keepNext/>
        <w:keepLines/>
        <w:spacing w:line="480" w:lineRule="exact"/>
        <w:outlineLvl w:val="3"/>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 工程设计进度与周期</w:t>
      </w:r>
    </w:p>
    <w:p w14:paraId="057C501B">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 工程设计进度计划</w:t>
      </w:r>
    </w:p>
    <w:p w14:paraId="0D19E192">
      <w:pPr>
        <w:autoSpaceDE w:val="0"/>
        <w:autoSpaceDN w:val="0"/>
        <w:adjustRightInd w:val="0"/>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6.1.1 工程设计进度计划的编制</w:t>
      </w:r>
    </w:p>
    <w:p w14:paraId="34EF55A3">
      <w:pPr>
        <w:autoSpaceDE w:val="0"/>
        <w:autoSpaceDN w:val="0"/>
        <w:adjustRightInd w:val="0"/>
        <w:spacing w:line="480" w:lineRule="exact"/>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sz w:val="24"/>
          <w:szCs w:val="24"/>
          <w:highlight w:val="none"/>
        </w:rPr>
        <w:t>合</w:t>
      </w:r>
      <w:r>
        <w:rPr>
          <w:rFonts w:hint="eastAsia" w:ascii="仿宋" w:hAnsi="仿宋" w:eastAsia="仿宋" w:cs="仿宋"/>
          <w:color w:val="auto"/>
          <w:kern w:val="0"/>
          <w:sz w:val="24"/>
          <w:szCs w:val="24"/>
          <w:highlight w:val="none"/>
        </w:rPr>
        <w:t>同当事人约定的工程设计进度计划提交的时间：</w:t>
      </w:r>
      <w:r>
        <w:rPr>
          <w:rFonts w:hint="eastAsia" w:ascii="仿宋" w:hAnsi="仿宋" w:eastAsia="仿宋" w:cs="仿宋"/>
          <w:color w:val="auto"/>
          <w:sz w:val="24"/>
          <w:szCs w:val="24"/>
          <w:highlight w:val="none"/>
          <w:u w:val="single"/>
        </w:rPr>
        <w:t>合同签订后7日内，设计人根据</w:t>
      </w:r>
      <w:r>
        <w:rPr>
          <w:rFonts w:hint="eastAsia" w:ascii="仿宋" w:hAnsi="仿宋" w:eastAsia="仿宋" w:cs="仿宋"/>
          <w:color w:val="auto"/>
          <w:sz w:val="24"/>
          <w:szCs w:val="24"/>
          <w:highlight w:val="none"/>
          <w:u w:val="single"/>
          <w:lang w:val="en-US" w:eastAsia="zh-CN"/>
        </w:rPr>
        <w:t>磋商</w:t>
      </w:r>
      <w:r>
        <w:rPr>
          <w:rFonts w:hint="eastAsia" w:ascii="仿宋" w:hAnsi="仿宋" w:eastAsia="仿宋" w:cs="仿宋"/>
          <w:color w:val="auto"/>
          <w:sz w:val="24"/>
          <w:szCs w:val="24"/>
          <w:highlight w:val="none"/>
          <w:u w:val="single"/>
        </w:rPr>
        <w:t>文件规定的设计进度提交进度计划</w:t>
      </w:r>
      <w:r>
        <w:rPr>
          <w:rFonts w:hint="eastAsia" w:ascii="仿宋" w:hAnsi="仿宋" w:eastAsia="仿宋" w:cs="仿宋"/>
          <w:color w:val="auto"/>
          <w:sz w:val="24"/>
          <w:szCs w:val="24"/>
          <w:highlight w:val="none"/>
        </w:rPr>
        <w:t>。</w:t>
      </w:r>
    </w:p>
    <w:p w14:paraId="5CB51F83">
      <w:pPr>
        <w:autoSpaceDE w:val="0"/>
        <w:autoSpaceDN w:val="0"/>
        <w:adjustRightInd w:val="0"/>
        <w:spacing w:line="480" w:lineRule="exact"/>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合</w:t>
      </w:r>
      <w:r>
        <w:rPr>
          <w:rFonts w:hint="eastAsia" w:ascii="仿宋" w:hAnsi="仿宋" w:eastAsia="仿宋" w:cs="仿宋"/>
          <w:color w:val="auto"/>
          <w:kern w:val="0"/>
          <w:sz w:val="24"/>
          <w:szCs w:val="24"/>
          <w:highlight w:val="none"/>
        </w:rPr>
        <w:t>同当事人约定的工程设计进度计划应包括的内容：</w:t>
      </w:r>
      <w:r>
        <w:rPr>
          <w:rFonts w:hint="eastAsia" w:ascii="仿宋" w:hAnsi="仿宋" w:eastAsia="仿宋" w:cs="仿宋"/>
          <w:color w:val="auto"/>
          <w:sz w:val="24"/>
          <w:szCs w:val="24"/>
          <w:highlight w:val="none"/>
          <w:u w:val="single"/>
        </w:rPr>
        <w:t>详见附件3</w:t>
      </w:r>
      <w:r>
        <w:rPr>
          <w:rFonts w:hint="eastAsia" w:ascii="仿宋" w:hAnsi="仿宋" w:eastAsia="仿宋" w:cs="仿宋"/>
          <w:color w:val="auto"/>
          <w:sz w:val="24"/>
          <w:szCs w:val="24"/>
          <w:highlight w:val="none"/>
        </w:rPr>
        <w:t>。</w:t>
      </w:r>
    </w:p>
    <w:p w14:paraId="2B86C181">
      <w:pPr>
        <w:autoSpaceDE w:val="0"/>
        <w:autoSpaceDN w:val="0"/>
        <w:adjustRightInd w:val="0"/>
        <w:spacing w:line="480" w:lineRule="exact"/>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 xml:space="preserve">6.1.2 </w:t>
      </w:r>
      <w:r>
        <w:rPr>
          <w:rFonts w:hint="eastAsia" w:ascii="仿宋" w:hAnsi="仿宋" w:eastAsia="仿宋" w:cs="仿宋"/>
          <w:color w:val="auto"/>
          <w:kern w:val="0"/>
          <w:sz w:val="24"/>
          <w:szCs w:val="24"/>
          <w:highlight w:val="none"/>
        </w:rPr>
        <w:t>工程设计进度计划的修订</w:t>
      </w:r>
    </w:p>
    <w:p w14:paraId="6BBA2E54">
      <w:pPr>
        <w:autoSpaceDE w:val="0"/>
        <w:autoSpaceDN w:val="0"/>
        <w:adjustRightInd w:val="0"/>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发包人在收到工程设计进度计划后确认或提出修改意见的期限：</w:t>
      </w:r>
      <w:r>
        <w:rPr>
          <w:rFonts w:hint="eastAsia" w:ascii="仿宋" w:hAnsi="仿宋" w:eastAsia="仿宋" w:cs="仿宋"/>
          <w:color w:val="auto"/>
          <w:sz w:val="24"/>
          <w:szCs w:val="24"/>
          <w:highlight w:val="none"/>
          <w:u w:val="single"/>
        </w:rPr>
        <w:t>发包人应</w:t>
      </w:r>
      <w:r>
        <w:rPr>
          <w:rFonts w:hint="eastAsia" w:ascii="仿宋" w:hAnsi="仿宋" w:eastAsia="仿宋" w:cs="仿宋"/>
          <w:color w:val="auto"/>
          <w:kern w:val="0"/>
          <w:sz w:val="24"/>
          <w:szCs w:val="24"/>
          <w:highlight w:val="none"/>
          <w:u w:val="single"/>
        </w:rPr>
        <w:t>5天内完成审核和批准或提出修改意见</w:t>
      </w:r>
      <w:r>
        <w:rPr>
          <w:rFonts w:hint="eastAsia" w:ascii="仿宋" w:hAnsi="仿宋" w:eastAsia="仿宋" w:cs="仿宋"/>
          <w:color w:val="auto"/>
          <w:sz w:val="24"/>
          <w:szCs w:val="24"/>
          <w:highlight w:val="none"/>
        </w:rPr>
        <w:t>。</w:t>
      </w:r>
    </w:p>
    <w:p w14:paraId="60903CC2">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工程设计进度延误</w:t>
      </w:r>
    </w:p>
    <w:p w14:paraId="1877BC11">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6.3.1 </w:t>
      </w:r>
      <w:r>
        <w:rPr>
          <w:rFonts w:hint="eastAsia" w:ascii="仿宋" w:hAnsi="仿宋" w:eastAsia="仿宋" w:cs="仿宋"/>
          <w:color w:val="auto"/>
          <w:kern w:val="0"/>
          <w:sz w:val="24"/>
          <w:szCs w:val="24"/>
          <w:highlight w:val="none"/>
        </w:rPr>
        <w:t>因发包人原因导致工程设计进度延误</w:t>
      </w:r>
    </w:p>
    <w:p w14:paraId="447686A2">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（4）因发包人原因导致工程设计进度延误的其他情形：</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217C002">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设计人应在发生</w:t>
      </w:r>
      <w:r>
        <w:rPr>
          <w:rFonts w:hint="eastAsia" w:ascii="仿宋" w:hAnsi="仿宋" w:eastAsia="仿宋" w:cs="仿宋"/>
          <w:color w:val="auto"/>
          <w:kern w:val="0"/>
          <w:sz w:val="24"/>
          <w:szCs w:val="24"/>
          <w:highlight w:val="none"/>
        </w:rPr>
        <w:t>进度延误的情形</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u w:val="single"/>
        </w:rPr>
        <w:t xml:space="preserve"> 5 </w:t>
      </w:r>
      <w:r>
        <w:rPr>
          <w:rFonts w:hint="eastAsia" w:ascii="仿宋" w:hAnsi="仿宋" w:eastAsia="仿宋" w:cs="仿宋"/>
          <w:color w:val="auto"/>
          <w:sz w:val="24"/>
          <w:szCs w:val="24"/>
          <w:highlight w:val="none"/>
        </w:rPr>
        <w:t>天内向发包人发出要求延期的书面通知，在发生该情形后</w:t>
      </w:r>
      <w:r>
        <w:rPr>
          <w:rFonts w:hint="eastAsia" w:ascii="仿宋" w:hAnsi="仿宋" w:eastAsia="仿宋" w:cs="仿宋"/>
          <w:color w:val="auto"/>
          <w:sz w:val="24"/>
          <w:szCs w:val="24"/>
          <w:highlight w:val="none"/>
          <w:u w:val="single"/>
        </w:rPr>
        <w:t xml:space="preserve"> 10 </w:t>
      </w:r>
      <w:r>
        <w:rPr>
          <w:rFonts w:hint="eastAsia" w:ascii="仿宋" w:hAnsi="仿宋" w:eastAsia="仿宋" w:cs="仿宋"/>
          <w:color w:val="auto"/>
          <w:sz w:val="24"/>
          <w:szCs w:val="24"/>
          <w:highlight w:val="none"/>
        </w:rPr>
        <w:t>天内提交要求延期的详细说明。</w:t>
      </w:r>
    </w:p>
    <w:p w14:paraId="342DC752">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发包人收到设计人要求延期的详细说明后，应在</w:t>
      </w:r>
      <w:r>
        <w:rPr>
          <w:rFonts w:hint="eastAsia" w:ascii="仿宋" w:hAnsi="仿宋" w:eastAsia="仿宋" w:cs="仿宋"/>
          <w:color w:val="auto"/>
          <w:sz w:val="24"/>
          <w:szCs w:val="24"/>
          <w:highlight w:val="none"/>
          <w:u w:val="single"/>
        </w:rPr>
        <w:t xml:space="preserve"> 5 </w:t>
      </w:r>
      <w:r>
        <w:rPr>
          <w:rFonts w:hint="eastAsia" w:ascii="仿宋" w:hAnsi="仿宋" w:eastAsia="仿宋" w:cs="仿宋"/>
          <w:color w:val="auto"/>
          <w:sz w:val="24"/>
          <w:szCs w:val="24"/>
          <w:highlight w:val="none"/>
        </w:rPr>
        <w:t>天内进行审查并书面答复。</w:t>
      </w:r>
    </w:p>
    <w:p w14:paraId="5B447046">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 提前交付工程设计文件</w:t>
      </w:r>
    </w:p>
    <w:p w14:paraId="6B942550">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6.5.2 提前交付工程设计文件的奖励：</w:t>
      </w:r>
      <w:r>
        <w:rPr>
          <w:rFonts w:hint="eastAsia" w:ascii="仿宋" w:hAnsi="仿宋" w:eastAsia="仿宋" w:cs="仿宋"/>
          <w:color w:val="auto"/>
          <w:sz w:val="24"/>
          <w:szCs w:val="24"/>
          <w:highlight w:val="none"/>
          <w:u w:val="single"/>
        </w:rPr>
        <w:t>提前交付工程设计文件不予奖励</w:t>
      </w:r>
      <w:r>
        <w:rPr>
          <w:rFonts w:hint="eastAsia" w:ascii="仿宋" w:hAnsi="仿宋" w:eastAsia="仿宋" w:cs="仿宋"/>
          <w:color w:val="auto"/>
          <w:sz w:val="24"/>
          <w:szCs w:val="24"/>
          <w:highlight w:val="none"/>
        </w:rPr>
        <w:t>。</w:t>
      </w:r>
    </w:p>
    <w:p w14:paraId="2D685FE1">
      <w:pPr>
        <w:spacing w:line="480" w:lineRule="exact"/>
        <w:jc w:val="lef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7．</w:t>
      </w:r>
      <w:r>
        <w:rPr>
          <w:rFonts w:hint="eastAsia" w:ascii="仿宋" w:hAnsi="仿宋" w:eastAsia="仿宋" w:cs="仿宋"/>
          <w:color w:val="auto"/>
          <w:sz w:val="24"/>
          <w:szCs w:val="24"/>
          <w:highlight w:val="none"/>
        </w:rPr>
        <w:t>工程设计文件交付</w:t>
      </w:r>
    </w:p>
    <w:p w14:paraId="18331149">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工程设计文件交付的内容</w:t>
      </w:r>
    </w:p>
    <w:p w14:paraId="7A2AC920">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 发包人要求设计人提交电子版设计文件的具体形式为：</w:t>
      </w:r>
      <w:r>
        <w:rPr>
          <w:rFonts w:hint="eastAsia" w:ascii="仿宋" w:hAnsi="仿宋" w:eastAsia="仿宋" w:cs="仿宋"/>
          <w:color w:val="auto"/>
          <w:sz w:val="24"/>
          <w:szCs w:val="24"/>
          <w:highlight w:val="none"/>
          <w:u w:val="single"/>
        </w:rPr>
        <w:t>见</w:t>
      </w:r>
      <w:r>
        <w:rPr>
          <w:rFonts w:hint="eastAsia" w:ascii="仿宋" w:hAnsi="仿宋" w:eastAsia="仿宋" w:cs="仿宋"/>
          <w:color w:val="auto"/>
          <w:sz w:val="24"/>
          <w:szCs w:val="24"/>
          <w:highlight w:val="none"/>
          <w:u w:val="single"/>
          <w:lang w:val="en-US" w:eastAsia="zh-CN"/>
        </w:rPr>
        <w:t>第三章</w:t>
      </w:r>
      <w:r>
        <w:rPr>
          <w:rFonts w:hint="eastAsia" w:ascii="仿宋" w:hAnsi="仿宋" w:eastAsia="仿宋" w:cs="仿宋"/>
          <w:color w:val="auto"/>
          <w:sz w:val="24"/>
          <w:szCs w:val="24"/>
          <w:highlight w:val="none"/>
          <w:u w:val="single"/>
        </w:rPr>
        <w:t>:设计任务书要求</w:t>
      </w:r>
      <w:r>
        <w:rPr>
          <w:rFonts w:hint="eastAsia" w:ascii="仿宋" w:hAnsi="仿宋" w:eastAsia="仿宋" w:cs="仿宋"/>
          <w:color w:val="auto"/>
          <w:sz w:val="24"/>
          <w:szCs w:val="24"/>
          <w:highlight w:val="none"/>
        </w:rPr>
        <w:t>。</w:t>
      </w:r>
    </w:p>
    <w:p w14:paraId="5672C5E3">
      <w:pPr>
        <w:spacing w:line="48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 工程设计文件审查</w:t>
      </w:r>
    </w:p>
    <w:p w14:paraId="0C1E79A6">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发包人对设计人的设计文件审查期限不超过</w:t>
      </w:r>
      <w:r>
        <w:rPr>
          <w:rFonts w:hint="eastAsia" w:ascii="仿宋" w:hAnsi="仿宋" w:eastAsia="仿宋" w:cs="仿宋"/>
          <w:color w:val="auto"/>
          <w:sz w:val="24"/>
          <w:szCs w:val="24"/>
          <w:highlight w:val="none"/>
          <w:u w:val="single"/>
        </w:rPr>
        <w:t xml:space="preserve"> 15 </w:t>
      </w:r>
      <w:r>
        <w:rPr>
          <w:rFonts w:hint="eastAsia" w:ascii="仿宋" w:hAnsi="仿宋" w:eastAsia="仿宋" w:cs="仿宋"/>
          <w:color w:val="auto"/>
          <w:sz w:val="24"/>
          <w:szCs w:val="24"/>
          <w:highlight w:val="none"/>
        </w:rPr>
        <w:t>天。</w:t>
      </w:r>
    </w:p>
    <w:p w14:paraId="082D832A">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8.3 发包人应在审查同意设计人的工程设计文件后在</w:t>
      </w:r>
      <w:r>
        <w:rPr>
          <w:rFonts w:hint="eastAsia" w:ascii="仿宋" w:hAnsi="仿宋" w:eastAsia="仿宋" w:cs="仿宋"/>
          <w:color w:val="auto"/>
          <w:sz w:val="24"/>
          <w:szCs w:val="24"/>
          <w:highlight w:val="none"/>
          <w:u w:val="single"/>
        </w:rPr>
        <w:t xml:space="preserve"> 15 </w:t>
      </w:r>
      <w:r>
        <w:rPr>
          <w:rFonts w:hint="eastAsia" w:ascii="仿宋" w:hAnsi="仿宋" w:eastAsia="仿宋" w:cs="仿宋"/>
          <w:color w:val="auto"/>
          <w:sz w:val="24"/>
          <w:szCs w:val="24"/>
          <w:highlight w:val="none"/>
        </w:rPr>
        <w:t>天内，向政府有关部门报送工程设计文件。</w:t>
      </w:r>
    </w:p>
    <w:p w14:paraId="550D9C07">
      <w:pPr>
        <w:spacing w:line="480" w:lineRule="exact"/>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8.4 工程设计审查形式及时间安排：</w:t>
      </w:r>
      <w:r>
        <w:rPr>
          <w:rFonts w:hint="eastAsia" w:ascii="仿宋" w:hAnsi="仿宋" w:eastAsia="仿宋" w:cs="仿宋"/>
          <w:color w:val="auto"/>
          <w:sz w:val="24"/>
          <w:szCs w:val="24"/>
          <w:highlight w:val="none"/>
          <w:u w:val="single"/>
        </w:rPr>
        <w:t>根据项目要求，由发包人负责组织工程设计文件审查会议，设计人必须按时参加相关会议</w:t>
      </w:r>
      <w:r>
        <w:rPr>
          <w:rFonts w:hint="eastAsia" w:ascii="仿宋" w:hAnsi="仿宋" w:eastAsia="仿宋" w:cs="仿宋"/>
          <w:color w:val="auto"/>
          <w:sz w:val="24"/>
          <w:szCs w:val="24"/>
          <w:highlight w:val="none"/>
        </w:rPr>
        <w:t>。</w:t>
      </w:r>
    </w:p>
    <w:p w14:paraId="0627941C">
      <w:pPr>
        <w:spacing w:line="480" w:lineRule="exact"/>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 施工现场配合服务</w:t>
      </w:r>
    </w:p>
    <w:p w14:paraId="3769A84D">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发包人为设计人派赴现场的工作人员提供便利条件的内容包括：</w:t>
      </w:r>
      <w:r>
        <w:rPr>
          <w:rFonts w:hint="eastAsia" w:ascii="仿宋" w:hAnsi="仿宋" w:eastAsia="仿宋" w:cs="仿宋"/>
          <w:color w:val="auto"/>
          <w:sz w:val="24"/>
          <w:szCs w:val="24"/>
          <w:highlight w:val="none"/>
          <w:u w:val="single"/>
        </w:rPr>
        <w:t>安排交通及住宿,相应费用设计人自理</w:t>
      </w:r>
      <w:r>
        <w:rPr>
          <w:rFonts w:hint="eastAsia" w:ascii="仿宋" w:hAnsi="仿宋" w:eastAsia="仿宋" w:cs="仿宋"/>
          <w:color w:val="auto"/>
          <w:sz w:val="24"/>
          <w:szCs w:val="24"/>
          <w:highlight w:val="none"/>
        </w:rPr>
        <w:t>。</w:t>
      </w:r>
    </w:p>
    <w:p w14:paraId="6B6A594D">
      <w:pPr>
        <w:spacing w:line="480" w:lineRule="exact"/>
        <w:ind w:firstLine="484" w:firstLineChars="202"/>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设计人应当在交付施工图设计文件并经审查合格后，</w:t>
      </w:r>
      <w:r>
        <w:rPr>
          <w:rFonts w:hint="eastAsia" w:ascii="仿宋" w:hAnsi="仿宋" w:eastAsia="仿宋" w:cs="仿宋"/>
          <w:color w:val="auto"/>
          <w:sz w:val="24"/>
          <w:szCs w:val="24"/>
          <w:highlight w:val="none"/>
          <w:u w:val="single"/>
        </w:rPr>
        <w:t>在双方约定的</w:t>
      </w:r>
      <w:r>
        <w:rPr>
          <w:rFonts w:hint="eastAsia" w:ascii="仿宋" w:hAnsi="仿宋" w:eastAsia="仿宋" w:cs="仿宋"/>
          <w:color w:val="auto"/>
          <w:sz w:val="24"/>
          <w:szCs w:val="24"/>
          <w:highlight w:val="none"/>
        </w:rPr>
        <w:t>时间内提供施工现场配合服务。</w:t>
      </w:r>
    </w:p>
    <w:p w14:paraId="69F0DC2D">
      <w:pPr>
        <w:spacing w:line="48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合同价款与支付</w:t>
      </w:r>
    </w:p>
    <w:p w14:paraId="583B9844">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固定</w:t>
      </w:r>
      <w:r>
        <w:rPr>
          <w:rFonts w:hint="eastAsia" w:ascii="仿宋" w:hAnsi="仿宋" w:eastAsia="仿宋" w:cs="仿宋"/>
          <w:color w:val="auto"/>
          <w:sz w:val="24"/>
          <w:szCs w:val="24"/>
          <w:highlight w:val="none"/>
          <w:u w:val="single"/>
          <w:lang w:val="en-US" w:eastAsia="zh-CN"/>
        </w:rPr>
        <w:t>单价，暂定</w:t>
      </w:r>
      <w:r>
        <w:rPr>
          <w:rFonts w:hint="eastAsia" w:ascii="仿宋" w:hAnsi="仿宋" w:eastAsia="仿宋" w:cs="仿宋"/>
          <w:color w:val="auto"/>
          <w:sz w:val="24"/>
          <w:szCs w:val="24"/>
          <w:highlight w:val="none"/>
          <w:u w:val="single"/>
        </w:rPr>
        <w:t>总价合同，本合同设计费为       元人民币（大写：        ）其中不含税金额      元，税额       元（税率   %）。</w:t>
      </w:r>
    </w:p>
    <w:p w14:paraId="014D5474">
      <w:pPr>
        <w:pStyle w:val="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15、17号学生宿舍</w:t>
      </w:r>
      <w:r>
        <w:rPr>
          <w:rFonts w:hint="eastAsia" w:ascii="仿宋" w:hAnsi="仿宋" w:eastAsia="仿宋" w:cs="仿宋"/>
          <w:color w:val="auto"/>
          <w:sz w:val="24"/>
          <w:szCs w:val="24"/>
          <w:highlight w:val="none"/>
          <w:u w:val="single"/>
        </w:rPr>
        <w:t>设计费为       元人民币（大写：        ）其中不含税金额      元，税额       元（税率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val="en-US" w:eastAsia="zh-CN"/>
        </w:rPr>
        <w:t>18、19号学生宿舍</w:t>
      </w:r>
      <w:r>
        <w:rPr>
          <w:rFonts w:hint="eastAsia" w:ascii="仿宋" w:hAnsi="仿宋" w:eastAsia="仿宋" w:cs="仿宋"/>
          <w:color w:val="auto"/>
          <w:sz w:val="24"/>
          <w:szCs w:val="24"/>
          <w:highlight w:val="none"/>
          <w:u w:val="single"/>
        </w:rPr>
        <w:t>设计费为       元人民币（大写：        ）其中不含税金额      元，税额       元（税率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支付进度详见下表。</w:t>
      </w:r>
    </w:p>
    <w:tbl>
      <w:tblPr>
        <w:tblStyle w:val="3"/>
        <w:tblpPr w:leftFromText="180" w:rightFromText="180" w:vertAnchor="text" w:horzAnchor="margin" w:tblpXSpec="center" w:tblpY="48"/>
        <w:tblOverlap w:val="never"/>
        <w:tblW w:w="79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1"/>
        <w:gridCol w:w="5129"/>
        <w:gridCol w:w="1523"/>
      </w:tblGrid>
      <w:tr w14:paraId="16EFD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331" w:type="dxa"/>
            <w:vAlign w:val="center"/>
          </w:tcPr>
          <w:p w14:paraId="0EADA143">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序号</w:t>
            </w:r>
          </w:p>
        </w:tc>
        <w:tc>
          <w:tcPr>
            <w:tcW w:w="5129" w:type="dxa"/>
            <w:vAlign w:val="center"/>
          </w:tcPr>
          <w:p w14:paraId="361046E2">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阶段</w:t>
            </w:r>
          </w:p>
        </w:tc>
        <w:tc>
          <w:tcPr>
            <w:tcW w:w="1523" w:type="dxa"/>
            <w:vAlign w:val="center"/>
          </w:tcPr>
          <w:p w14:paraId="297C0C48">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比例</w:t>
            </w:r>
          </w:p>
        </w:tc>
      </w:tr>
      <w:tr w14:paraId="1275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331" w:type="dxa"/>
            <w:vAlign w:val="center"/>
          </w:tcPr>
          <w:p w14:paraId="0AED087C">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1</w:t>
            </w:r>
          </w:p>
        </w:tc>
        <w:tc>
          <w:tcPr>
            <w:tcW w:w="5129" w:type="dxa"/>
            <w:vAlign w:val="center"/>
          </w:tcPr>
          <w:p w14:paraId="426B28CE">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完成施工图设计、经图纸审查并修改合格后。</w:t>
            </w:r>
          </w:p>
        </w:tc>
        <w:tc>
          <w:tcPr>
            <w:tcW w:w="1523" w:type="dxa"/>
            <w:vAlign w:val="center"/>
          </w:tcPr>
          <w:p w14:paraId="240943AD">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50%</w:t>
            </w:r>
          </w:p>
        </w:tc>
      </w:tr>
      <w:tr w14:paraId="37FC5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331" w:type="dxa"/>
            <w:vAlign w:val="center"/>
          </w:tcPr>
          <w:p w14:paraId="52EB9955">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2</w:t>
            </w:r>
          </w:p>
        </w:tc>
        <w:tc>
          <w:tcPr>
            <w:tcW w:w="5129" w:type="dxa"/>
            <w:vAlign w:val="center"/>
          </w:tcPr>
          <w:p w14:paraId="33662F17">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本工程施工项目封顶后。</w:t>
            </w:r>
          </w:p>
        </w:tc>
        <w:tc>
          <w:tcPr>
            <w:tcW w:w="1523" w:type="dxa"/>
            <w:vAlign w:val="center"/>
          </w:tcPr>
          <w:p w14:paraId="72295DB1">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30%</w:t>
            </w:r>
          </w:p>
        </w:tc>
      </w:tr>
      <w:tr w14:paraId="2D909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331" w:type="dxa"/>
            <w:vAlign w:val="center"/>
          </w:tcPr>
          <w:p w14:paraId="6665EF51">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3</w:t>
            </w:r>
          </w:p>
        </w:tc>
        <w:tc>
          <w:tcPr>
            <w:tcW w:w="5129" w:type="dxa"/>
            <w:vAlign w:val="center"/>
          </w:tcPr>
          <w:p w14:paraId="6F9AE385">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本工程施工项目竣工验收合格后。</w:t>
            </w:r>
          </w:p>
        </w:tc>
        <w:tc>
          <w:tcPr>
            <w:tcW w:w="1523" w:type="dxa"/>
            <w:vAlign w:val="center"/>
          </w:tcPr>
          <w:p w14:paraId="24175124">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20%</w:t>
            </w:r>
          </w:p>
        </w:tc>
      </w:tr>
      <w:tr w14:paraId="64CE2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460" w:type="dxa"/>
            <w:gridSpan w:val="2"/>
          </w:tcPr>
          <w:p w14:paraId="1E93D0EA">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合计</w:t>
            </w:r>
          </w:p>
        </w:tc>
        <w:tc>
          <w:tcPr>
            <w:tcW w:w="1523" w:type="dxa"/>
            <w:vAlign w:val="center"/>
          </w:tcPr>
          <w:p w14:paraId="27C251F0">
            <w:pPr>
              <w:pStyle w:val="6"/>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100%</w:t>
            </w:r>
          </w:p>
        </w:tc>
      </w:tr>
    </w:tbl>
    <w:p w14:paraId="23E694A9">
      <w:pPr>
        <w:rPr>
          <w:rFonts w:hint="eastAsia" w:ascii="仿宋" w:hAnsi="仿宋" w:eastAsia="仿宋" w:cs="仿宋"/>
          <w:color w:val="auto"/>
          <w:sz w:val="24"/>
          <w:szCs w:val="24"/>
          <w:highlight w:val="none"/>
        </w:rPr>
      </w:pPr>
    </w:p>
    <w:tbl>
      <w:tblPr>
        <w:tblStyle w:val="3"/>
        <w:tblW w:w="4998" w:type="pct"/>
        <w:jc w:val="center"/>
        <w:tblLayout w:type="autofit"/>
        <w:tblCellMar>
          <w:top w:w="0" w:type="dxa"/>
          <w:left w:w="28" w:type="dxa"/>
          <w:bottom w:w="0" w:type="dxa"/>
          <w:right w:w="28" w:type="dxa"/>
        </w:tblCellMar>
      </w:tblPr>
      <w:tblGrid>
        <w:gridCol w:w="852"/>
        <w:gridCol w:w="2374"/>
        <w:gridCol w:w="903"/>
        <w:gridCol w:w="1207"/>
        <w:gridCol w:w="841"/>
        <w:gridCol w:w="1091"/>
        <w:gridCol w:w="1091"/>
      </w:tblGrid>
      <w:tr w14:paraId="2095AD9C">
        <w:tblPrEx>
          <w:tblCellMar>
            <w:top w:w="0" w:type="dxa"/>
            <w:left w:w="28" w:type="dxa"/>
            <w:bottom w:w="0" w:type="dxa"/>
            <w:right w:w="28" w:type="dxa"/>
          </w:tblCellMar>
        </w:tblPrEx>
        <w:trPr>
          <w:trHeight w:val="874" w:hRule="atLeast"/>
          <w:jc w:val="center"/>
        </w:trPr>
        <w:tc>
          <w:tcPr>
            <w:tcW w:w="511" w:type="pct"/>
            <w:tcBorders>
              <w:top w:val="single" w:color="auto" w:sz="6" w:space="0"/>
              <w:left w:val="single" w:color="auto" w:sz="6" w:space="0"/>
              <w:bottom w:val="single" w:color="auto" w:sz="6" w:space="0"/>
            </w:tcBorders>
            <w:noWrap w:val="0"/>
            <w:vAlign w:val="center"/>
          </w:tcPr>
          <w:p w14:paraId="04B6D44F">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1421" w:type="pct"/>
            <w:tcBorders>
              <w:top w:val="single" w:color="auto" w:sz="6" w:space="0"/>
              <w:left w:val="single" w:color="auto" w:sz="6" w:space="0"/>
              <w:bottom w:val="single" w:color="auto" w:sz="6" w:space="0"/>
              <w:right w:val="single" w:color="auto" w:sz="6" w:space="0"/>
            </w:tcBorders>
            <w:noWrap w:val="0"/>
            <w:vAlign w:val="center"/>
          </w:tcPr>
          <w:p w14:paraId="4A5FF7A6">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服务内容</w:t>
            </w:r>
          </w:p>
        </w:tc>
        <w:tc>
          <w:tcPr>
            <w:tcW w:w="534" w:type="pct"/>
            <w:tcBorders>
              <w:top w:val="single" w:color="auto" w:sz="6" w:space="0"/>
              <w:left w:val="single" w:color="auto" w:sz="6" w:space="0"/>
              <w:bottom w:val="single" w:color="auto" w:sz="6" w:space="0"/>
              <w:right w:val="single" w:color="auto" w:sz="6" w:space="0"/>
            </w:tcBorders>
            <w:noWrap w:val="0"/>
            <w:vAlign w:val="center"/>
          </w:tcPr>
          <w:p w14:paraId="4B5FB9D4">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数量</w:t>
            </w:r>
          </w:p>
        </w:tc>
        <w:tc>
          <w:tcPr>
            <w:tcW w:w="723" w:type="pct"/>
            <w:tcBorders>
              <w:top w:val="single" w:color="auto" w:sz="6" w:space="0"/>
              <w:left w:val="single" w:color="auto" w:sz="6" w:space="0"/>
              <w:bottom w:val="single" w:color="auto" w:sz="6" w:space="0"/>
              <w:right w:val="single" w:color="auto" w:sz="6" w:space="0"/>
            </w:tcBorders>
            <w:noWrap w:val="0"/>
            <w:vAlign w:val="center"/>
          </w:tcPr>
          <w:p w14:paraId="16E3C396">
            <w:pPr>
              <w:shd w:val="clear" w:color="auto" w:fill="auto"/>
              <w:spacing w:line="0" w:lineRule="atLeast"/>
              <w:jc w:val="center"/>
              <w:rPr>
                <w:rFonts w:hint="eastAsia" w:ascii="仿宋" w:hAnsi="仿宋" w:eastAsia="仿宋" w:cs="仿宋"/>
                <w:b/>
                <w:color w:val="auto"/>
                <w:szCs w:val="24"/>
                <w:highlight w:val="none"/>
                <w:lang w:val="en-US" w:eastAsia="zh-CN"/>
              </w:rPr>
            </w:pPr>
            <w:r>
              <w:rPr>
                <w:rFonts w:hint="eastAsia" w:ascii="仿宋" w:hAnsi="仿宋" w:eastAsia="仿宋" w:cs="仿宋"/>
                <w:b/>
                <w:color w:val="auto"/>
                <w:szCs w:val="24"/>
                <w:highlight w:val="none"/>
                <w:lang w:val="en-US" w:eastAsia="zh-CN"/>
              </w:rPr>
              <w:t>服务期限</w:t>
            </w:r>
          </w:p>
        </w:tc>
        <w:tc>
          <w:tcPr>
            <w:tcW w:w="503" w:type="pct"/>
            <w:tcBorders>
              <w:top w:val="single" w:color="auto" w:sz="6" w:space="0"/>
              <w:left w:val="single" w:color="auto" w:sz="6" w:space="0"/>
              <w:bottom w:val="single" w:color="auto" w:sz="6" w:space="0"/>
              <w:right w:val="single" w:color="auto" w:sz="6" w:space="0"/>
            </w:tcBorders>
            <w:noWrap w:val="0"/>
            <w:vAlign w:val="center"/>
          </w:tcPr>
          <w:p w14:paraId="12419BEB">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单价（元</w:t>
            </w:r>
            <w:r>
              <w:rPr>
                <w:rFonts w:hint="eastAsia" w:ascii="仿宋" w:hAnsi="仿宋" w:eastAsia="仿宋" w:cs="仿宋"/>
                <w:b/>
                <w:color w:val="auto"/>
                <w:szCs w:val="24"/>
                <w:highlight w:val="none"/>
                <w:lang w:val="en-US" w:eastAsia="zh-CN"/>
              </w:rPr>
              <w:t>/平方米</w:t>
            </w:r>
            <w:r>
              <w:rPr>
                <w:rFonts w:hint="eastAsia" w:ascii="仿宋" w:hAnsi="仿宋" w:eastAsia="仿宋" w:cs="仿宋"/>
                <w:b/>
                <w:color w:val="auto"/>
                <w:szCs w:val="24"/>
                <w:highlight w:val="none"/>
              </w:rPr>
              <w:t>）</w:t>
            </w:r>
          </w:p>
        </w:tc>
        <w:tc>
          <w:tcPr>
            <w:tcW w:w="653" w:type="pct"/>
            <w:tcBorders>
              <w:top w:val="single" w:color="auto" w:sz="6" w:space="0"/>
              <w:left w:val="single" w:color="auto" w:sz="6" w:space="0"/>
              <w:bottom w:val="single" w:color="auto" w:sz="6" w:space="0"/>
              <w:right w:val="single" w:color="auto" w:sz="6" w:space="0"/>
            </w:tcBorders>
            <w:noWrap w:val="0"/>
            <w:vAlign w:val="center"/>
          </w:tcPr>
          <w:p w14:paraId="2B3FDF0C">
            <w:pPr>
              <w:shd w:val="clear" w:color="auto" w:fill="auto"/>
              <w:spacing w:line="0" w:lineRule="atLeast"/>
              <w:jc w:val="center"/>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lang w:val="en-US" w:eastAsia="zh-CN"/>
              </w:rPr>
              <w:t>小计</w:t>
            </w:r>
          </w:p>
          <w:p w14:paraId="0ACDAF05">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（元）</w:t>
            </w:r>
          </w:p>
        </w:tc>
        <w:tc>
          <w:tcPr>
            <w:tcW w:w="653" w:type="pct"/>
            <w:tcBorders>
              <w:top w:val="single" w:color="auto" w:sz="6" w:space="0"/>
              <w:left w:val="single" w:color="auto" w:sz="6" w:space="0"/>
              <w:bottom w:val="single" w:color="auto" w:sz="6" w:space="0"/>
              <w:right w:val="single" w:color="auto" w:sz="6" w:space="0"/>
            </w:tcBorders>
            <w:noWrap w:val="0"/>
            <w:vAlign w:val="center"/>
          </w:tcPr>
          <w:p w14:paraId="64A65C4F">
            <w:pPr>
              <w:shd w:val="clear" w:color="auto" w:fill="auto"/>
              <w:spacing w:line="0" w:lineRule="atLeast"/>
              <w:jc w:val="center"/>
              <w:rPr>
                <w:rFonts w:hint="eastAsia" w:ascii="仿宋" w:hAnsi="仿宋" w:eastAsia="仿宋" w:cs="仿宋"/>
                <w:b/>
                <w:color w:val="auto"/>
                <w:szCs w:val="24"/>
                <w:highlight w:val="none"/>
                <w:lang w:val="en-US" w:eastAsia="zh-CN"/>
              </w:rPr>
            </w:pPr>
            <w:r>
              <w:rPr>
                <w:rFonts w:hint="eastAsia" w:ascii="仿宋" w:hAnsi="仿宋" w:eastAsia="仿宋" w:cs="仿宋"/>
                <w:b/>
                <w:color w:val="auto"/>
                <w:szCs w:val="24"/>
                <w:highlight w:val="none"/>
                <w:lang w:val="en-US" w:eastAsia="zh-CN"/>
              </w:rPr>
              <w:t>备注</w:t>
            </w:r>
          </w:p>
        </w:tc>
      </w:tr>
      <w:tr w14:paraId="3775EB88">
        <w:tblPrEx>
          <w:tblCellMar>
            <w:top w:w="0" w:type="dxa"/>
            <w:left w:w="28" w:type="dxa"/>
            <w:bottom w:w="0" w:type="dxa"/>
            <w:right w:w="28" w:type="dxa"/>
          </w:tblCellMar>
        </w:tblPrEx>
        <w:trPr>
          <w:trHeight w:val="645" w:hRule="atLeast"/>
          <w:jc w:val="center"/>
        </w:trPr>
        <w:tc>
          <w:tcPr>
            <w:tcW w:w="511" w:type="pct"/>
            <w:tcBorders>
              <w:top w:val="single" w:color="auto" w:sz="6" w:space="0"/>
              <w:left w:val="single" w:color="auto" w:sz="6" w:space="0"/>
              <w:bottom w:val="single" w:color="auto" w:sz="4" w:space="0"/>
            </w:tcBorders>
            <w:noWrap w:val="0"/>
            <w:vAlign w:val="center"/>
          </w:tcPr>
          <w:p w14:paraId="4083EBEF">
            <w:pPr>
              <w:shd w:val="clear" w:color="auto" w:fill="auto"/>
              <w:spacing w:line="0" w:lineRule="atLeast"/>
              <w:jc w:val="center"/>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1</w:t>
            </w:r>
          </w:p>
        </w:tc>
        <w:tc>
          <w:tcPr>
            <w:tcW w:w="1421" w:type="pct"/>
            <w:tcBorders>
              <w:top w:val="single" w:color="auto" w:sz="6" w:space="0"/>
              <w:left w:val="single" w:color="auto" w:sz="6" w:space="0"/>
              <w:bottom w:val="single" w:color="auto" w:sz="4" w:space="0"/>
              <w:right w:val="single" w:color="auto" w:sz="6" w:space="0"/>
            </w:tcBorders>
            <w:noWrap w:val="0"/>
            <w:vAlign w:val="center"/>
          </w:tcPr>
          <w:p w14:paraId="2540979B">
            <w:pPr>
              <w:shd w:val="clear" w:color="auto" w:fill="auto"/>
              <w:spacing w:line="0" w:lineRule="atLeast"/>
              <w:jc w:val="center"/>
              <w:rPr>
                <w:rFonts w:hint="eastAsia" w:ascii="仿宋" w:hAnsi="仿宋" w:eastAsia="仿宋" w:cs="仿宋"/>
                <w:b/>
                <w:bCs w:val="0"/>
                <w:color w:val="auto"/>
                <w:szCs w:val="24"/>
                <w:highlight w:val="none"/>
                <w:lang w:val="en-US" w:eastAsia="zh-CN"/>
              </w:rPr>
            </w:pPr>
            <w:r>
              <w:rPr>
                <w:rFonts w:hint="eastAsia" w:ascii="仿宋" w:hAnsi="仿宋" w:eastAsia="仿宋" w:cs="仿宋"/>
                <w:b/>
                <w:bCs w:val="0"/>
                <w:color w:val="auto"/>
                <w:szCs w:val="24"/>
                <w:highlight w:val="none"/>
                <w:lang w:val="en-US" w:eastAsia="zh-CN"/>
              </w:rPr>
              <w:t>15#学生宿舍楼</w:t>
            </w:r>
          </w:p>
        </w:tc>
        <w:tc>
          <w:tcPr>
            <w:tcW w:w="534" w:type="pct"/>
            <w:tcBorders>
              <w:top w:val="single" w:color="auto" w:sz="6" w:space="0"/>
              <w:left w:val="single" w:color="auto" w:sz="6" w:space="0"/>
              <w:bottom w:val="single" w:color="auto" w:sz="4" w:space="0"/>
              <w:right w:val="single" w:color="auto" w:sz="6" w:space="0"/>
            </w:tcBorders>
            <w:noWrap w:val="0"/>
            <w:vAlign w:val="center"/>
          </w:tcPr>
          <w:p w14:paraId="47C00714">
            <w:pPr>
              <w:shd w:val="clear" w:color="auto" w:fill="auto"/>
              <w:spacing w:line="0" w:lineRule="atLeast"/>
              <w:jc w:val="center"/>
              <w:rPr>
                <w:rFonts w:hint="default" w:ascii="仿宋" w:hAnsi="仿宋" w:eastAsia="仿宋" w:cs="仿宋"/>
                <w:b/>
                <w:bCs w:val="0"/>
                <w:color w:val="auto"/>
                <w:szCs w:val="24"/>
                <w:highlight w:val="none"/>
                <w:lang w:val="en-US" w:eastAsia="zh-CN"/>
              </w:rPr>
            </w:pPr>
            <w:r>
              <w:rPr>
                <w:rFonts w:hint="eastAsia" w:ascii="仿宋" w:hAnsi="仿宋" w:eastAsia="仿宋" w:cs="仿宋"/>
                <w:b/>
                <w:bCs w:val="0"/>
                <w:color w:val="auto"/>
                <w:szCs w:val="24"/>
                <w:highlight w:val="none"/>
                <w:lang w:val="en-US" w:eastAsia="zh-CN"/>
              </w:rPr>
              <w:t>12081.65平方米</w:t>
            </w:r>
          </w:p>
        </w:tc>
        <w:tc>
          <w:tcPr>
            <w:tcW w:w="723" w:type="pct"/>
            <w:tcBorders>
              <w:top w:val="single" w:color="auto" w:sz="6" w:space="0"/>
              <w:left w:val="single" w:color="auto" w:sz="6" w:space="0"/>
              <w:bottom w:val="single" w:color="auto" w:sz="4" w:space="0"/>
              <w:right w:val="single" w:color="auto" w:sz="6" w:space="0"/>
            </w:tcBorders>
            <w:noWrap w:val="0"/>
            <w:vAlign w:val="center"/>
          </w:tcPr>
          <w:p w14:paraId="092C7F41">
            <w:pPr>
              <w:keepNext w:val="0"/>
              <w:keepLines w:val="0"/>
              <w:widowControl/>
              <w:suppressLineNumbers w:val="0"/>
              <w:shd w:val="clear" w:color="auto" w:fill="auto"/>
              <w:jc w:val="center"/>
              <w:textAlignment w:val="center"/>
              <w:rPr>
                <w:rFonts w:hint="eastAsia" w:ascii="仿宋" w:hAnsi="仿宋" w:eastAsia="仿宋" w:cs="仿宋"/>
                <w:b/>
                <w:bCs w:val="0"/>
                <w:i w:val="0"/>
                <w:iCs w:val="0"/>
                <w:color w:val="auto"/>
                <w:kern w:val="2"/>
                <w:sz w:val="21"/>
                <w:szCs w:val="21"/>
                <w:highlight w:val="none"/>
                <w:u w:val="none"/>
                <w:lang w:val="en-US" w:eastAsia="zh-CN" w:bidi="ar-SA"/>
              </w:rPr>
            </w:pPr>
            <w:r>
              <w:rPr>
                <w:rFonts w:ascii="仿宋" w:hAnsi="仿宋" w:eastAsia="仿宋" w:cs="方正仿宋_GB2312"/>
                <w:b/>
                <w:bCs w:val="0"/>
                <w:color w:val="auto"/>
                <w:highlight w:val="none"/>
                <w:lang w:eastAsia="zh-CN"/>
              </w:rPr>
              <w:t>自合同签订之日起至项目竣工验收</w:t>
            </w:r>
          </w:p>
        </w:tc>
        <w:tc>
          <w:tcPr>
            <w:tcW w:w="503" w:type="pct"/>
            <w:tcBorders>
              <w:top w:val="single" w:color="auto" w:sz="6" w:space="0"/>
              <w:left w:val="single" w:color="auto" w:sz="6" w:space="0"/>
              <w:bottom w:val="single" w:color="auto" w:sz="4" w:space="0"/>
              <w:right w:val="single" w:color="auto" w:sz="6" w:space="0"/>
            </w:tcBorders>
            <w:noWrap w:val="0"/>
            <w:vAlign w:val="center"/>
          </w:tcPr>
          <w:p w14:paraId="37C745B6">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c>
          <w:tcPr>
            <w:tcW w:w="653" w:type="pct"/>
            <w:tcBorders>
              <w:top w:val="single" w:color="auto" w:sz="6" w:space="0"/>
              <w:left w:val="single" w:color="auto" w:sz="6" w:space="0"/>
              <w:bottom w:val="single" w:color="auto" w:sz="4" w:space="0"/>
              <w:right w:val="single" w:color="auto" w:sz="6" w:space="0"/>
            </w:tcBorders>
            <w:noWrap w:val="0"/>
            <w:vAlign w:val="center"/>
          </w:tcPr>
          <w:p w14:paraId="33939E84">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c>
          <w:tcPr>
            <w:tcW w:w="653" w:type="pct"/>
            <w:tcBorders>
              <w:top w:val="single" w:color="auto" w:sz="6" w:space="0"/>
              <w:left w:val="single" w:color="auto" w:sz="6" w:space="0"/>
              <w:bottom w:val="single" w:color="auto" w:sz="4" w:space="0"/>
              <w:right w:val="single" w:color="auto" w:sz="6" w:space="0"/>
            </w:tcBorders>
            <w:noWrap w:val="0"/>
            <w:vAlign w:val="center"/>
          </w:tcPr>
          <w:p w14:paraId="1FCD0656">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r>
      <w:tr w14:paraId="7A2A7CD5">
        <w:tblPrEx>
          <w:tblCellMar>
            <w:top w:w="0" w:type="dxa"/>
            <w:left w:w="28" w:type="dxa"/>
            <w:bottom w:w="0" w:type="dxa"/>
            <w:right w:w="28" w:type="dxa"/>
          </w:tblCellMar>
        </w:tblPrEx>
        <w:trPr>
          <w:trHeight w:val="645" w:hRule="atLeast"/>
          <w:jc w:val="center"/>
        </w:trPr>
        <w:tc>
          <w:tcPr>
            <w:tcW w:w="511" w:type="pct"/>
            <w:tcBorders>
              <w:top w:val="single" w:color="auto" w:sz="4" w:space="0"/>
              <w:left w:val="single" w:color="auto" w:sz="6" w:space="0"/>
              <w:bottom w:val="single" w:color="auto" w:sz="6" w:space="0"/>
            </w:tcBorders>
            <w:noWrap w:val="0"/>
            <w:vAlign w:val="center"/>
          </w:tcPr>
          <w:p w14:paraId="349F773F">
            <w:pPr>
              <w:shd w:val="clear" w:color="auto" w:fill="auto"/>
              <w:spacing w:line="0" w:lineRule="atLeast"/>
              <w:jc w:val="center"/>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2</w:t>
            </w:r>
          </w:p>
        </w:tc>
        <w:tc>
          <w:tcPr>
            <w:tcW w:w="1421" w:type="pct"/>
            <w:tcBorders>
              <w:top w:val="single" w:color="auto" w:sz="4" w:space="0"/>
              <w:left w:val="single" w:color="auto" w:sz="6" w:space="0"/>
              <w:bottom w:val="single" w:color="auto" w:sz="6" w:space="0"/>
              <w:right w:val="single" w:color="auto" w:sz="6" w:space="0"/>
            </w:tcBorders>
            <w:noWrap w:val="0"/>
            <w:vAlign w:val="center"/>
          </w:tcPr>
          <w:p w14:paraId="1CC7FB9C">
            <w:pPr>
              <w:shd w:val="clear" w:color="auto" w:fill="auto"/>
              <w:spacing w:line="0" w:lineRule="atLeast"/>
              <w:jc w:val="center"/>
              <w:rPr>
                <w:rFonts w:hint="eastAsia" w:ascii="仿宋" w:hAnsi="仿宋" w:eastAsia="仿宋" w:cs="仿宋"/>
                <w:b/>
                <w:bCs w:val="0"/>
                <w:color w:val="auto"/>
                <w:szCs w:val="24"/>
                <w:highlight w:val="none"/>
                <w:lang w:val="en-US" w:eastAsia="zh-CN"/>
              </w:rPr>
            </w:pPr>
            <w:r>
              <w:rPr>
                <w:rFonts w:hint="eastAsia" w:ascii="仿宋" w:hAnsi="仿宋" w:eastAsia="仿宋" w:cs="仿宋"/>
                <w:b/>
                <w:bCs w:val="0"/>
                <w:color w:val="auto"/>
                <w:szCs w:val="24"/>
                <w:highlight w:val="none"/>
                <w:lang w:val="en-US" w:eastAsia="zh-CN"/>
              </w:rPr>
              <w:t>17#学生宿舍楼</w:t>
            </w:r>
          </w:p>
        </w:tc>
        <w:tc>
          <w:tcPr>
            <w:tcW w:w="534" w:type="pct"/>
            <w:tcBorders>
              <w:top w:val="single" w:color="auto" w:sz="4" w:space="0"/>
              <w:left w:val="single" w:color="auto" w:sz="6" w:space="0"/>
              <w:bottom w:val="single" w:color="auto" w:sz="6" w:space="0"/>
              <w:right w:val="single" w:color="auto" w:sz="6" w:space="0"/>
            </w:tcBorders>
            <w:noWrap w:val="0"/>
            <w:vAlign w:val="center"/>
          </w:tcPr>
          <w:p w14:paraId="4F80499F">
            <w:pPr>
              <w:shd w:val="clear" w:color="auto" w:fill="auto"/>
              <w:spacing w:line="0" w:lineRule="atLeast"/>
              <w:jc w:val="center"/>
              <w:rPr>
                <w:rFonts w:hint="eastAsia" w:ascii="仿宋" w:hAnsi="仿宋" w:eastAsia="仿宋" w:cs="仿宋"/>
                <w:b/>
                <w:bCs w:val="0"/>
                <w:color w:val="auto"/>
                <w:szCs w:val="24"/>
                <w:highlight w:val="none"/>
                <w:lang w:val="en-US" w:eastAsia="zh-CN"/>
              </w:rPr>
            </w:pPr>
            <w:r>
              <w:rPr>
                <w:rFonts w:hint="eastAsia" w:ascii="仿宋" w:hAnsi="仿宋" w:eastAsia="仿宋" w:cs="仿宋"/>
                <w:b/>
                <w:bCs w:val="0"/>
                <w:color w:val="auto"/>
                <w:szCs w:val="24"/>
                <w:highlight w:val="none"/>
                <w:lang w:val="en-US" w:eastAsia="zh-CN"/>
              </w:rPr>
              <w:t>10789.41平方米</w:t>
            </w:r>
          </w:p>
        </w:tc>
        <w:tc>
          <w:tcPr>
            <w:tcW w:w="723" w:type="pct"/>
            <w:tcBorders>
              <w:top w:val="single" w:color="auto" w:sz="4" w:space="0"/>
              <w:left w:val="single" w:color="auto" w:sz="6" w:space="0"/>
              <w:bottom w:val="single" w:color="auto" w:sz="6" w:space="0"/>
              <w:right w:val="single" w:color="auto" w:sz="6" w:space="0"/>
            </w:tcBorders>
            <w:noWrap w:val="0"/>
            <w:vAlign w:val="center"/>
          </w:tcPr>
          <w:p w14:paraId="2FF68CE5">
            <w:pPr>
              <w:keepNext w:val="0"/>
              <w:keepLines w:val="0"/>
              <w:widowControl/>
              <w:suppressLineNumbers w:val="0"/>
              <w:shd w:val="clear" w:color="auto" w:fill="auto"/>
              <w:jc w:val="center"/>
              <w:textAlignment w:val="center"/>
              <w:rPr>
                <w:rFonts w:hint="eastAsia" w:ascii="仿宋" w:hAnsi="仿宋" w:eastAsia="仿宋" w:cs="仿宋"/>
                <w:b/>
                <w:bCs w:val="0"/>
                <w:i w:val="0"/>
                <w:iCs w:val="0"/>
                <w:color w:val="auto"/>
                <w:kern w:val="2"/>
                <w:sz w:val="21"/>
                <w:szCs w:val="21"/>
                <w:highlight w:val="none"/>
                <w:u w:val="none"/>
                <w:lang w:val="en-US" w:eastAsia="zh-CN" w:bidi="ar-SA"/>
              </w:rPr>
            </w:pPr>
            <w:r>
              <w:rPr>
                <w:rFonts w:ascii="仿宋" w:hAnsi="仿宋" w:eastAsia="仿宋" w:cs="方正仿宋_GB2312"/>
                <w:b/>
                <w:bCs w:val="0"/>
                <w:color w:val="auto"/>
                <w:highlight w:val="none"/>
                <w:lang w:eastAsia="zh-CN"/>
              </w:rPr>
              <w:t>自合同签订之日起至项目竣工验收</w:t>
            </w:r>
          </w:p>
        </w:tc>
        <w:tc>
          <w:tcPr>
            <w:tcW w:w="503" w:type="pct"/>
            <w:tcBorders>
              <w:top w:val="single" w:color="auto" w:sz="4" w:space="0"/>
              <w:left w:val="single" w:color="auto" w:sz="6" w:space="0"/>
              <w:bottom w:val="single" w:color="auto" w:sz="6" w:space="0"/>
              <w:right w:val="single" w:color="auto" w:sz="6" w:space="0"/>
            </w:tcBorders>
            <w:noWrap w:val="0"/>
            <w:vAlign w:val="center"/>
          </w:tcPr>
          <w:p w14:paraId="53670C12">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1C95AEA4">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747D9B48">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r>
      <w:tr w14:paraId="7DCAB93D">
        <w:tblPrEx>
          <w:tblCellMar>
            <w:top w:w="0" w:type="dxa"/>
            <w:left w:w="28" w:type="dxa"/>
            <w:bottom w:w="0" w:type="dxa"/>
            <w:right w:w="28" w:type="dxa"/>
          </w:tblCellMar>
        </w:tblPrEx>
        <w:trPr>
          <w:trHeight w:val="645" w:hRule="atLeast"/>
          <w:jc w:val="center"/>
        </w:trPr>
        <w:tc>
          <w:tcPr>
            <w:tcW w:w="511" w:type="pct"/>
            <w:tcBorders>
              <w:top w:val="single" w:color="auto" w:sz="4" w:space="0"/>
              <w:left w:val="single" w:color="auto" w:sz="6" w:space="0"/>
              <w:bottom w:val="single" w:color="auto" w:sz="6" w:space="0"/>
            </w:tcBorders>
            <w:noWrap w:val="0"/>
            <w:vAlign w:val="center"/>
          </w:tcPr>
          <w:p w14:paraId="1E0738DC">
            <w:pPr>
              <w:shd w:val="clear" w:color="auto" w:fill="auto"/>
              <w:spacing w:line="0" w:lineRule="atLeast"/>
              <w:jc w:val="center"/>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3</w:t>
            </w:r>
          </w:p>
        </w:tc>
        <w:tc>
          <w:tcPr>
            <w:tcW w:w="1421" w:type="pct"/>
            <w:tcBorders>
              <w:top w:val="single" w:color="auto" w:sz="4" w:space="0"/>
              <w:left w:val="single" w:color="auto" w:sz="6" w:space="0"/>
              <w:bottom w:val="single" w:color="auto" w:sz="6" w:space="0"/>
              <w:right w:val="single" w:color="auto" w:sz="6" w:space="0"/>
            </w:tcBorders>
            <w:noWrap w:val="0"/>
            <w:vAlign w:val="center"/>
          </w:tcPr>
          <w:p w14:paraId="2D94B435">
            <w:pPr>
              <w:shd w:val="clear" w:color="auto" w:fill="auto"/>
              <w:spacing w:line="0" w:lineRule="atLeast"/>
              <w:jc w:val="center"/>
              <w:rPr>
                <w:rFonts w:hint="eastAsia" w:ascii="仿宋" w:hAnsi="仿宋" w:eastAsia="仿宋" w:cs="仿宋"/>
                <w:b/>
                <w:bCs w:val="0"/>
                <w:color w:val="auto"/>
                <w:szCs w:val="24"/>
                <w:highlight w:val="none"/>
                <w:lang w:val="en-US" w:eastAsia="zh-CN"/>
              </w:rPr>
            </w:pPr>
            <w:r>
              <w:rPr>
                <w:rFonts w:hint="eastAsia" w:ascii="仿宋" w:hAnsi="仿宋" w:eastAsia="仿宋" w:cs="仿宋"/>
                <w:b/>
                <w:bCs w:val="0"/>
                <w:color w:val="auto"/>
                <w:szCs w:val="24"/>
                <w:highlight w:val="none"/>
                <w:lang w:val="en-US" w:eastAsia="zh-CN"/>
              </w:rPr>
              <w:t>18号、19号学生宿舍楼</w:t>
            </w:r>
          </w:p>
        </w:tc>
        <w:tc>
          <w:tcPr>
            <w:tcW w:w="534" w:type="pct"/>
            <w:tcBorders>
              <w:top w:val="single" w:color="auto" w:sz="4" w:space="0"/>
              <w:left w:val="single" w:color="auto" w:sz="6" w:space="0"/>
              <w:bottom w:val="single" w:color="auto" w:sz="6" w:space="0"/>
              <w:right w:val="single" w:color="auto" w:sz="6" w:space="0"/>
            </w:tcBorders>
            <w:noWrap w:val="0"/>
            <w:vAlign w:val="center"/>
          </w:tcPr>
          <w:p w14:paraId="7BE6A07A">
            <w:pPr>
              <w:shd w:val="clear" w:color="auto" w:fill="auto"/>
              <w:spacing w:line="0" w:lineRule="atLeast"/>
              <w:jc w:val="center"/>
              <w:rPr>
                <w:rFonts w:hint="eastAsia" w:ascii="仿宋" w:hAnsi="仿宋" w:eastAsia="仿宋" w:cs="仿宋"/>
                <w:b/>
                <w:bCs w:val="0"/>
                <w:color w:val="auto"/>
                <w:szCs w:val="24"/>
                <w:highlight w:val="none"/>
                <w:lang w:val="en-US" w:eastAsia="zh-CN"/>
              </w:rPr>
            </w:pPr>
            <w:r>
              <w:rPr>
                <w:rFonts w:hint="eastAsia" w:ascii="仿宋" w:hAnsi="仿宋" w:eastAsia="仿宋" w:cs="仿宋"/>
                <w:b/>
                <w:bCs w:val="0"/>
                <w:color w:val="auto"/>
                <w:szCs w:val="24"/>
                <w:highlight w:val="none"/>
                <w:lang w:val="en-US" w:eastAsia="zh-CN"/>
              </w:rPr>
              <w:t>22735.72 平方米</w:t>
            </w:r>
          </w:p>
        </w:tc>
        <w:tc>
          <w:tcPr>
            <w:tcW w:w="723" w:type="pct"/>
            <w:tcBorders>
              <w:top w:val="single" w:color="auto" w:sz="4" w:space="0"/>
              <w:left w:val="single" w:color="auto" w:sz="6" w:space="0"/>
              <w:bottom w:val="single" w:color="auto" w:sz="6" w:space="0"/>
              <w:right w:val="single" w:color="auto" w:sz="6" w:space="0"/>
            </w:tcBorders>
            <w:noWrap w:val="0"/>
            <w:vAlign w:val="center"/>
          </w:tcPr>
          <w:p w14:paraId="485179CF">
            <w:pPr>
              <w:keepNext w:val="0"/>
              <w:keepLines w:val="0"/>
              <w:widowControl/>
              <w:suppressLineNumbers w:val="0"/>
              <w:shd w:val="clear" w:color="auto" w:fill="auto"/>
              <w:jc w:val="center"/>
              <w:textAlignment w:val="center"/>
              <w:rPr>
                <w:rFonts w:hint="eastAsia" w:ascii="仿宋" w:hAnsi="仿宋" w:eastAsia="仿宋" w:cs="仿宋"/>
                <w:b/>
                <w:bCs w:val="0"/>
                <w:i w:val="0"/>
                <w:iCs w:val="0"/>
                <w:color w:val="auto"/>
                <w:kern w:val="2"/>
                <w:sz w:val="21"/>
                <w:szCs w:val="21"/>
                <w:highlight w:val="none"/>
                <w:u w:val="none"/>
                <w:lang w:val="en-US" w:eastAsia="zh-CN" w:bidi="ar-SA"/>
              </w:rPr>
            </w:pPr>
            <w:r>
              <w:rPr>
                <w:rFonts w:ascii="仿宋" w:hAnsi="仿宋" w:eastAsia="仿宋" w:cs="方正仿宋_GB2312"/>
                <w:b/>
                <w:bCs w:val="0"/>
                <w:color w:val="auto"/>
                <w:highlight w:val="none"/>
                <w:lang w:eastAsia="zh-CN"/>
              </w:rPr>
              <w:t>自合同签订之日起至项目竣工验收</w:t>
            </w:r>
          </w:p>
        </w:tc>
        <w:tc>
          <w:tcPr>
            <w:tcW w:w="503" w:type="pct"/>
            <w:tcBorders>
              <w:top w:val="single" w:color="auto" w:sz="4" w:space="0"/>
              <w:left w:val="single" w:color="auto" w:sz="6" w:space="0"/>
              <w:bottom w:val="single" w:color="auto" w:sz="6" w:space="0"/>
              <w:right w:val="single" w:color="auto" w:sz="6" w:space="0"/>
            </w:tcBorders>
            <w:noWrap w:val="0"/>
            <w:vAlign w:val="center"/>
          </w:tcPr>
          <w:p w14:paraId="30C20539">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2C3DA4D3">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1E32D0E0">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r>
      <w:tr w14:paraId="540AD3F8">
        <w:tblPrEx>
          <w:tblCellMar>
            <w:top w:w="0" w:type="dxa"/>
            <w:left w:w="28" w:type="dxa"/>
            <w:bottom w:w="0" w:type="dxa"/>
            <w:right w:w="28" w:type="dxa"/>
          </w:tblCellMar>
        </w:tblPrEx>
        <w:trPr>
          <w:trHeight w:val="645" w:hRule="atLeast"/>
          <w:jc w:val="center"/>
        </w:trPr>
        <w:tc>
          <w:tcPr>
            <w:tcW w:w="511" w:type="pct"/>
            <w:tcBorders>
              <w:top w:val="single" w:color="auto" w:sz="4" w:space="0"/>
              <w:left w:val="single" w:color="auto" w:sz="6" w:space="0"/>
              <w:bottom w:val="single" w:color="auto" w:sz="6" w:space="0"/>
            </w:tcBorders>
            <w:noWrap w:val="0"/>
            <w:vAlign w:val="center"/>
          </w:tcPr>
          <w:p w14:paraId="32704FBC">
            <w:pPr>
              <w:shd w:val="clear" w:color="auto" w:fill="auto"/>
              <w:spacing w:line="0" w:lineRule="atLeast"/>
              <w:jc w:val="center"/>
              <w:rPr>
                <w:rFonts w:hint="eastAsia" w:ascii="仿宋" w:hAnsi="仿宋" w:eastAsia="仿宋" w:cs="仿宋"/>
                <w:b/>
                <w:bCs w:val="0"/>
                <w:color w:val="auto"/>
                <w:szCs w:val="24"/>
                <w:highlight w:val="none"/>
              </w:rPr>
            </w:pPr>
          </w:p>
        </w:tc>
        <w:tc>
          <w:tcPr>
            <w:tcW w:w="1421" w:type="pct"/>
            <w:tcBorders>
              <w:top w:val="single" w:color="auto" w:sz="4" w:space="0"/>
              <w:left w:val="single" w:color="auto" w:sz="6" w:space="0"/>
              <w:bottom w:val="single" w:color="auto" w:sz="6" w:space="0"/>
              <w:right w:val="single" w:color="auto" w:sz="6" w:space="0"/>
            </w:tcBorders>
            <w:noWrap w:val="0"/>
            <w:vAlign w:val="center"/>
          </w:tcPr>
          <w:p w14:paraId="6511C2B0">
            <w:pPr>
              <w:shd w:val="clear" w:color="auto" w:fill="auto"/>
              <w:spacing w:line="0" w:lineRule="atLeast"/>
              <w:jc w:val="center"/>
              <w:rPr>
                <w:rFonts w:hint="eastAsia" w:ascii="仿宋" w:hAnsi="仿宋" w:eastAsia="仿宋" w:cs="仿宋"/>
                <w:b/>
                <w:bCs w:val="0"/>
                <w:color w:val="auto"/>
                <w:szCs w:val="24"/>
                <w:highlight w:val="none"/>
                <w:lang w:val="en-US" w:eastAsia="zh-CN"/>
              </w:rPr>
            </w:pPr>
          </w:p>
        </w:tc>
        <w:tc>
          <w:tcPr>
            <w:tcW w:w="534" w:type="pct"/>
            <w:tcBorders>
              <w:top w:val="single" w:color="auto" w:sz="4" w:space="0"/>
              <w:left w:val="single" w:color="auto" w:sz="6" w:space="0"/>
              <w:bottom w:val="single" w:color="auto" w:sz="6" w:space="0"/>
              <w:right w:val="single" w:color="auto" w:sz="6" w:space="0"/>
            </w:tcBorders>
            <w:noWrap w:val="0"/>
            <w:vAlign w:val="center"/>
          </w:tcPr>
          <w:p w14:paraId="396E5782">
            <w:pPr>
              <w:shd w:val="clear" w:color="auto" w:fill="auto"/>
              <w:spacing w:line="0" w:lineRule="atLeast"/>
              <w:jc w:val="center"/>
              <w:rPr>
                <w:rFonts w:hint="eastAsia" w:ascii="仿宋" w:hAnsi="仿宋" w:eastAsia="仿宋" w:cs="仿宋"/>
                <w:b/>
                <w:bCs w:val="0"/>
                <w:color w:val="auto"/>
                <w:szCs w:val="24"/>
                <w:highlight w:val="none"/>
                <w:lang w:val="en-US" w:eastAsia="zh-CN"/>
              </w:rPr>
            </w:pPr>
          </w:p>
        </w:tc>
        <w:tc>
          <w:tcPr>
            <w:tcW w:w="723" w:type="pct"/>
            <w:tcBorders>
              <w:top w:val="single" w:color="auto" w:sz="4" w:space="0"/>
              <w:left w:val="single" w:color="auto" w:sz="6" w:space="0"/>
              <w:bottom w:val="single" w:color="auto" w:sz="6" w:space="0"/>
              <w:right w:val="single" w:color="auto" w:sz="6" w:space="0"/>
            </w:tcBorders>
            <w:noWrap w:val="0"/>
            <w:vAlign w:val="center"/>
          </w:tcPr>
          <w:p w14:paraId="09E55112">
            <w:pPr>
              <w:keepNext w:val="0"/>
              <w:keepLines w:val="0"/>
              <w:widowControl/>
              <w:suppressLineNumbers w:val="0"/>
              <w:shd w:val="clear" w:color="auto" w:fill="auto"/>
              <w:jc w:val="center"/>
              <w:textAlignment w:val="center"/>
              <w:rPr>
                <w:rFonts w:hint="eastAsia" w:ascii="仿宋" w:hAnsi="仿宋" w:eastAsia="仿宋" w:cs="仿宋"/>
                <w:b/>
                <w:bCs w:val="0"/>
                <w:i w:val="0"/>
                <w:iCs w:val="0"/>
                <w:color w:val="auto"/>
                <w:kern w:val="2"/>
                <w:sz w:val="21"/>
                <w:szCs w:val="21"/>
                <w:highlight w:val="none"/>
                <w:u w:val="none"/>
                <w:lang w:val="en-US" w:eastAsia="zh-CN" w:bidi="ar-SA"/>
              </w:rPr>
            </w:pPr>
          </w:p>
        </w:tc>
        <w:tc>
          <w:tcPr>
            <w:tcW w:w="503" w:type="pct"/>
            <w:tcBorders>
              <w:top w:val="single" w:color="auto" w:sz="4" w:space="0"/>
              <w:left w:val="single" w:color="auto" w:sz="6" w:space="0"/>
              <w:bottom w:val="single" w:color="auto" w:sz="6" w:space="0"/>
              <w:right w:val="single" w:color="auto" w:sz="6" w:space="0"/>
            </w:tcBorders>
            <w:noWrap w:val="0"/>
            <w:vAlign w:val="center"/>
          </w:tcPr>
          <w:p w14:paraId="2FB6395F">
            <w:pPr>
              <w:shd w:val="clear" w:color="auto" w:fill="auto"/>
              <w:spacing w:line="0" w:lineRule="atLeast"/>
              <w:jc w:val="center"/>
              <w:rPr>
                <w:rFonts w:hint="eastAsia" w:ascii="仿宋" w:hAnsi="仿宋" w:eastAsia="仿宋" w:cs="仿宋"/>
                <w:b/>
                <w:bCs w:val="0"/>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1C3D19C6">
            <w:pPr>
              <w:keepNext w:val="0"/>
              <w:keepLines w:val="0"/>
              <w:widowControl/>
              <w:suppressLineNumbers w:val="0"/>
              <w:shd w:val="clear" w:color="auto" w:fill="auto"/>
              <w:jc w:val="center"/>
              <w:textAlignment w:val="center"/>
              <w:rPr>
                <w:rFonts w:hint="eastAsia" w:ascii="仿宋" w:hAnsi="仿宋" w:eastAsia="仿宋" w:cs="仿宋"/>
                <w:b/>
                <w:bCs w:val="0"/>
                <w:i w:val="0"/>
                <w:iCs w:val="0"/>
                <w:color w:val="auto"/>
                <w:kern w:val="2"/>
                <w:sz w:val="21"/>
                <w:szCs w:val="21"/>
                <w:highlight w:val="none"/>
                <w:u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5CEAC7E4">
            <w:pPr>
              <w:keepNext w:val="0"/>
              <w:keepLines w:val="0"/>
              <w:widowControl/>
              <w:suppressLineNumbers w:val="0"/>
              <w:shd w:val="clear" w:color="auto" w:fill="auto"/>
              <w:jc w:val="center"/>
              <w:textAlignment w:val="center"/>
              <w:rPr>
                <w:rFonts w:hint="eastAsia" w:ascii="仿宋" w:hAnsi="仿宋" w:eastAsia="仿宋" w:cs="仿宋"/>
                <w:b/>
                <w:bCs w:val="0"/>
                <w:i w:val="0"/>
                <w:iCs w:val="0"/>
                <w:color w:val="auto"/>
                <w:kern w:val="2"/>
                <w:sz w:val="21"/>
                <w:szCs w:val="21"/>
                <w:highlight w:val="none"/>
                <w:u w:val="none"/>
                <w:lang w:val="en-US" w:eastAsia="zh-CN" w:bidi="ar-SA"/>
              </w:rPr>
            </w:pPr>
          </w:p>
        </w:tc>
      </w:tr>
      <w:tr w14:paraId="2C0425DA">
        <w:tblPrEx>
          <w:tblCellMar>
            <w:top w:w="0" w:type="dxa"/>
            <w:left w:w="28" w:type="dxa"/>
            <w:bottom w:w="0" w:type="dxa"/>
            <w:right w:w="28" w:type="dxa"/>
          </w:tblCellMar>
        </w:tblPrEx>
        <w:trPr>
          <w:trHeight w:val="645" w:hRule="atLeast"/>
          <w:jc w:val="center"/>
        </w:trPr>
        <w:tc>
          <w:tcPr>
            <w:tcW w:w="511" w:type="pct"/>
            <w:tcBorders>
              <w:top w:val="single" w:color="auto" w:sz="4" w:space="0"/>
              <w:left w:val="single" w:color="auto" w:sz="6" w:space="0"/>
              <w:bottom w:val="single" w:color="auto" w:sz="6" w:space="0"/>
            </w:tcBorders>
            <w:noWrap w:val="0"/>
            <w:vAlign w:val="center"/>
          </w:tcPr>
          <w:p w14:paraId="3739AC58">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5</w:t>
            </w:r>
          </w:p>
        </w:tc>
        <w:tc>
          <w:tcPr>
            <w:tcW w:w="1421" w:type="pct"/>
            <w:tcBorders>
              <w:top w:val="single" w:color="auto" w:sz="4" w:space="0"/>
              <w:left w:val="single" w:color="auto" w:sz="6" w:space="0"/>
              <w:bottom w:val="single" w:color="auto" w:sz="6" w:space="0"/>
              <w:right w:val="single" w:color="auto" w:sz="6" w:space="0"/>
            </w:tcBorders>
            <w:noWrap w:val="0"/>
            <w:vAlign w:val="center"/>
          </w:tcPr>
          <w:p w14:paraId="1EB2ADAB">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534" w:type="pct"/>
            <w:tcBorders>
              <w:top w:val="single" w:color="auto" w:sz="4" w:space="0"/>
              <w:left w:val="single" w:color="auto" w:sz="6" w:space="0"/>
              <w:bottom w:val="single" w:color="auto" w:sz="6" w:space="0"/>
              <w:right w:val="single" w:color="auto" w:sz="6" w:space="0"/>
            </w:tcBorders>
            <w:noWrap w:val="0"/>
            <w:vAlign w:val="center"/>
          </w:tcPr>
          <w:p w14:paraId="4EED91CC">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c>
          <w:tcPr>
            <w:tcW w:w="723" w:type="pct"/>
            <w:tcBorders>
              <w:top w:val="single" w:color="auto" w:sz="4" w:space="0"/>
              <w:left w:val="single" w:color="auto" w:sz="6" w:space="0"/>
              <w:bottom w:val="single" w:color="auto" w:sz="6" w:space="0"/>
              <w:right w:val="single" w:color="auto" w:sz="6" w:space="0"/>
            </w:tcBorders>
            <w:noWrap w:val="0"/>
            <w:vAlign w:val="center"/>
          </w:tcPr>
          <w:p w14:paraId="1F86E365">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c>
          <w:tcPr>
            <w:tcW w:w="503" w:type="pct"/>
            <w:tcBorders>
              <w:top w:val="single" w:color="auto" w:sz="4" w:space="0"/>
              <w:left w:val="single" w:color="auto" w:sz="6" w:space="0"/>
              <w:bottom w:val="single" w:color="auto" w:sz="6" w:space="0"/>
              <w:right w:val="single" w:color="auto" w:sz="6" w:space="0"/>
            </w:tcBorders>
            <w:noWrap w:val="0"/>
            <w:vAlign w:val="center"/>
          </w:tcPr>
          <w:p w14:paraId="60F3B80F">
            <w:pPr>
              <w:shd w:val="clear" w:color="auto" w:fill="auto"/>
              <w:spacing w:line="0" w:lineRule="atLeast"/>
              <w:jc w:val="center"/>
              <w:rPr>
                <w:rFonts w:hint="eastAsia" w:ascii="仿宋" w:hAnsi="仿宋" w:eastAsia="仿宋" w:cs="仿宋"/>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1A0F351B">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3E7EEE3E">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r>
      <w:tr w14:paraId="3D6002D8">
        <w:tblPrEx>
          <w:tblCellMar>
            <w:top w:w="0" w:type="dxa"/>
            <w:left w:w="28" w:type="dxa"/>
            <w:bottom w:w="0" w:type="dxa"/>
            <w:right w:w="28" w:type="dxa"/>
          </w:tblCellMar>
        </w:tblPrEx>
        <w:trPr>
          <w:trHeight w:val="645" w:hRule="atLeast"/>
          <w:jc w:val="center"/>
        </w:trPr>
        <w:tc>
          <w:tcPr>
            <w:tcW w:w="511" w:type="pct"/>
            <w:tcBorders>
              <w:top w:val="single" w:color="auto" w:sz="4" w:space="0"/>
              <w:left w:val="single" w:color="auto" w:sz="6" w:space="0"/>
              <w:bottom w:val="single" w:color="auto" w:sz="6" w:space="0"/>
            </w:tcBorders>
            <w:noWrap w:val="0"/>
            <w:vAlign w:val="center"/>
          </w:tcPr>
          <w:p w14:paraId="792FE3A1">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6</w:t>
            </w:r>
          </w:p>
        </w:tc>
        <w:tc>
          <w:tcPr>
            <w:tcW w:w="1421" w:type="pct"/>
            <w:tcBorders>
              <w:top w:val="single" w:color="auto" w:sz="4" w:space="0"/>
              <w:left w:val="single" w:color="auto" w:sz="6" w:space="0"/>
              <w:bottom w:val="single" w:color="auto" w:sz="6" w:space="0"/>
              <w:right w:val="single" w:color="auto" w:sz="6" w:space="0"/>
            </w:tcBorders>
            <w:noWrap w:val="0"/>
            <w:vAlign w:val="center"/>
          </w:tcPr>
          <w:p w14:paraId="3E8C4DA8">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534" w:type="pct"/>
            <w:tcBorders>
              <w:top w:val="single" w:color="auto" w:sz="4" w:space="0"/>
              <w:left w:val="single" w:color="auto" w:sz="6" w:space="0"/>
              <w:bottom w:val="single" w:color="auto" w:sz="6" w:space="0"/>
              <w:right w:val="single" w:color="auto" w:sz="6" w:space="0"/>
            </w:tcBorders>
            <w:noWrap w:val="0"/>
            <w:vAlign w:val="center"/>
          </w:tcPr>
          <w:p w14:paraId="39230E71">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c>
          <w:tcPr>
            <w:tcW w:w="723" w:type="pct"/>
            <w:tcBorders>
              <w:top w:val="single" w:color="auto" w:sz="4" w:space="0"/>
              <w:left w:val="single" w:color="auto" w:sz="6" w:space="0"/>
              <w:bottom w:val="single" w:color="auto" w:sz="6" w:space="0"/>
              <w:right w:val="single" w:color="auto" w:sz="6" w:space="0"/>
            </w:tcBorders>
            <w:noWrap w:val="0"/>
            <w:vAlign w:val="center"/>
          </w:tcPr>
          <w:p w14:paraId="43A9EF98">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c>
          <w:tcPr>
            <w:tcW w:w="503" w:type="pct"/>
            <w:tcBorders>
              <w:top w:val="single" w:color="auto" w:sz="4" w:space="0"/>
              <w:left w:val="single" w:color="auto" w:sz="6" w:space="0"/>
              <w:bottom w:val="single" w:color="auto" w:sz="6" w:space="0"/>
              <w:right w:val="single" w:color="auto" w:sz="6" w:space="0"/>
            </w:tcBorders>
            <w:noWrap w:val="0"/>
            <w:vAlign w:val="center"/>
          </w:tcPr>
          <w:p w14:paraId="35238706">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25BBE281">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0F7245ED">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r>
      <w:tr w14:paraId="5787F0A8">
        <w:tblPrEx>
          <w:tblCellMar>
            <w:top w:w="0" w:type="dxa"/>
            <w:left w:w="28" w:type="dxa"/>
            <w:bottom w:w="0" w:type="dxa"/>
            <w:right w:w="28" w:type="dxa"/>
          </w:tblCellMar>
        </w:tblPrEx>
        <w:trPr>
          <w:trHeight w:val="645" w:hRule="atLeast"/>
          <w:jc w:val="center"/>
        </w:trPr>
        <w:tc>
          <w:tcPr>
            <w:tcW w:w="511" w:type="pct"/>
            <w:tcBorders>
              <w:top w:val="single" w:color="auto" w:sz="4" w:space="0"/>
              <w:left w:val="single" w:color="auto" w:sz="6" w:space="0"/>
              <w:bottom w:val="single" w:color="auto" w:sz="6" w:space="0"/>
            </w:tcBorders>
            <w:noWrap w:val="0"/>
            <w:vAlign w:val="center"/>
          </w:tcPr>
          <w:p w14:paraId="03B8EC97">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7</w:t>
            </w:r>
          </w:p>
        </w:tc>
        <w:tc>
          <w:tcPr>
            <w:tcW w:w="1421" w:type="pct"/>
            <w:tcBorders>
              <w:top w:val="single" w:color="auto" w:sz="4" w:space="0"/>
              <w:left w:val="single" w:color="auto" w:sz="6" w:space="0"/>
              <w:bottom w:val="single" w:color="auto" w:sz="6" w:space="0"/>
              <w:right w:val="single" w:color="auto" w:sz="6" w:space="0"/>
            </w:tcBorders>
            <w:noWrap w:val="0"/>
            <w:vAlign w:val="center"/>
          </w:tcPr>
          <w:p w14:paraId="2FC825BC">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534" w:type="pct"/>
            <w:tcBorders>
              <w:top w:val="single" w:color="auto" w:sz="4" w:space="0"/>
              <w:left w:val="single" w:color="auto" w:sz="6" w:space="0"/>
              <w:bottom w:val="single" w:color="auto" w:sz="6" w:space="0"/>
              <w:right w:val="single" w:color="auto" w:sz="6" w:space="0"/>
            </w:tcBorders>
            <w:noWrap w:val="0"/>
            <w:vAlign w:val="center"/>
          </w:tcPr>
          <w:p w14:paraId="5A4710C6">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c>
          <w:tcPr>
            <w:tcW w:w="723" w:type="pct"/>
            <w:tcBorders>
              <w:top w:val="single" w:color="auto" w:sz="4" w:space="0"/>
              <w:left w:val="single" w:color="auto" w:sz="6" w:space="0"/>
              <w:bottom w:val="single" w:color="auto" w:sz="6" w:space="0"/>
              <w:right w:val="single" w:color="auto" w:sz="6" w:space="0"/>
            </w:tcBorders>
            <w:noWrap w:val="0"/>
            <w:vAlign w:val="center"/>
          </w:tcPr>
          <w:p w14:paraId="68CBE6C5">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503" w:type="pct"/>
            <w:tcBorders>
              <w:top w:val="single" w:color="auto" w:sz="4" w:space="0"/>
              <w:left w:val="single" w:color="auto" w:sz="6" w:space="0"/>
              <w:bottom w:val="single" w:color="auto" w:sz="6" w:space="0"/>
              <w:right w:val="single" w:color="auto" w:sz="6" w:space="0"/>
            </w:tcBorders>
            <w:noWrap w:val="0"/>
            <w:vAlign w:val="center"/>
          </w:tcPr>
          <w:p w14:paraId="3473982E">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3C176339">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68EDDAE7">
            <w:pPr>
              <w:keepNext w:val="0"/>
              <w:keepLines w:val="0"/>
              <w:widowControl/>
              <w:suppressLineNumbers w:val="0"/>
              <w:shd w:val="clear" w:color="auto" w:fill="auto"/>
              <w:jc w:val="center"/>
              <w:textAlignment w:val="center"/>
              <w:rPr>
                <w:rFonts w:hint="eastAsia" w:ascii="仿宋" w:hAnsi="仿宋" w:eastAsia="仿宋" w:cs="仿宋"/>
                <w:i w:val="0"/>
                <w:iCs w:val="0"/>
                <w:color w:val="auto"/>
                <w:kern w:val="2"/>
                <w:sz w:val="21"/>
                <w:szCs w:val="21"/>
                <w:highlight w:val="none"/>
                <w:u w:val="none"/>
                <w:lang w:val="en-US" w:eastAsia="zh-CN" w:bidi="ar-SA"/>
              </w:rPr>
            </w:pPr>
          </w:p>
        </w:tc>
      </w:tr>
      <w:tr w14:paraId="5F83FB5B">
        <w:tblPrEx>
          <w:tblCellMar>
            <w:top w:w="0" w:type="dxa"/>
            <w:left w:w="28" w:type="dxa"/>
            <w:bottom w:w="0" w:type="dxa"/>
            <w:right w:w="28" w:type="dxa"/>
          </w:tblCellMar>
        </w:tblPrEx>
        <w:trPr>
          <w:trHeight w:val="645" w:hRule="atLeast"/>
          <w:jc w:val="center"/>
        </w:trPr>
        <w:tc>
          <w:tcPr>
            <w:tcW w:w="511" w:type="pct"/>
            <w:tcBorders>
              <w:top w:val="single" w:color="auto" w:sz="4" w:space="0"/>
              <w:left w:val="single" w:color="auto" w:sz="6" w:space="0"/>
              <w:bottom w:val="single" w:color="auto" w:sz="6" w:space="0"/>
            </w:tcBorders>
            <w:noWrap w:val="0"/>
            <w:vAlign w:val="center"/>
          </w:tcPr>
          <w:p w14:paraId="31C03890">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8</w:t>
            </w:r>
          </w:p>
        </w:tc>
        <w:tc>
          <w:tcPr>
            <w:tcW w:w="1421" w:type="pct"/>
            <w:tcBorders>
              <w:top w:val="single" w:color="auto" w:sz="4" w:space="0"/>
              <w:left w:val="single" w:color="auto" w:sz="6" w:space="0"/>
              <w:bottom w:val="single" w:color="auto" w:sz="6" w:space="0"/>
              <w:right w:val="single" w:color="auto" w:sz="6" w:space="0"/>
            </w:tcBorders>
            <w:noWrap w:val="0"/>
            <w:vAlign w:val="center"/>
          </w:tcPr>
          <w:p w14:paraId="7A9E83DE">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534" w:type="pct"/>
            <w:tcBorders>
              <w:top w:val="single" w:color="auto" w:sz="4" w:space="0"/>
              <w:left w:val="single" w:color="auto" w:sz="6" w:space="0"/>
              <w:bottom w:val="single" w:color="auto" w:sz="6" w:space="0"/>
              <w:right w:val="single" w:color="auto" w:sz="6" w:space="0"/>
            </w:tcBorders>
            <w:noWrap w:val="0"/>
            <w:vAlign w:val="center"/>
          </w:tcPr>
          <w:p w14:paraId="174CD850">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723" w:type="pct"/>
            <w:tcBorders>
              <w:top w:val="single" w:color="auto" w:sz="4" w:space="0"/>
              <w:left w:val="single" w:color="auto" w:sz="6" w:space="0"/>
              <w:bottom w:val="single" w:color="auto" w:sz="6" w:space="0"/>
              <w:right w:val="single" w:color="auto" w:sz="6" w:space="0"/>
            </w:tcBorders>
            <w:noWrap w:val="0"/>
            <w:vAlign w:val="center"/>
          </w:tcPr>
          <w:p w14:paraId="47AF973E">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503" w:type="pct"/>
            <w:tcBorders>
              <w:top w:val="single" w:color="auto" w:sz="4" w:space="0"/>
              <w:left w:val="single" w:color="auto" w:sz="6" w:space="0"/>
              <w:bottom w:val="single" w:color="auto" w:sz="6" w:space="0"/>
              <w:right w:val="single" w:color="auto" w:sz="6" w:space="0"/>
            </w:tcBorders>
            <w:noWrap w:val="0"/>
            <w:vAlign w:val="center"/>
          </w:tcPr>
          <w:p w14:paraId="1750E252">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63D8FFB1">
            <w:pPr>
              <w:shd w:val="clear" w:color="auto" w:fill="auto"/>
              <w:spacing w:line="0" w:lineRule="atLeast"/>
              <w:jc w:val="center"/>
              <w:rPr>
                <w:rFonts w:hint="eastAsia" w:ascii="仿宋" w:hAnsi="仿宋" w:eastAsia="仿宋" w:cs="仿宋"/>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3CAF6FBA">
            <w:pPr>
              <w:shd w:val="clear" w:color="auto" w:fill="auto"/>
              <w:spacing w:line="0" w:lineRule="atLeast"/>
              <w:jc w:val="center"/>
              <w:rPr>
                <w:rFonts w:hint="eastAsia" w:ascii="仿宋" w:hAnsi="仿宋" w:eastAsia="仿宋" w:cs="仿宋"/>
                <w:color w:val="auto"/>
                <w:kern w:val="2"/>
                <w:sz w:val="21"/>
                <w:szCs w:val="21"/>
                <w:highlight w:val="none"/>
                <w:lang w:val="en-US" w:eastAsia="zh-CN" w:bidi="ar-SA"/>
              </w:rPr>
            </w:pPr>
          </w:p>
        </w:tc>
      </w:tr>
      <w:tr w14:paraId="168E0024">
        <w:tblPrEx>
          <w:tblCellMar>
            <w:top w:w="0" w:type="dxa"/>
            <w:left w:w="28" w:type="dxa"/>
            <w:bottom w:w="0" w:type="dxa"/>
            <w:right w:w="28" w:type="dxa"/>
          </w:tblCellMar>
        </w:tblPrEx>
        <w:trPr>
          <w:trHeight w:val="645" w:hRule="atLeast"/>
          <w:jc w:val="center"/>
        </w:trPr>
        <w:tc>
          <w:tcPr>
            <w:tcW w:w="511" w:type="pct"/>
            <w:tcBorders>
              <w:top w:val="single" w:color="auto" w:sz="4" w:space="0"/>
              <w:left w:val="single" w:color="auto" w:sz="6" w:space="0"/>
              <w:bottom w:val="single" w:color="auto" w:sz="6" w:space="0"/>
            </w:tcBorders>
            <w:noWrap w:val="0"/>
            <w:vAlign w:val="center"/>
          </w:tcPr>
          <w:p w14:paraId="7373075B">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9</w:t>
            </w:r>
          </w:p>
        </w:tc>
        <w:tc>
          <w:tcPr>
            <w:tcW w:w="1421" w:type="pct"/>
            <w:tcBorders>
              <w:top w:val="single" w:color="auto" w:sz="4" w:space="0"/>
              <w:left w:val="single" w:color="auto" w:sz="6" w:space="0"/>
              <w:bottom w:val="single" w:color="auto" w:sz="6" w:space="0"/>
              <w:right w:val="single" w:color="auto" w:sz="6" w:space="0"/>
            </w:tcBorders>
            <w:noWrap w:val="0"/>
            <w:vAlign w:val="center"/>
          </w:tcPr>
          <w:p w14:paraId="01080CB3">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534" w:type="pct"/>
            <w:tcBorders>
              <w:top w:val="single" w:color="auto" w:sz="4" w:space="0"/>
              <w:left w:val="single" w:color="auto" w:sz="6" w:space="0"/>
              <w:bottom w:val="single" w:color="auto" w:sz="6" w:space="0"/>
              <w:right w:val="single" w:color="auto" w:sz="6" w:space="0"/>
            </w:tcBorders>
            <w:noWrap w:val="0"/>
            <w:vAlign w:val="center"/>
          </w:tcPr>
          <w:p w14:paraId="500EEB78">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723" w:type="pct"/>
            <w:tcBorders>
              <w:top w:val="single" w:color="auto" w:sz="4" w:space="0"/>
              <w:left w:val="single" w:color="auto" w:sz="6" w:space="0"/>
              <w:bottom w:val="single" w:color="auto" w:sz="6" w:space="0"/>
              <w:right w:val="single" w:color="auto" w:sz="6" w:space="0"/>
            </w:tcBorders>
            <w:noWrap w:val="0"/>
            <w:vAlign w:val="center"/>
          </w:tcPr>
          <w:p w14:paraId="201778DA">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503" w:type="pct"/>
            <w:tcBorders>
              <w:top w:val="single" w:color="auto" w:sz="4" w:space="0"/>
              <w:left w:val="single" w:color="auto" w:sz="6" w:space="0"/>
              <w:bottom w:val="single" w:color="auto" w:sz="6" w:space="0"/>
              <w:right w:val="single" w:color="auto" w:sz="6" w:space="0"/>
            </w:tcBorders>
            <w:noWrap w:val="0"/>
            <w:vAlign w:val="center"/>
          </w:tcPr>
          <w:p w14:paraId="570665F9">
            <w:pPr>
              <w:shd w:val="clear" w:color="auto" w:fill="auto"/>
              <w:spacing w:line="0" w:lineRule="atLeast"/>
              <w:jc w:val="center"/>
              <w:rPr>
                <w:rFonts w:hint="eastAsia" w:ascii="仿宋" w:hAnsi="仿宋" w:eastAsia="仿宋" w:cs="仿宋"/>
                <w:b/>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04E60452">
            <w:pPr>
              <w:shd w:val="clear" w:color="auto" w:fill="auto"/>
              <w:spacing w:line="0" w:lineRule="atLeast"/>
              <w:jc w:val="center"/>
              <w:rPr>
                <w:rFonts w:hint="eastAsia" w:ascii="仿宋" w:hAnsi="仿宋" w:eastAsia="仿宋" w:cs="仿宋"/>
                <w:color w:val="auto"/>
                <w:kern w:val="2"/>
                <w:sz w:val="21"/>
                <w:szCs w:val="21"/>
                <w:highlight w:val="none"/>
                <w:lang w:val="en-US" w:eastAsia="zh-CN" w:bidi="ar-SA"/>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3C378C20">
            <w:pPr>
              <w:shd w:val="clear" w:color="auto" w:fill="auto"/>
              <w:spacing w:line="0" w:lineRule="atLeast"/>
              <w:jc w:val="center"/>
              <w:rPr>
                <w:rFonts w:hint="eastAsia" w:ascii="仿宋" w:hAnsi="仿宋" w:eastAsia="仿宋" w:cs="仿宋"/>
                <w:color w:val="auto"/>
                <w:kern w:val="2"/>
                <w:sz w:val="21"/>
                <w:szCs w:val="21"/>
                <w:highlight w:val="none"/>
                <w:lang w:val="en-US" w:eastAsia="zh-CN" w:bidi="ar-SA"/>
              </w:rPr>
            </w:pPr>
          </w:p>
        </w:tc>
      </w:tr>
      <w:tr w14:paraId="511E13B7">
        <w:tblPrEx>
          <w:tblCellMar>
            <w:top w:w="0" w:type="dxa"/>
            <w:left w:w="28" w:type="dxa"/>
            <w:bottom w:w="0" w:type="dxa"/>
            <w:right w:w="28" w:type="dxa"/>
          </w:tblCellMar>
        </w:tblPrEx>
        <w:trPr>
          <w:trHeight w:val="645" w:hRule="atLeast"/>
          <w:jc w:val="center"/>
        </w:trPr>
        <w:tc>
          <w:tcPr>
            <w:tcW w:w="511" w:type="pct"/>
            <w:tcBorders>
              <w:top w:val="single" w:color="auto" w:sz="4" w:space="0"/>
              <w:left w:val="single" w:color="auto" w:sz="6" w:space="0"/>
              <w:bottom w:val="single" w:color="auto" w:sz="6" w:space="0"/>
            </w:tcBorders>
            <w:noWrap w:val="0"/>
            <w:vAlign w:val="center"/>
          </w:tcPr>
          <w:p w14:paraId="1CC1B144">
            <w:pPr>
              <w:shd w:val="clear" w:color="auto" w:fill="auto"/>
              <w:spacing w:line="0" w:lineRule="atLeast"/>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10</w:t>
            </w:r>
          </w:p>
        </w:tc>
        <w:tc>
          <w:tcPr>
            <w:tcW w:w="1421" w:type="pct"/>
            <w:tcBorders>
              <w:top w:val="single" w:color="auto" w:sz="4" w:space="0"/>
              <w:left w:val="single" w:color="auto" w:sz="6" w:space="0"/>
              <w:bottom w:val="single" w:color="auto" w:sz="6" w:space="0"/>
              <w:right w:val="single" w:color="auto" w:sz="6" w:space="0"/>
            </w:tcBorders>
            <w:noWrap w:val="0"/>
            <w:vAlign w:val="center"/>
          </w:tcPr>
          <w:p w14:paraId="4C302D3A">
            <w:pPr>
              <w:shd w:val="clear" w:color="auto" w:fill="auto"/>
              <w:spacing w:line="0" w:lineRule="atLeast"/>
              <w:jc w:val="center"/>
              <w:rPr>
                <w:rFonts w:hint="eastAsia" w:ascii="仿宋" w:hAnsi="仿宋" w:eastAsia="仿宋" w:cs="仿宋"/>
                <w:b/>
                <w:color w:val="auto"/>
                <w:szCs w:val="24"/>
                <w:highlight w:val="none"/>
              </w:rPr>
            </w:pPr>
          </w:p>
        </w:tc>
        <w:tc>
          <w:tcPr>
            <w:tcW w:w="534" w:type="pct"/>
            <w:tcBorders>
              <w:top w:val="single" w:color="auto" w:sz="4" w:space="0"/>
              <w:left w:val="single" w:color="auto" w:sz="6" w:space="0"/>
              <w:bottom w:val="single" w:color="auto" w:sz="6" w:space="0"/>
              <w:right w:val="single" w:color="auto" w:sz="6" w:space="0"/>
            </w:tcBorders>
            <w:noWrap w:val="0"/>
            <w:vAlign w:val="center"/>
          </w:tcPr>
          <w:p w14:paraId="317A89D1">
            <w:pPr>
              <w:shd w:val="clear" w:color="auto" w:fill="auto"/>
              <w:spacing w:line="0" w:lineRule="atLeast"/>
              <w:jc w:val="center"/>
              <w:rPr>
                <w:rFonts w:hint="eastAsia" w:ascii="仿宋" w:hAnsi="仿宋" w:eastAsia="仿宋" w:cs="仿宋"/>
                <w:b/>
                <w:color w:val="auto"/>
                <w:szCs w:val="24"/>
                <w:highlight w:val="none"/>
              </w:rPr>
            </w:pPr>
          </w:p>
        </w:tc>
        <w:tc>
          <w:tcPr>
            <w:tcW w:w="723" w:type="pct"/>
            <w:tcBorders>
              <w:top w:val="single" w:color="auto" w:sz="4" w:space="0"/>
              <w:left w:val="single" w:color="auto" w:sz="6" w:space="0"/>
              <w:bottom w:val="single" w:color="auto" w:sz="6" w:space="0"/>
              <w:right w:val="single" w:color="auto" w:sz="6" w:space="0"/>
            </w:tcBorders>
            <w:noWrap w:val="0"/>
            <w:vAlign w:val="center"/>
          </w:tcPr>
          <w:p w14:paraId="1181B0D6">
            <w:pPr>
              <w:shd w:val="clear" w:color="auto" w:fill="auto"/>
              <w:spacing w:line="0" w:lineRule="atLeast"/>
              <w:jc w:val="center"/>
              <w:rPr>
                <w:rFonts w:hint="eastAsia" w:ascii="仿宋" w:hAnsi="仿宋" w:eastAsia="仿宋" w:cs="仿宋"/>
                <w:b/>
                <w:color w:val="auto"/>
                <w:szCs w:val="24"/>
                <w:highlight w:val="none"/>
              </w:rPr>
            </w:pPr>
          </w:p>
        </w:tc>
        <w:tc>
          <w:tcPr>
            <w:tcW w:w="503" w:type="pct"/>
            <w:tcBorders>
              <w:top w:val="single" w:color="auto" w:sz="4" w:space="0"/>
              <w:left w:val="single" w:color="auto" w:sz="6" w:space="0"/>
              <w:bottom w:val="single" w:color="auto" w:sz="6" w:space="0"/>
              <w:right w:val="single" w:color="auto" w:sz="6" w:space="0"/>
            </w:tcBorders>
            <w:noWrap w:val="0"/>
            <w:vAlign w:val="center"/>
          </w:tcPr>
          <w:p w14:paraId="7170E3A2">
            <w:pPr>
              <w:shd w:val="clear" w:color="auto" w:fill="auto"/>
              <w:spacing w:line="0" w:lineRule="atLeast"/>
              <w:jc w:val="center"/>
              <w:rPr>
                <w:rFonts w:hint="eastAsia" w:ascii="仿宋" w:hAnsi="仿宋" w:eastAsia="仿宋" w:cs="仿宋"/>
                <w:b/>
                <w:color w:val="auto"/>
                <w:szCs w:val="24"/>
                <w:highlight w:val="none"/>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11AA916E">
            <w:pPr>
              <w:shd w:val="clear" w:color="auto" w:fill="auto"/>
              <w:spacing w:line="0" w:lineRule="atLeast"/>
              <w:jc w:val="center"/>
              <w:rPr>
                <w:rFonts w:hint="eastAsia" w:ascii="仿宋" w:hAnsi="仿宋" w:eastAsia="仿宋" w:cs="仿宋"/>
                <w:color w:val="auto"/>
                <w:szCs w:val="24"/>
                <w:highlight w:val="none"/>
              </w:rPr>
            </w:pPr>
          </w:p>
        </w:tc>
        <w:tc>
          <w:tcPr>
            <w:tcW w:w="653" w:type="pct"/>
            <w:tcBorders>
              <w:top w:val="single" w:color="auto" w:sz="4" w:space="0"/>
              <w:left w:val="single" w:color="auto" w:sz="6" w:space="0"/>
              <w:bottom w:val="single" w:color="auto" w:sz="6" w:space="0"/>
              <w:right w:val="single" w:color="auto" w:sz="6" w:space="0"/>
            </w:tcBorders>
            <w:noWrap w:val="0"/>
            <w:vAlign w:val="center"/>
          </w:tcPr>
          <w:p w14:paraId="685C38E0">
            <w:pPr>
              <w:shd w:val="clear" w:color="auto" w:fill="auto"/>
              <w:spacing w:line="0" w:lineRule="atLeast"/>
              <w:jc w:val="center"/>
              <w:rPr>
                <w:rFonts w:hint="eastAsia" w:ascii="仿宋" w:hAnsi="仿宋" w:eastAsia="仿宋" w:cs="仿宋"/>
                <w:color w:val="auto"/>
                <w:szCs w:val="24"/>
                <w:highlight w:val="none"/>
              </w:rPr>
            </w:pPr>
          </w:p>
        </w:tc>
      </w:tr>
      <w:tr w14:paraId="54135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3693" w:type="pct"/>
            <w:gridSpan w:val="5"/>
            <w:noWrap w:val="0"/>
            <w:vAlign w:val="center"/>
          </w:tcPr>
          <w:p w14:paraId="778CAEC4">
            <w:pPr>
              <w:shd w:val="clear" w:color="auto" w:fill="auto"/>
              <w:adjustRightInd w:val="0"/>
              <w:snapToGrid w:val="0"/>
              <w:spacing w:line="360" w:lineRule="auto"/>
              <w:rPr>
                <w:rFonts w:hint="eastAsia" w:ascii="仿宋" w:hAnsi="仿宋" w:eastAsia="仿宋" w:cs="仿宋"/>
                <w:color w:val="auto"/>
                <w:sz w:val="24"/>
                <w:highlight w:val="none"/>
              </w:rPr>
            </w:pPr>
            <w:r>
              <w:rPr>
                <w:rFonts w:hint="eastAsia" w:eastAsia="仿宋_GB2312"/>
                <w:color w:val="auto"/>
                <w:sz w:val="24"/>
                <w:highlight w:val="none"/>
              </w:rPr>
              <w:t>合计</w:t>
            </w:r>
          </w:p>
        </w:tc>
        <w:tc>
          <w:tcPr>
            <w:tcW w:w="1306" w:type="pct"/>
            <w:gridSpan w:val="2"/>
            <w:noWrap w:val="0"/>
            <w:vAlign w:val="center"/>
          </w:tcPr>
          <w:p w14:paraId="3035B1EC">
            <w:pPr>
              <w:shd w:val="clear" w:color="auto" w:fill="auto"/>
              <w:adjustRightInd w:val="0"/>
              <w:snapToGrid w:val="0"/>
              <w:spacing w:line="360" w:lineRule="auto"/>
              <w:rPr>
                <w:rFonts w:hint="eastAsia" w:ascii="仿宋" w:hAnsi="仿宋" w:eastAsia="仿宋" w:cs="仿宋"/>
                <w:color w:val="auto"/>
                <w:sz w:val="24"/>
                <w:highlight w:val="none"/>
              </w:rPr>
            </w:pPr>
          </w:p>
        </w:tc>
      </w:tr>
    </w:tbl>
    <w:p w14:paraId="47FF8AD0">
      <w:pPr>
        <w:rPr>
          <w:rFonts w:hint="eastAsia" w:ascii="仿宋" w:hAnsi="仿宋" w:eastAsia="仿宋" w:cs="仿宋"/>
          <w:color w:val="auto"/>
          <w:sz w:val="24"/>
          <w:szCs w:val="24"/>
          <w:highlight w:val="none"/>
        </w:rPr>
      </w:pPr>
    </w:p>
    <w:p w14:paraId="54F25DF3">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工程设计变更与索赔</w:t>
      </w:r>
    </w:p>
    <w:p w14:paraId="710B1B20">
      <w:pPr>
        <w:spacing w:line="480" w:lineRule="exact"/>
        <w:ind w:firstLine="6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设计人应于认为有理由提出增加合同价款或延长设计周期的要求事项发生后</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天内书面通知发包人。</w:t>
      </w:r>
    </w:p>
    <w:p w14:paraId="521C9163">
      <w:pPr>
        <w:spacing w:line="480" w:lineRule="exact"/>
        <w:ind w:firstLine="6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设计人应在该事项发生后</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天内向发包人提供证明设计人要求的书面声明。</w:t>
      </w:r>
    </w:p>
    <w:p w14:paraId="2D02590F">
      <w:pPr>
        <w:spacing w:line="480" w:lineRule="exact"/>
        <w:ind w:firstLine="6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发包人应在接到设计人书面声明后的</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天内，予以书面答复。逾期未答复的，视为发包人同意设计人关于增加合同价款或延长设计周期的要求。</w:t>
      </w:r>
    </w:p>
    <w:p w14:paraId="4E1F62F9">
      <w:pPr>
        <w:spacing w:line="48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专业责任与保险</w:t>
      </w:r>
    </w:p>
    <w:p w14:paraId="2524D216">
      <w:pPr>
        <w:spacing w:line="480" w:lineRule="exact"/>
        <w:ind w:firstLine="600" w:firstLineChars="25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 设计人</w:t>
      </w:r>
      <w:r>
        <w:rPr>
          <w:rFonts w:hint="eastAsia" w:ascii="仿宋" w:hAnsi="仿宋" w:eastAsia="仿宋" w:cs="仿宋"/>
          <w:color w:val="auto"/>
          <w:sz w:val="24"/>
          <w:szCs w:val="24"/>
          <w:highlight w:val="none"/>
          <w:u w:val="single"/>
        </w:rPr>
        <w:t xml:space="preserve"> 需 </w:t>
      </w:r>
      <w:r>
        <w:rPr>
          <w:rFonts w:hint="eastAsia" w:ascii="仿宋" w:hAnsi="仿宋" w:eastAsia="仿宋" w:cs="仿宋"/>
          <w:color w:val="auto"/>
          <w:sz w:val="24"/>
          <w:szCs w:val="24"/>
          <w:highlight w:val="none"/>
        </w:rPr>
        <w:t>自行购买并具备发包人认可的工程设计责任保险，并承担相应责任。</w:t>
      </w:r>
    </w:p>
    <w:p w14:paraId="109C517D">
      <w:pPr>
        <w:spacing w:line="48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知识产权</w:t>
      </w:r>
    </w:p>
    <w:p w14:paraId="57EEE46D">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13.1关于发包人提供给设计人的图纸、发包人为实施工程自行编制或委托编制的技术规格以及反映发包人关于合同要求或其他类似性质的文件的著作权的归属</w:t>
      </w:r>
      <w:r>
        <w:rPr>
          <w:rFonts w:hint="eastAsia" w:ascii="仿宋" w:hAnsi="仿宋" w:eastAsia="仿宋" w:cs="仿宋"/>
          <w:color w:val="auto"/>
          <w:sz w:val="24"/>
          <w:szCs w:val="24"/>
          <w:highlight w:val="none"/>
          <w:u w:val="single"/>
        </w:rPr>
        <w:t>著作权属于发包人</w:t>
      </w:r>
      <w:r>
        <w:rPr>
          <w:rFonts w:hint="eastAsia" w:ascii="仿宋" w:hAnsi="仿宋" w:eastAsia="仿宋" w:cs="仿宋"/>
          <w:color w:val="auto"/>
          <w:sz w:val="24"/>
          <w:szCs w:val="24"/>
          <w:highlight w:val="none"/>
        </w:rPr>
        <w:t>。</w:t>
      </w:r>
    </w:p>
    <w:p w14:paraId="02BE1666">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关于发包人提供的上述文件的使用限制的要求：</w:t>
      </w:r>
      <w:r>
        <w:rPr>
          <w:rFonts w:hint="eastAsia" w:ascii="仿宋" w:hAnsi="仿宋" w:eastAsia="仿宋" w:cs="仿宋"/>
          <w:color w:val="auto"/>
          <w:sz w:val="24"/>
          <w:szCs w:val="24"/>
          <w:highlight w:val="none"/>
          <w:u w:val="single"/>
        </w:rPr>
        <w:t>设计人可以为实现合同目的而复制、使用此类文件，但不能用于与本合同无关的其他事项；未经发包人书面同意，设计人不得为了本合同以外的目的而复制、使用上述文件或将之提供给任何第三方</w:t>
      </w:r>
      <w:r>
        <w:rPr>
          <w:rFonts w:hint="eastAsia" w:ascii="仿宋" w:hAnsi="仿宋" w:eastAsia="仿宋" w:cs="仿宋"/>
          <w:color w:val="auto"/>
          <w:sz w:val="24"/>
          <w:szCs w:val="24"/>
          <w:highlight w:val="none"/>
        </w:rPr>
        <w:t>。</w:t>
      </w:r>
    </w:p>
    <w:p w14:paraId="516DF0A4">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13.2 关于设计人为实施工程所编制文件的著作权的归属：</w:t>
      </w:r>
      <w:r>
        <w:rPr>
          <w:rFonts w:hint="eastAsia" w:ascii="仿宋" w:hAnsi="仿宋" w:eastAsia="仿宋" w:cs="仿宋"/>
          <w:color w:val="auto"/>
          <w:sz w:val="24"/>
          <w:szCs w:val="24"/>
          <w:highlight w:val="none"/>
          <w:u w:val="single"/>
        </w:rPr>
        <w:t>著作权属于设计人及发包人</w:t>
      </w:r>
      <w:r>
        <w:rPr>
          <w:rFonts w:hint="eastAsia" w:ascii="仿宋" w:hAnsi="仿宋" w:eastAsia="仿宋" w:cs="仿宋"/>
          <w:color w:val="auto"/>
          <w:sz w:val="24"/>
          <w:szCs w:val="24"/>
          <w:highlight w:val="none"/>
        </w:rPr>
        <w:t>。</w:t>
      </w:r>
    </w:p>
    <w:p w14:paraId="01B59628">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关于设计人提供的上述文件的使用限制的要求：</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2E4E2718">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13.5 设计人在设计过程中所采用的专利、专有技术的使用费的承担方式：</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073E7DCB">
      <w:pPr>
        <w:spacing w:line="48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违约责任</w:t>
      </w:r>
    </w:p>
    <w:p w14:paraId="036C9676">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发包人违约责任</w:t>
      </w:r>
    </w:p>
    <w:p w14:paraId="77D4EBCE">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14.1.1 发包人支付设计人违约金：</w:t>
      </w:r>
      <w:r>
        <w:rPr>
          <w:rFonts w:hint="eastAsia" w:ascii="仿宋" w:hAnsi="仿宋" w:eastAsia="仿宋" w:cs="仿宋"/>
          <w:color w:val="auto"/>
          <w:sz w:val="24"/>
          <w:szCs w:val="24"/>
          <w:highlight w:val="none"/>
          <w:u w:val="single"/>
        </w:rPr>
        <w:t>按通用条款执行</w:t>
      </w:r>
      <w:r>
        <w:rPr>
          <w:rFonts w:hint="eastAsia" w:ascii="仿宋" w:hAnsi="仿宋" w:eastAsia="仿宋" w:cs="仿宋"/>
          <w:color w:val="auto"/>
          <w:sz w:val="24"/>
          <w:szCs w:val="24"/>
          <w:highlight w:val="none"/>
        </w:rPr>
        <w:t>。</w:t>
      </w:r>
    </w:p>
    <w:p w14:paraId="3E672DDB">
      <w:pPr>
        <w:spacing w:line="480" w:lineRule="exact"/>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14.1.2 发包人逾期支付设计费的违约金：</w:t>
      </w:r>
      <w:r>
        <w:rPr>
          <w:rFonts w:hint="eastAsia" w:ascii="仿宋" w:hAnsi="仿宋" w:eastAsia="仿宋" w:cs="仿宋"/>
          <w:color w:val="auto"/>
          <w:sz w:val="24"/>
          <w:szCs w:val="24"/>
          <w:highlight w:val="none"/>
          <w:u w:val="single"/>
        </w:rPr>
        <w:t>按同期银行贷款利息支付</w:t>
      </w:r>
      <w:r>
        <w:rPr>
          <w:rFonts w:hint="eastAsia" w:ascii="仿宋" w:hAnsi="仿宋" w:eastAsia="仿宋" w:cs="仿宋"/>
          <w:color w:val="auto"/>
          <w:sz w:val="24"/>
          <w:szCs w:val="24"/>
          <w:highlight w:val="none"/>
        </w:rPr>
        <w:t>。</w:t>
      </w:r>
    </w:p>
    <w:p w14:paraId="1756F351">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设计人违约责任</w:t>
      </w:r>
    </w:p>
    <w:p w14:paraId="7DC12C36">
      <w:pPr>
        <w:tabs>
          <w:tab w:val="left" w:pos="7513"/>
          <w:tab w:val="left" w:pos="7797"/>
        </w:tabs>
        <w:spacing w:line="480" w:lineRule="exact"/>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14.2.1 设计人支付发包人的违约金：</w:t>
      </w:r>
      <w:r>
        <w:rPr>
          <w:rFonts w:hint="eastAsia" w:ascii="仿宋" w:hAnsi="仿宋" w:eastAsia="仿宋" w:cs="仿宋"/>
          <w:color w:val="auto"/>
          <w:sz w:val="24"/>
          <w:szCs w:val="24"/>
          <w:highlight w:val="none"/>
          <w:u w:val="single"/>
        </w:rPr>
        <w:t>按通用条款执行</w:t>
      </w:r>
      <w:r>
        <w:rPr>
          <w:rFonts w:hint="eastAsia" w:ascii="仿宋" w:hAnsi="仿宋" w:eastAsia="仿宋" w:cs="仿宋"/>
          <w:color w:val="auto"/>
          <w:sz w:val="24"/>
          <w:szCs w:val="24"/>
          <w:highlight w:val="none"/>
        </w:rPr>
        <w:t>。</w:t>
      </w:r>
    </w:p>
    <w:p w14:paraId="76C9FFE3">
      <w:pPr>
        <w:spacing w:line="480" w:lineRule="exact"/>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14.2.2 设计人逾期交付工程设计文件的违约金：</w:t>
      </w:r>
      <w:r>
        <w:rPr>
          <w:rFonts w:hint="eastAsia" w:ascii="仿宋" w:hAnsi="仿宋" w:eastAsia="仿宋" w:cs="仿宋"/>
          <w:color w:val="auto"/>
          <w:kern w:val="0"/>
          <w:sz w:val="24"/>
          <w:szCs w:val="24"/>
          <w:highlight w:val="none"/>
          <w:u w:val="single"/>
        </w:rPr>
        <w:t>每延误一天,应减收该项目应收设计费的</w:t>
      </w:r>
      <w:r>
        <w:rPr>
          <w:rFonts w:hint="eastAsia" w:ascii="仿宋" w:hAnsi="仿宋" w:eastAsia="仿宋" w:cs="仿宋"/>
          <w:color w:val="auto"/>
          <w:kern w:val="0"/>
          <w:sz w:val="24"/>
          <w:szCs w:val="24"/>
          <w:highlight w:val="none"/>
          <w:u w:val="single"/>
          <w:lang w:val="en-US" w:eastAsia="zh-CN"/>
        </w:rPr>
        <w:t>2000元</w:t>
      </w:r>
      <w:r>
        <w:rPr>
          <w:rFonts w:hint="eastAsia" w:ascii="仿宋" w:hAnsi="仿宋" w:eastAsia="仿宋" w:cs="仿宋"/>
          <w:color w:val="auto"/>
          <w:kern w:val="0"/>
          <w:sz w:val="24"/>
          <w:szCs w:val="24"/>
          <w:highlight w:val="none"/>
        </w:rPr>
        <w:t>。</w:t>
      </w:r>
    </w:p>
    <w:p w14:paraId="3E6A9370">
      <w:pPr>
        <w:spacing w:line="48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设计人逾期交付工程设计文件的违约金的上限：</w:t>
      </w:r>
      <w:r>
        <w:rPr>
          <w:rFonts w:hint="eastAsia" w:ascii="仿宋" w:hAnsi="仿宋" w:eastAsia="仿宋" w:cs="仿宋"/>
          <w:color w:val="auto"/>
          <w:kern w:val="0"/>
          <w:sz w:val="24"/>
          <w:szCs w:val="24"/>
          <w:highlight w:val="none"/>
          <w:u w:val="single"/>
        </w:rPr>
        <w:t>项目应收设计费的</w:t>
      </w:r>
      <w:r>
        <w:rPr>
          <w:rFonts w:hint="eastAsia" w:ascii="仿宋" w:hAnsi="仿宋" w:eastAsia="仿宋" w:cs="仿宋"/>
          <w:color w:val="auto"/>
          <w:kern w:val="0"/>
          <w:sz w:val="24"/>
          <w:szCs w:val="24"/>
          <w:highlight w:val="none"/>
          <w:u w:val="single"/>
          <w:lang w:val="en-US" w:eastAsia="zh-CN"/>
        </w:rPr>
        <w:t>30%</w:t>
      </w:r>
      <w:r>
        <w:rPr>
          <w:rFonts w:hint="eastAsia" w:ascii="仿宋" w:hAnsi="仿宋" w:eastAsia="仿宋" w:cs="仿宋"/>
          <w:color w:val="auto"/>
          <w:kern w:val="0"/>
          <w:sz w:val="24"/>
          <w:szCs w:val="24"/>
          <w:highlight w:val="none"/>
        </w:rPr>
        <w:t xml:space="preserve">。 </w:t>
      </w:r>
    </w:p>
    <w:p w14:paraId="19A6FFCA">
      <w:pPr>
        <w:spacing w:line="48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14.2.3 设计人设计文件不合格的损失赔偿金的上限：</w:t>
      </w:r>
      <w:r>
        <w:rPr>
          <w:rFonts w:hint="eastAsia" w:ascii="仿宋" w:hAnsi="仿宋" w:eastAsia="仿宋" w:cs="仿宋"/>
          <w:color w:val="auto"/>
          <w:kern w:val="0"/>
          <w:sz w:val="24"/>
          <w:szCs w:val="24"/>
          <w:highlight w:val="none"/>
          <w:u w:val="single"/>
        </w:rPr>
        <w:t>按国家有关规定执行</w:t>
      </w:r>
      <w:r>
        <w:rPr>
          <w:rFonts w:hint="eastAsia" w:ascii="仿宋" w:hAnsi="仿宋" w:eastAsia="仿宋" w:cs="仿宋"/>
          <w:color w:val="auto"/>
          <w:kern w:val="0"/>
          <w:sz w:val="24"/>
          <w:szCs w:val="24"/>
          <w:highlight w:val="none"/>
        </w:rPr>
        <w:t>。</w:t>
      </w:r>
    </w:p>
    <w:p w14:paraId="36AFA287">
      <w:pPr>
        <w:spacing w:line="48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14.2.4 设计人工程设计文件超出主要技术指标控制值比例的违约责任：</w:t>
      </w:r>
      <w:r>
        <w:rPr>
          <w:rFonts w:hint="eastAsia" w:ascii="仿宋" w:hAnsi="仿宋" w:eastAsia="仿宋" w:cs="仿宋"/>
          <w:color w:val="auto"/>
          <w:kern w:val="0"/>
          <w:sz w:val="24"/>
          <w:szCs w:val="24"/>
          <w:highlight w:val="none"/>
          <w:u w:val="single"/>
        </w:rPr>
        <w:t>不超过该项目应收设计费的</w:t>
      </w:r>
      <w:r>
        <w:rPr>
          <w:rFonts w:hint="eastAsia" w:ascii="仿宋" w:hAnsi="仿宋" w:eastAsia="仿宋" w:cs="仿宋"/>
          <w:color w:val="auto"/>
          <w:kern w:val="0"/>
          <w:sz w:val="24"/>
          <w:szCs w:val="24"/>
          <w:highlight w:val="none"/>
          <w:u w:val="single"/>
          <w:lang w:val="en-US" w:eastAsia="zh-CN"/>
        </w:rPr>
        <w:t>30%</w:t>
      </w:r>
      <w:r>
        <w:rPr>
          <w:rFonts w:hint="eastAsia" w:ascii="仿宋" w:hAnsi="仿宋" w:eastAsia="仿宋" w:cs="仿宋"/>
          <w:color w:val="auto"/>
          <w:kern w:val="0"/>
          <w:sz w:val="24"/>
          <w:szCs w:val="24"/>
          <w:highlight w:val="none"/>
        </w:rPr>
        <w:t>。</w:t>
      </w:r>
    </w:p>
    <w:p w14:paraId="0AFAED16">
      <w:pPr>
        <w:spacing w:line="48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15. 不可抗力 </w:t>
      </w:r>
    </w:p>
    <w:p w14:paraId="576628E0">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不可抗力的确认</w:t>
      </w:r>
    </w:p>
    <w:p w14:paraId="053B08F2">
      <w:pPr>
        <w:spacing w:line="480" w:lineRule="exact"/>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sz w:val="24"/>
          <w:szCs w:val="24"/>
          <w:highlight w:val="none"/>
        </w:rPr>
        <w:t>除通用合同条款约定的不可抗力事件之外，视为不可抗力的其他情形：</w:t>
      </w:r>
      <w:r>
        <w:rPr>
          <w:rFonts w:hint="eastAsia" w:ascii="仿宋" w:hAnsi="仿宋" w:eastAsia="仿宋" w:cs="仿宋"/>
          <w:color w:val="auto"/>
          <w:sz w:val="24"/>
          <w:szCs w:val="24"/>
          <w:highlight w:val="none"/>
          <w:u w:val="single"/>
        </w:rPr>
        <w:t>按通用条款执行</w:t>
      </w:r>
      <w:r>
        <w:rPr>
          <w:rFonts w:hint="eastAsia" w:ascii="仿宋" w:hAnsi="仿宋" w:eastAsia="仿宋" w:cs="仿宋"/>
          <w:color w:val="auto"/>
          <w:kern w:val="0"/>
          <w:sz w:val="24"/>
          <w:szCs w:val="24"/>
          <w:highlight w:val="none"/>
        </w:rPr>
        <w:t>。</w:t>
      </w:r>
    </w:p>
    <w:p w14:paraId="44D2F126">
      <w:pPr>
        <w:spacing w:line="48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16. 合同解除 </w:t>
      </w:r>
    </w:p>
    <w:p w14:paraId="6B7A1259">
      <w:pPr>
        <w:spacing w:line="480" w:lineRule="exact"/>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16.2 </w:t>
      </w:r>
      <w:r>
        <w:rPr>
          <w:rFonts w:hint="eastAsia" w:ascii="仿宋" w:hAnsi="仿宋" w:eastAsia="仿宋" w:cs="仿宋"/>
          <w:color w:val="auto"/>
          <w:sz w:val="24"/>
          <w:szCs w:val="24"/>
          <w:highlight w:val="none"/>
        </w:rPr>
        <w:t>有下列情形之一的，可以解除合同：</w:t>
      </w:r>
    </w:p>
    <w:p w14:paraId="451ECE7A">
      <w:pPr>
        <w:spacing w:line="480" w:lineRule="exact"/>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（3）暂停设计期限已连续超过</w:t>
      </w:r>
      <w:r>
        <w:rPr>
          <w:rFonts w:hint="eastAsia" w:ascii="仿宋" w:hAnsi="仿宋" w:eastAsia="仿宋" w:cs="仿宋"/>
          <w:color w:val="auto"/>
          <w:kern w:val="0"/>
          <w:sz w:val="24"/>
          <w:szCs w:val="24"/>
          <w:highlight w:val="none"/>
          <w:u w:val="single"/>
        </w:rPr>
        <w:t xml:space="preserve"> 180 </w:t>
      </w:r>
      <w:r>
        <w:rPr>
          <w:rFonts w:hint="eastAsia" w:ascii="仿宋" w:hAnsi="仿宋" w:eastAsia="仿宋" w:cs="仿宋"/>
          <w:color w:val="auto"/>
          <w:kern w:val="0"/>
          <w:sz w:val="24"/>
          <w:szCs w:val="24"/>
          <w:highlight w:val="none"/>
        </w:rPr>
        <w:t>天。</w:t>
      </w:r>
    </w:p>
    <w:p w14:paraId="49E3F89C">
      <w:pPr>
        <w:spacing w:line="480" w:lineRule="exact"/>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16.4 </w:t>
      </w:r>
      <w:r>
        <w:rPr>
          <w:rFonts w:hint="eastAsia" w:ascii="仿宋" w:hAnsi="仿宋" w:eastAsia="仿宋" w:cs="仿宋"/>
          <w:color w:val="auto"/>
          <w:sz w:val="24"/>
          <w:szCs w:val="24"/>
          <w:highlight w:val="none"/>
        </w:rPr>
        <w:t>发包人向设计人支付已完成工作设计费的期限</w:t>
      </w:r>
      <w:r>
        <w:rPr>
          <w:rFonts w:hint="eastAsia" w:ascii="仿宋" w:hAnsi="仿宋" w:eastAsia="仿宋" w:cs="仿宋"/>
          <w:color w:val="auto"/>
          <w:sz w:val="24"/>
          <w:szCs w:val="24"/>
          <w:highlight w:val="none"/>
          <w:u w:val="single"/>
        </w:rPr>
        <w:t xml:space="preserve"> 30 </w:t>
      </w:r>
      <w:r>
        <w:rPr>
          <w:rFonts w:hint="eastAsia" w:ascii="仿宋" w:hAnsi="仿宋" w:eastAsia="仿宋" w:cs="仿宋"/>
          <w:color w:val="auto"/>
          <w:sz w:val="24"/>
          <w:szCs w:val="24"/>
          <w:highlight w:val="none"/>
        </w:rPr>
        <w:t>天内。</w:t>
      </w:r>
    </w:p>
    <w:p w14:paraId="49C54DCA">
      <w:pPr>
        <w:spacing w:line="48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争议解决</w:t>
      </w:r>
    </w:p>
    <w:p w14:paraId="31462569">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 争议评审</w:t>
      </w:r>
    </w:p>
    <w:p w14:paraId="6B15FD9D">
      <w:pPr>
        <w:spacing w:line="480" w:lineRule="exact"/>
        <w:ind w:firstLine="360" w:firstLineChars="15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合同当事人是否同意将工程争议提交争议评审小组决定：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w:t>
      </w:r>
    </w:p>
    <w:p w14:paraId="45AF7362">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 争议评审小组的确定</w:t>
      </w:r>
    </w:p>
    <w:p w14:paraId="76EA6079">
      <w:pPr>
        <w:spacing w:line="480" w:lineRule="exact"/>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争议评审小组成员的确定：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883F50D">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选定争议评审员的期限：</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95CA733">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评审所发生的费用</w:t>
      </w:r>
      <w:r>
        <w:rPr>
          <w:rFonts w:hint="eastAsia" w:ascii="仿宋" w:hAnsi="仿宋" w:eastAsia="仿宋" w:cs="仿宋"/>
          <w:color w:val="auto"/>
          <w:sz w:val="24"/>
          <w:szCs w:val="24"/>
          <w:highlight w:val="none"/>
        </w:rPr>
        <w:t>承担方式：</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12872134">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其他事项的约定：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65117AEA">
      <w:pPr>
        <w:autoSpaceDE w:val="0"/>
        <w:autoSpaceDN w:val="0"/>
        <w:adjustRightInd w:val="0"/>
        <w:spacing w:line="480" w:lineRule="exact"/>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17.3.2 争议评审小组的决定</w:t>
      </w:r>
    </w:p>
    <w:p w14:paraId="6AA55798">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合同当事人关于本事项的约定：</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14:paraId="641E5455">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17.4仲裁或诉讼</w:t>
      </w:r>
    </w:p>
    <w:p w14:paraId="7A963337">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因合同及合同有关事项发生的争议，按下列第</w:t>
      </w:r>
      <w:r>
        <w:rPr>
          <w:rFonts w:hint="eastAsia" w:ascii="仿宋" w:hAnsi="仿宋" w:eastAsia="仿宋" w:cs="仿宋"/>
          <w:color w:val="auto"/>
          <w:sz w:val="24"/>
          <w:szCs w:val="24"/>
          <w:highlight w:val="none"/>
          <w:u w:val="single"/>
        </w:rPr>
        <w:t xml:space="preserve"> （2） </w:t>
      </w:r>
      <w:r>
        <w:rPr>
          <w:rFonts w:hint="eastAsia" w:ascii="仿宋" w:hAnsi="仿宋" w:eastAsia="仿宋" w:cs="仿宋"/>
          <w:color w:val="auto"/>
          <w:sz w:val="24"/>
          <w:szCs w:val="24"/>
          <w:highlight w:val="none"/>
        </w:rPr>
        <w:t>种方式解决：</w:t>
      </w:r>
    </w:p>
    <w:p w14:paraId="6F37CC39">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w:t>
      </w:r>
      <w:r>
        <w:rPr>
          <w:rFonts w:hint="eastAsia" w:ascii="仿宋" w:hAnsi="仿宋" w:eastAsia="仿宋" w:cs="仿宋"/>
          <w:color w:val="auto"/>
          <w:sz w:val="24"/>
          <w:szCs w:val="24"/>
          <w:highlight w:val="none"/>
          <w:u w:val="single"/>
        </w:rPr>
        <w:t xml:space="preserve"> 咸阳市 </w:t>
      </w:r>
      <w:r>
        <w:rPr>
          <w:rFonts w:hint="eastAsia" w:ascii="仿宋" w:hAnsi="仿宋" w:eastAsia="仿宋" w:cs="仿宋"/>
          <w:color w:val="auto"/>
          <w:sz w:val="24"/>
          <w:szCs w:val="24"/>
          <w:highlight w:val="none"/>
        </w:rPr>
        <w:t>仲裁委员会申请仲裁；</w:t>
      </w:r>
    </w:p>
    <w:p w14:paraId="4AA2A1AA">
      <w:pPr>
        <w:spacing w:line="48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w:t>
      </w:r>
      <w:r>
        <w:rPr>
          <w:rFonts w:hint="eastAsia" w:ascii="仿宋" w:hAnsi="仿宋" w:eastAsia="仿宋" w:cs="仿宋"/>
          <w:color w:val="auto"/>
          <w:sz w:val="24"/>
          <w:szCs w:val="24"/>
          <w:highlight w:val="none"/>
          <w:u w:val="single"/>
        </w:rPr>
        <w:t xml:space="preserve">  发包人所在地  </w:t>
      </w:r>
      <w:r>
        <w:rPr>
          <w:rFonts w:hint="eastAsia" w:ascii="仿宋" w:hAnsi="仿宋" w:eastAsia="仿宋" w:cs="仿宋"/>
          <w:color w:val="auto"/>
          <w:sz w:val="24"/>
          <w:szCs w:val="24"/>
          <w:highlight w:val="none"/>
        </w:rPr>
        <w:t>人民法院起诉。</w:t>
      </w:r>
    </w:p>
    <w:p w14:paraId="5C20D371">
      <w:pPr>
        <w:spacing w:line="480" w:lineRule="exact"/>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18. </w:t>
      </w:r>
      <w:r>
        <w:rPr>
          <w:rFonts w:hint="eastAsia" w:ascii="仿宋" w:hAnsi="仿宋" w:eastAsia="仿宋" w:cs="仿宋"/>
          <w:color w:val="auto"/>
          <w:sz w:val="24"/>
          <w:szCs w:val="24"/>
          <w:highlight w:val="none"/>
          <w:lang w:val="en-US" w:eastAsia="zh-CN"/>
        </w:rPr>
        <w:t>补充条款</w:t>
      </w:r>
    </w:p>
    <w:p w14:paraId="26031CA5">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420" w:leftChars="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）设计人按本合同</w:t>
      </w:r>
      <w:r>
        <w:rPr>
          <w:rFonts w:hint="eastAsia" w:ascii="仿宋" w:hAnsi="仿宋" w:eastAsia="仿宋" w:cs="仿宋"/>
          <w:color w:val="auto"/>
          <w:sz w:val="24"/>
          <w:szCs w:val="24"/>
          <w:highlight w:val="none"/>
          <w:lang w:val="en-US" w:eastAsia="zh-CN"/>
        </w:rPr>
        <w:t>技术要求</w:t>
      </w:r>
      <w:r>
        <w:rPr>
          <w:rFonts w:hint="eastAsia" w:ascii="仿宋" w:hAnsi="仿宋" w:eastAsia="仿宋" w:cs="仿宋"/>
          <w:color w:val="auto"/>
          <w:sz w:val="24"/>
          <w:szCs w:val="24"/>
          <w:highlight w:val="none"/>
          <w:lang w:eastAsia="zh-CN"/>
        </w:rPr>
        <w:t>和规定的内容、进度及份数向发包人交付资料及文件。</w:t>
      </w:r>
    </w:p>
    <w:p w14:paraId="6850B83A">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420" w:leftChars="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）设计人交付设计资料及文件后，按规定参加有关的设计审查，并根据审查结论负责对不超出原定范围的内容做必要调整补充。</w:t>
      </w:r>
    </w:p>
    <w:p w14:paraId="020AFE2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420" w:leftChars="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）设计人应当提供设计技术交底、解决施工中设计技术问题和提供竣工验收服务。发包人要求设计人派专人长期驻施工现场进行配合与解决有关问题时，双方应另行签订补充协议或技术咨询服务合同。</w:t>
      </w:r>
    </w:p>
    <w:p w14:paraId="1E1E316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420" w:leftChars="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 设计人应选派符合发包人要求的设计人员，更换设计人员的应提前征得发包人的书面同意。对离职、调离工作岗位或其他合理原因需更换设计人员的，设计人应保证更换后的人员不低于最初选定的设计人员的素质和专业水平。</w:t>
      </w:r>
    </w:p>
    <w:p w14:paraId="1BDB36AC">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420" w:leftChars="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设计人负责投保年度工程设计责任保险，按时足额缴纳保费，及时向保险公司索赔，承担由于设计人的疏忽或过失而引发的工程质量事故所造成的建设工程本身的物质损失以及第三者人身伤亡、财产损失或费用的赔偿责任。</w:t>
      </w:r>
    </w:p>
    <w:p w14:paraId="7AF23D7D">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设计院各内容均需达到专项设计内容，除基坑支护</w:t>
      </w:r>
      <w:r>
        <w:rPr>
          <w:rFonts w:hint="eastAsia" w:ascii="仿宋" w:hAnsi="仿宋" w:eastAsia="仿宋" w:cs="仿宋"/>
          <w:color w:val="auto"/>
          <w:sz w:val="24"/>
          <w:szCs w:val="24"/>
          <w:highlight w:val="none"/>
          <w:u w:val="single"/>
          <w:lang w:val="en-US" w:eastAsia="zh-CN"/>
        </w:rPr>
        <w:t>及甲方认可内容</w:t>
      </w:r>
      <w:r>
        <w:rPr>
          <w:rFonts w:hint="eastAsia" w:ascii="仿宋" w:hAnsi="仿宋" w:eastAsia="仿宋" w:cs="仿宋"/>
          <w:color w:val="auto"/>
          <w:sz w:val="24"/>
          <w:szCs w:val="24"/>
          <w:highlight w:val="none"/>
          <w:u w:val="single"/>
        </w:rPr>
        <w:t>外，其余绿化设计、室外照明、外立面、强弱电</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室内装修</w:t>
      </w:r>
      <w:r>
        <w:rPr>
          <w:rFonts w:hint="eastAsia" w:ascii="仿宋" w:hAnsi="仿宋" w:eastAsia="仿宋" w:cs="仿宋"/>
          <w:color w:val="auto"/>
          <w:sz w:val="24"/>
          <w:szCs w:val="24"/>
          <w:highlight w:val="none"/>
          <w:u w:val="single"/>
        </w:rPr>
        <w:t>设计需能达到施工要求，不得以专项设计、参数不详为由达不到清单编制要求。否则，每项扣罚设计费</w:t>
      </w:r>
      <w:r>
        <w:rPr>
          <w:rFonts w:hint="eastAsia" w:ascii="仿宋" w:hAnsi="仿宋" w:eastAsia="仿宋" w:cs="仿宋"/>
          <w:color w:val="auto"/>
          <w:sz w:val="24"/>
          <w:szCs w:val="24"/>
          <w:highlight w:val="none"/>
          <w:u w:val="single"/>
          <w:lang w:val="en-US" w:eastAsia="zh-CN"/>
        </w:rPr>
        <w:t>5000元</w:t>
      </w:r>
      <w:r>
        <w:rPr>
          <w:rFonts w:hint="eastAsia" w:ascii="仿宋" w:hAnsi="仿宋" w:eastAsia="仿宋" w:cs="仿宋"/>
          <w:color w:val="auto"/>
          <w:sz w:val="24"/>
          <w:szCs w:val="24"/>
          <w:highlight w:val="none"/>
          <w:u w:val="single"/>
        </w:rPr>
        <w:t>。</w:t>
      </w:r>
    </w:p>
    <w:p w14:paraId="39710D2E">
      <w:pPr>
        <w:numPr>
          <w:ilvl w:val="0"/>
          <w:numId w:val="0"/>
        </w:numPr>
        <w:spacing w:line="480" w:lineRule="exact"/>
        <w:ind w:left="420" w:firstLine="0" w:firstLineChars="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7）所有二次深化和暂估价内容需经甲方确认，未经甲方同意擅自列明二次深化设计和暂估价内容的，每项按10000元处罚。</w:t>
      </w:r>
    </w:p>
    <w:p w14:paraId="15989C5A">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420" w:lef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（8）设计人员需主动提前对接图审单位、咸阳市行政审批局、咸阳市住建局、咸阳市墙改办、咸阳市人防办及其他相关单位，确保设计条件满足政府要求。因对接问题导致图纸返工由设计单位承担延误责任。</w:t>
      </w:r>
    </w:p>
    <w:p w14:paraId="725C8A56">
      <w:pPr>
        <w:spacing w:line="480" w:lineRule="exact"/>
        <w:ind w:firstLine="480" w:firstLineChars="200"/>
        <w:rPr>
          <w:rFonts w:hint="eastAsia" w:ascii="仿宋" w:hAnsi="仿宋" w:eastAsia="仿宋" w:cs="仿宋"/>
          <w:color w:val="auto"/>
          <w:sz w:val="24"/>
          <w:szCs w:val="24"/>
          <w:highlight w:val="none"/>
          <w:u w:val="none"/>
        </w:rPr>
      </w:pPr>
      <w:bookmarkStart w:id="17" w:name="_Hlk79588945"/>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val="en-US" w:eastAsia="zh-CN"/>
        </w:rPr>
        <w:t>9</w:t>
      </w:r>
      <w:r>
        <w:rPr>
          <w:rFonts w:hint="eastAsia" w:ascii="仿宋" w:hAnsi="仿宋" w:eastAsia="仿宋" w:cs="仿宋"/>
          <w:color w:val="auto"/>
          <w:sz w:val="24"/>
          <w:szCs w:val="24"/>
          <w:highlight w:val="none"/>
          <w:u w:val="none"/>
        </w:rPr>
        <w:t>）设计人对设计资料及文件出现的遗漏或错误负责修改或补充。由于设计人员设计错误造成工程质量事故，设计人除负责采取补救措施外，应免收直接受损失部分的设计费（发包人可直接扣除相应费用）。损失严重的应根据损失的程度和设计人责任大小向发包人支付赔偿金，赔偿金按国家有关规定执行。</w:t>
      </w:r>
    </w:p>
    <w:bookmarkEnd w:id="17"/>
    <w:p w14:paraId="3AD3F02B">
      <w:pPr>
        <w:spacing w:line="48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val="en-US" w:eastAsia="zh-CN"/>
        </w:rPr>
        <w:t>10</w:t>
      </w:r>
      <w:r>
        <w:rPr>
          <w:rFonts w:hint="eastAsia" w:ascii="仿宋" w:hAnsi="仿宋" w:eastAsia="仿宋" w:cs="仿宋"/>
          <w:color w:val="auto"/>
          <w:sz w:val="24"/>
          <w:szCs w:val="24"/>
          <w:highlight w:val="none"/>
          <w:u w:val="none"/>
        </w:rPr>
        <w:t>）设计人收到施工图审查意见后应于5日内日完成图纸修改，收到行政部门消防设计和人防工程等审查意见后应于3日内完成图纸修改，</w:t>
      </w:r>
      <w:r>
        <w:rPr>
          <w:rFonts w:hint="eastAsia" w:ascii="仿宋" w:hAnsi="仿宋" w:eastAsia="仿宋" w:cs="仿宋"/>
          <w:color w:val="auto"/>
          <w:sz w:val="24"/>
          <w:szCs w:val="24"/>
          <w:highlight w:val="none"/>
          <w:u w:val="none"/>
          <w:lang w:val="en-US" w:eastAsia="zh-CN"/>
        </w:rPr>
        <w:t>绿建、装配式应在收到审查意见5日内完成图纸修改，招标及预算编制过程中需在收到甲方文件3日内完成修改反馈；发包人收到设计人变更要求应于5日内出具变更图纸；</w:t>
      </w:r>
      <w:r>
        <w:rPr>
          <w:rFonts w:hint="eastAsia" w:ascii="仿宋" w:hAnsi="仿宋" w:eastAsia="仿宋" w:cs="仿宋"/>
          <w:color w:val="auto"/>
          <w:sz w:val="24"/>
          <w:szCs w:val="24"/>
          <w:highlight w:val="none"/>
          <w:u w:val="none"/>
        </w:rPr>
        <w:t>以上工作每延误一天，按</w:t>
      </w:r>
      <w:r>
        <w:rPr>
          <w:rFonts w:hint="eastAsia" w:ascii="仿宋" w:hAnsi="仿宋" w:eastAsia="仿宋" w:cs="仿宋"/>
          <w:color w:val="auto"/>
          <w:sz w:val="24"/>
          <w:szCs w:val="24"/>
          <w:highlight w:val="none"/>
          <w:u w:val="none"/>
          <w:lang w:val="en-US" w:eastAsia="zh-CN"/>
        </w:rPr>
        <w:t>2</w:t>
      </w:r>
      <w:r>
        <w:rPr>
          <w:rFonts w:hint="eastAsia" w:ascii="仿宋" w:hAnsi="仿宋" w:eastAsia="仿宋" w:cs="仿宋"/>
          <w:color w:val="auto"/>
          <w:sz w:val="24"/>
          <w:szCs w:val="24"/>
          <w:highlight w:val="none"/>
          <w:u w:val="none"/>
        </w:rPr>
        <w:t>000元处罚。延误超过30天的，发包人有权解除合同，设计人应当退还发包方已支付设计费。</w:t>
      </w:r>
    </w:p>
    <w:p w14:paraId="3E7B158B">
      <w:pPr>
        <w:spacing w:line="480" w:lineRule="exact"/>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val="en-US" w:eastAsia="zh-CN"/>
        </w:rPr>
        <w:t>11</w:t>
      </w:r>
      <w:r>
        <w:rPr>
          <w:rFonts w:hint="eastAsia" w:ascii="仿宋" w:hAnsi="仿宋" w:eastAsia="仿宋" w:cs="仿宋"/>
          <w:color w:val="auto"/>
          <w:sz w:val="24"/>
          <w:szCs w:val="24"/>
          <w:highlight w:val="none"/>
          <w:u w:val="none"/>
        </w:rPr>
        <w:t>）由于设计图纸错、漏、碰、缺引起的施工返工、停工，若设计人未能及时处理，对施工工期造成</w:t>
      </w:r>
      <w:r>
        <w:rPr>
          <w:rFonts w:hint="eastAsia" w:ascii="仿宋" w:hAnsi="仿宋" w:eastAsia="仿宋" w:cs="仿宋"/>
          <w:color w:val="auto"/>
          <w:sz w:val="24"/>
          <w:szCs w:val="24"/>
          <w:highlight w:val="none"/>
          <w:u w:val="none"/>
          <w:lang w:val="en-US" w:eastAsia="zh-CN"/>
        </w:rPr>
        <w:t>实质</w:t>
      </w:r>
      <w:r>
        <w:rPr>
          <w:rFonts w:hint="eastAsia" w:ascii="仿宋" w:hAnsi="仿宋" w:eastAsia="仿宋" w:cs="仿宋"/>
          <w:color w:val="auto"/>
          <w:sz w:val="24"/>
          <w:szCs w:val="24"/>
          <w:highlight w:val="none"/>
          <w:u w:val="none"/>
        </w:rPr>
        <w:t>影响的，按</w:t>
      </w:r>
      <w:r>
        <w:rPr>
          <w:rFonts w:hint="eastAsia" w:ascii="仿宋" w:hAnsi="仿宋" w:eastAsia="仿宋" w:cs="仿宋"/>
          <w:color w:val="auto"/>
          <w:sz w:val="24"/>
          <w:szCs w:val="24"/>
          <w:highlight w:val="none"/>
          <w:u w:val="none"/>
          <w:lang w:val="en-US" w:eastAsia="zh-CN"/>
        </w:rPr>
        <w:t>2000元/天</w:t>
      </w:r>
      <w:r>
        <w:rPr>
          <w:rFonts w:hint="eastAsia" w:ascii="仿宋" w:hAnsi="仿宋" w:eastAsia="仿宋" w:cs="仿宋"/>
          <w:color w:val="auto"/>
          <w:sz w:val="24"/>
          <w:szCs w:val="24"/>
          <w:highlight w:val="none"/>
          <w:u w:val="none"/>
        </w:rPr>
        <w:t>赔偿，经监理和发包人确认后，从设计费中直接扣除。</w:t>
      </w:r>
    </w:p>
    <w:p w14:paraId="6DA73784">
      <w:pPr>
        <w:spacing w:line="480" w:lineRule="exact"/>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lang w:val="en-US" w:eastAsia="zh-CN"/>
        </w:rPr>
        <w:t>（12）</w:t>
      </w:r>
      <w:r>
        <w:rPr>
          <w:rFonts w:hint="default" w:ascii="仿宋" w:hAnsi="仿宋" w:eastAsia="仿宋" w:cs="仿宋"/>
          <w:color w:val="auto"/>
          <w:sz w:val="24"/>
          <w:szCs w:val="24"/>
          <w:highlight w:val="none"/>
          <w:u w:val="none"/>
          <w:lang w:val="en-US" w:eastAsia="zh-CN"/>
        </w:rPr>
        <w:t>因设计人原因，导致施工过程中发生设计变更，单项设计变更致使工程费增加大于10万元的，由设计人承担增加工程费的10%，最多不超过全额设计费</w:t>
      </w:r>
      <w:r>
        <w:rPr>
          <w:rFonts w:hint="eastAsia" w:ascii="仿宋" w:hAnsi="仿宋" w:eastAsia="仿宋" w:cs="仿宋"/>
          <w:color w:val="auto"/>
          <w:sz w:val="24"/>
          <w:szCs w:val="24"/>
          <w:highlight w:val="none"/>
          <w:u w:val="none"/>
          <w:lang w:val="en-US" w:eastAsia="zh-CN"/>
        </w:rPr>
        <w:t>，</w:t>
      </w:r>
      <w:r>
        <w:rPr>
          <w:rFonts w:hint="default" w:ascii="仿宋" w:hAnsi="仿宋" w:eastAsia="仿宋" w:cs="仿宋"/>
          <w:color w:val="auto"/>
          <w:sz w:val="24"/>
          <w:szCs w:val="24"/>
          <w:highlight w:val="none"/>
          <w:u w:val="none"/>
          <w:lang w:val="en-US" w:eastAsia="zh-CN"/>
        </w:rPr>
        <w:t>以上费用发包人从设计费中直接扣除，不足部分由设计人退还已支付设计费补足。</w:t>
      </w:r>
      <w:r>
        <w:rPr>
          <w:rFonts w:hint="eastAsia" w:ascii="仿宋" w:hAnsi="仿宋" w:eastAsia="仿宋" w:cs="仿宋"/>
          <w:color w:val="auto"/>
          <w:sz w:val="24"/>
          <w:szCs w:val="24"/>
          <w:highlight w:val="none"/>
          <w:u w:val="none"/>
          <w:lang w:val="en-US" w:eastAsia="zh-CN"/>
        </w:rPr>
        <w:t>与（11）条重复内容，取罚款更大的执行。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63AA328-2B53-4EA7-A909-D25B9ABE5907}"/>
  </w:font>
  <w:font w:name="仿宋_GB2312">
    <w:panose1 w:val="02010609030101010101"/>
    <w:charset w:val="86"/>
    <w:family w:val="auto"/>
    <w:pitch w:val="default"/>
    <w:sig w:usb0="00000001" w:usb1="080E0000" w:usb2="00000000" w:usb3="00000000" w:csb0="00040000" w:csb1="00000000"/>
    <w:embedRegular r:id="rId2" w:fontKey="{2D959FFA-4502-47EA-8CC9-704302F36DC2}"/>
  </w:font>
  <w:font w:name="仿宋">
    <w:panose1 w:val="02010609060101010101"/>
    <w:charset w:val="86"/>
    <w:family w:val="modern"/>
    <w:pitch w:val="default"/>
    <w:sig w:usb0="800002BF" w:usb1="38CF7CFA" w:usb2="00000016" w:usb3="00000000" w:csb0="00040001" w:csb1="00000000"/>
    <w:embedRegular r:id="rId3" w:fontKey="{0A077F1C-F151-4E93-B173-68DC45574048}"/>
  </w:font>
  <w:font w:name="方正仿宋_GB2312">
    <w:panose1 w:val="02000000000000000000"/>
    <w:charset w:val="86"/>
    <w:family w:val="auto"/>
    <w:pitch w:val="default"/>
    <w:sig w:usb0="A00002BF" w:usb1="184F6CFA" w:usb2="00000012" w:usb3="00000000" w:csb0="00040001" w:csb1="00000000"/>
    <w:embedRegular r:id="rId4" w:fontKey="{635F9530-BCD3-4BC0-9267-1891AF56CBC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26EFC"/>
    <w:rsid w:val="0EE06B2A"/>
    <w:rsid w:val="3C046AB8"/>
    <w:rsid w:val="424A7FCF"/>
    <w:rsid w:val="53B37937"/>
    <w:rsid w:val="6DFA0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szCs w:val="22"/>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4699</Words>
  <Characters>5040</Characters>
  <Lines>0</Lines>
  <Paragraphs>0</Paragraphs>
  <TotalTime>1</TotalTime>
  <ScaleCrop>false</ScaleCrop>
  <LinksUpToDate>false</LinksUpToDate>
  <CharactersWithSpaces>5492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2025-07-02T14:11:00Z</dcterms:created>
  <dc:creator>dell</dc:creator>
  <cp:lastModifiedBy>乐乐</cp:lastModifiedBy>
  <dcterms:modified xsi:type="dcterms:W3CDTF">2025-07-02T14:29:13Z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eyJoZGlkIjoiNjVjOGI3YWFjN2EzMDY1MTk5NTU0YjRkYzJkOWQ1YjUiLCJ1c2VySWQiOiIyODI4NjAyODQifQ==</vt:lpwstr>
  </property>
  <property fmtid="{D5CDD505-2E9C-101B-9397-08002B2CF9AE}" pid="4" name="ICV">
    <vt:lpwstr>30A1374BAC6D438185612248F9353542_12</vt:lpwstr>
  </property>
</Properties>
</file>