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版本号：SZY2025SCZ005A（SCZD2025-ZB-1369-001）20250702001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15、17、18、19号学生宿舍施工图设计项目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SZY2025SCZ005A（SCZD2025-ZB-1369-001）</w:t>
      </w:r>
      <w:r>
        <w:br/>
      </w:r>
      <w:r>
        <w:br/>
      </w:r>
      <w:r>
        <w:br/>
      </w:r>
    </w:p>
    <w:p>
      <w:pPr>
        <w:pStyle w:val="null3"/>
        <w:jc w:val="center"/>
        <w:outlineLvl w:val="2"/>
      </w:pPr>
      <w:r>
        <w:rPr>
          <w:rFonts w:ascii="仿宋_GB2312" w:hAnsi="仿宋_GB2312" w:cs="仿宋_GB2312" w:eastAsia="仿宋_GB2312"/>
          <w:sz w:val="28"/>
          <w:b/>
        </w:rPr>
        <w:t>陕西中医药大学</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陕西中医药大学</w:t>
      </w:r>
      <w:r>
        <w:rPr>
          <w:rFonts w:ascii="仿宋_GB2312" w:hAnsi="仿宋_GB2312" w:cs="仿宋_GB2312" w:eastAsia="仿宋_GB2312"/>
        </w:rPr>
        <w:t>委托，拟对</w:t>
      </w:r>
      <w:r>
        <w:rPr>
          <w:rFonts w:ascii="仿宋_GB2312" w:hAnsi="仿宋_GB2312" w:cs="仿宋_GB2312" w:eastAsia="仿宋_GB2312"/>
        </w:rPr>
        <w:t>15、17、18、19号学生宿舍施工图设计项目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SZY2025SCZ005A（SCZD2025-ZB-1369-001）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15、17、18、19号学生宿舍施工图设计项目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中医药大学15、17、18、19号学生宿舍施工图设计，设计深度需满足现行标准、规范及发包人要求。报价涵盖：绿建及装配式方案设计和评审、验收评审；初步设计对接配合，施工图设计、概算编制、预算编制配合、技术交底答疑、后期施工现场配合服务、竣工验收、移交配合等。 15、17号学生宿舍为2栋四人间宿舍单体建筑,其中15号学生宿舍楼建筑面积12081.65平方米，地上13层，9691.00平方米，地下1层，2390.65平方米;17号学生宿舍楼建筑面积10789.41平方米，地上13层，8642.98平方米，地下1层，2146.43平方米;均为钢筋混凝土框剪结构，总建筑面积22871.06平方米，总投资约12517.32万元。18、19号学生宿舍项目建议书总建筑面积 22735.72 平方米,其中地上建筑面积 18268.02平方米，地下建筑面积 4467.70 平方米。地上13层，地下一层，总投资约12482.69万元。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在递交磋商响应文件截止时间前被“信用中国”网站（www.creditchina.gov.cn）和中国政府采购网（www.ccgp.gov.cn）上被列入失信被执行人、重大税收违法失信主体、政府采购严重违法失信行为记录名单的，不得参加磋商：供应商在递交磋商响应文件截止时间前被“信用中国”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2、供应商参加本项目的合法授权人授权委托书：供应商应授权合法的人员参加磋商全过程，其中法定代表人直接参加磋商的，须出具法人身份证，并与营业执照上信息一致。法定代表人授权代表参加磋商的，须出具法定代表人授权书及授权代表身份证复印件、授权代表本单位证明（养老保险缴纳证明或劳动合同）</w:t>
      </w:r>
    </w:p>
    <w:p>
      <w:pPr>
        <w:pStyle w:val="null3"/>
      </w:pPr>
      <w:r>
        <w:rPr>
          <w:rFonts w:ascii="仿宋_GB2312" w:hAnsi="仿宋_GB2312" w:cs="仿宋_GB2312" w:eastAsia="仿宋_GB2312"/>
        </w:rPr>
        <w:t>3、供应商资质：供应商须具有建设行政主管部门颁发的【工程设计综合甲级资质】或【建筑行业设计乙级资质】或【建筑行业（建筑工程）专业设计乙级】及以上资质</w:t>
      </w:r>
    </w:p>
    <w:p>
      <w:pPr>
        <w:pStyle w:val="null3"/>
      </w:pPr>
      <w:r>
        <w:rPr>
          <w:rFonts w:ascii="仿宋_GB2312" w:hAnsi="仿宋_GB2312" w:cs="仿宋_GB2312" w:eastAsia="仿宋_GB2312"/>
        </w:rPr>
        <w:t>4、设计项目负责人：设计项目负责人具有国家一级注册建筑师资格并在本单位登记注册执业（以注册证书或登记证书为准）；供应商和拟派设计项目负责人在“ 陕西省住房和城乡建设厅网站（http://js.shaanxi.gov.cn/）陕西省建筑市场监管与诚信信息发布平台”可查</w:t>
      </w:r>
    </w:p>
    <w:p>
      <w:pPr>
        <w:pStyle w:val="null3"/>
      </w:pPr>
      <w:r>
        <w:rPr>
          <w:rFonts w:ascii="仿宋_GB2312" w:hAnsi="仿宋_GB2312" w:cs="仿宋_GB2312" w:eastAsia="仿宋_GB2312"/>
        </w:rPr>
        <w:t>5、供应商不得存在下列情形之一：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pPr>
      <w:r>
        <w:rPr>
          <w:rFonts w:ascii="仿宋_GB2312" w:hAnsi="仿宋_GB2312" w:cs="仿宋_GB2312" w:eastAsia="仿宋_GB2312"/>
        </w:rPr>
        <w:t>6、需按照磋商公告要求的方式获取磋商文件并登记备案：未按磋商公告要求的方式获取磋商文件并登记备案的供应商均无资格参加磋商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陕西中医药大学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陕西省西咸新区沣西新城西咸大道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陕西中医药大学经办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029-38180262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周乐、雷鹏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15009283469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中标金额在50万元及以下，服务费定额4000元；中标服务费50万元以上，服务费参照原国家计委计价格〔2002〕1980号文和国家发改委发改办价格〔2003〕857号文的计算方法按标准下浮30%收取。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陕西中医药大学</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陕西中医药大学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陕西中医药大学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联系人：马超</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地址：西安市高新区锦业路1号都市之门C座9层综合办</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陕西中医药大学</w:t>
      </w:r>
      <w:r>
        <w:rPr>
          <w:rFonts w:ascii="仿宋_GB2312" w:hAnsi="仿宋_GB2312" w:cs="仿宋_GB2312" w:eastAsia="仿宋_GB2312"/>
        </w:rPr>
        <w:t>15、17、18、19号学生宿舍施工图设计，设计深度需满足现行标准、规范及发包人要求。报价涵盖：绿建及装配式方案设计和评审、验收评审；初步设计对接配合，施工图设计、概算编制、预算编制配合、技术交底答疑、后期施工现场配合服务、竣工验收、移交配合等。</w:t>
      </w:r>
    </w:p>
    <w:p>
      <w:pPr>
        <w:pStyle w:val="null3"/>
        <w:jc w:val="both"/>
      </w:pPr>
      <w:r>
        <w:rPr>
          <w:rFonts w:ascii="仿宋_GB2312" w:hAnsi="仿宋_GB2312" w:cs="仿宋_GB2312" w:eastAsia="仿宋_GB2312"/>
          <w:sz w:val="21"/>
        </w:rPr>
        <w:t>15、17</w:t>
      </w:r>
      <w:r>
        <w:rPr>
          <w:rFonts w:ascii="仿宋_GB2312" w:hAnsi="仿宋_GB2312" w:cs="仿宋_GB2312" w:eastAsia="仿宋_GB2312"/>
          <w:sz w:val="21"/>
        </w:rPr>
        <w:t>号学生宿舍</w:t>
      </w:r>
      <w:r>
        <w:rPr>
          <w:rFonts w:ascii="仿宋_GB2312" w:hAnsi="仿宋_GB2312" w:cs="仿宋_GB2312" w:eastAsia="仿宋_GB2312"/>
          <w:sz w:val="21"/>
        </w:rPr>
        <w:t>为</w:t>
      </w:r>
      <w:r>
        <w:rPr>
          <w:rFonts w:ascii="仿宋_GB2312" w:hAnsi="仿宋_GB2312" w:cs="仿宋_GB2312" w:eastAsia="仿宋_GB2312"/>
          <w:sz w:val="21"/>
        </w:rPr>
        <w:t>2栋四人间宿舍单体建筑,其中15</w:t>
      </w:r>
      <w:r>
        <w:rPr>
          <w:rFonts w:ascii="仿宋_GB2312" w:hAnsi="仿宋_GB2312" w:cs="仿宋_GB2312" w:eastAsia="仿宋_GB2312"/>
          <w:sz w:val="21"/>
        </w:rPr>
        <w:t>号</w:t>
      </w:r>
      <w:r>
        <w:rPr>
          <w:rFonts w:ascii="仿宋_GB2312" w:hAnsi="仿宋_GB2312" w:cs="仿宋_GB2312" w:eastAsia="仿宋_GB2312"/>
          <w:sz w:val="21"/>
        </w:rPr>
        <w:t>学生宿舍楼建筑面积</w:t>
      </w:r>
      <w:r>
        <w:rPr>
          <w:rFonts w:ascii="仿宋_GB2312" w:hAnsi="仿宋_GB2312" w:cs="仿宋_GB2312" w:eastAsia="仿宋_GB2312"/>
          <w:sz w:val="21"/>
        </w:rPr>
        <w:t>12081.65平方米，地上13层，9691.00平方米，地下1层，2390.65平方米;17</w:t>
      </w:r>
      <w:r>
        <w:rPr>
          <w:rFonts w:ascii="仿宋_GB2312" w:hAnsi="仿宋_GB2312" w:cs="仿宋_GB2312" w:eastAsia="仿宋_GB2312"/>
          <w:sz w:val="21"/>
        </w:rPr>
        <w:t>号</w:t>
      </w:r>
      <w:r>
        <w:rPr>
          <w:rFonts w:ascii="仿宋_GB2312" w:hAnsi="仿宋_GB2312" w:cs="仿宋_GB2312" w:eastAsia="仿宋_GB2312"/>
          <w:sz w:val="21"/>
        </w:rPr>
        <w:t>学生宿舍楼建筑面积</w:t>
      </w:r>
      <w:r>
        <w:rPr>
          <w:rFonts w:ascii="仿宋_GB2312" w:hAnsi="仿宋_GB2312" w:cs="仿宋_GB2312" w:eastAsia="仿宋_GB2312"/>
          <w:sz w:val="21"/>
        </w:rPr>
        <w:t>10789.41平方米，地上13层，8642.98平方米，地下1层，2146.43平方米;均为钢筋混凝土框剪结构，总建筑面积22871.06平方米，总投资约12517.32万元。18、19号学生宿舍项目建议书总建筑面积 22735.72 平方米,其中地上建筑面积 18268.02平方米，地下建筑面积 4467.70 平方米。地上13层，地下一层</w:t>
      </w:r>
      <w:r>
        <w:rPr>
          <w:rFonts w:ascii="仿宋_GB2312" w:hAnsi="仿宋_GB2312" w:cs="仿宋_GB2312" w:eastAsia="仿宋_GB2312"/>
          <w:sz w:val="21"/>
        </w:rPr>
        <w:t>，</w:t>
      </w:r>
      <w:r>
        <w:rPr>
          <w:rFonts w:ascii="仿宋_GB2312" w:hAnsi="仿宋_GB2312" w:cs="仿宋_GB2312" w:eastAsia="仿宋_GB2312"/>
          <w:sz w:val="21"/>
        </w:rPr>
        <w:t>总投资约</w:t>
      </w:r>
      <w:r>
        <w:rPr>
          <w:rFonts w:ascii="仿宋_GB2312" w:hAnsi="仿宋_GB2312" w:cs="仿宋_GB2312" w:eastAsia="仿宋_GB2312"/>
          <w:sz w:val="21"/>
        </w:rPr>
        <w:t>12482.69</w:t>
      </w:r>
      <w:r>
        <w:rPr>
          <w:rFonts w:ascii="仿宋_GB2312" w:hAnsi="仿宋_GB2312" w:cs="仿宋_GB2312" w:eastAsia="仿宋_GB2312"/>
          <w:sz w:val="21"/>
        </w:rPr>
        <w:t>万元。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980,000.00</w:t>
      </w:r>
    </w:p>
    <w:p>
      <w:pPr>
        <w:pStyle w:val="null3"/>
      </w:pPr>
      <w:r>
        <w:rPr>
          <w:rFonts w:ascii="仿宋_GB2312" w:hAnsi="仿宋_GB2312" w:cs="仿宋_GB2312" w:eastAsia="仿宋_GB2312"/>
        </w:rPr>
        <w:t>采购包最高限价（元）: 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15、17、18、19号学生宿舍施工图设计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标的名称：15、17、18、19号学生宿舍施工图设计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1"/>
                <w:b/>
              </w:rPr>
              <w:t>设计任务书</w:t>
            </w:r>
          </w:p>
          <w:p>
            <w:pPr>
              <w:pStyle w:val="null3"/>
              <w:ind w:firstLine="480"/>
            </w:pPr>
            <w:r>
              <w:rPr>
                <w:rFonts w:ascii="仿宋_GB2312" w:hAnsi="仿宋_GB2312" w:cs="仿宋_GB2312" w:eastAsia="仿宋_GB2312"/>
                <w:sz w:val="21"/>
                <w:b/>
              </w:rPr>
              <w:t>一、服务范围：</w:t>
            </w:r>
            <w:r>
              <w:rPr>
                <w:rFonts w:ascii="仿宋_GB2312" w:hAnsi="仿宋_GB2312" w:cs="仿宋_GB2312" w:eastAsia="仿宋_GB2312"/>
                <w:sz w:val="21"/>
              </w:rPr>
              <w:t>陕西中医药大学15、17、18、19号学生宿舍施工图设计，设计深度需满足现行标准、规范及发包人要求。报价涵盖：绿建及装配式方案设计和评审、验收评审；初步设计对接配合，施工图设计、概算编制、预算编制配合、技术交底答疑、后期施工现场配合服务、竣工验收、移交配合等。</w:t>
            </w:r>
          </w:p>
          <w:p>
            <w:pPr>
              <w:pStyle w:val="null3"/>
              <w:jc w:val="both"/>
            </w:pPr>
            <w:r>
              <w:rPr>
                <w:rFonts w:ascii="仿宋_GB2312" w:hAnsi="仿宋_GB2312" w:cs="仿宋_GB2312" w:eastAsia="仿宋_GB2312"/>
                <w:sz w:val="21"/>
                <w:b/>
              </w:rPr>
              <w:t>二、项目概况：</w:t>
            </w:r>
            <w:r>
              <w:rPr>
                <w:rFonts w:ascii="仿宋_GB2312" w:hAnsi="仿宋_GB2312" w:cs="仿宋_GB2312" w:eastAsia="仿宋_GB2312"/>
                <w:sz w:val="21"/>
              </w:rPr>
              <w:t>项目按15、17一批次，18、19一批次进行报建。15、17已在教育厅立项，该建设项目为2栋四人间宿舍单体建筑,其中15#学生宿舍楼建筑面积12081.65平方米，地上13层，9691.00平方米，地下1层，2390.65平方米;17#学生宿舍楼建筑面积10789.41平方米，地上13层，8642.98平方米，地下1层，2146.43平方米;均为钢筋混凝土框剪结构，总建筑面积22871.06平方米，总投资约12517.32万元。</w:t>
            </w:r>
          </w:p>
          <w:p>
            <w:pPr>
              <w:pStyle w:val="null3"/>
              <w:jc w:val="both"/>
            </w:pPr>
            <w:r>
              <w:rPr>
                <w:rFonts w:ascii="仿宋_GB2312" w:hAnsi="仿宋_GB2312" w:cs="仿宋_GB2312" w:eastAsia="仿宋_GB2312"/>
                <w:sz w:val="21"/>
              </w:rPr>
              <w:t>18、19号学生宿舍项目建议书总建筑面积 22735.72 平方米,其中地上建筑面积 18268.02平方米，地下建筑面积 4467.70 平方米。地上13层，地下一层，总投资约12482.69万元。</w:t>
            </w:r>
          </w:p>
          <w:p>
            <w:pPr>
              <w:pStyle w:val="null3"/>
              <w:jc w:val="both"/>
            </w:pPr>
            <w:r>
              <w:rPr>
                <w:rFonts w:ascii="仿宋_GB2312" w:hAnsi="仿宋_GB2312" w:cs="仿宋_GB2312" w:eastAsia="仿宋_GB2312"/>
                <w:sz w:val="21"/>
                <w:b/>
              </w:rPr>
              <w:t>三、商务要求</w:t>
            </w:r>
          </w:p>
          <w:p>
            <w:pPr>
              <w:pStyle w:val="null3"/>
              <w:jc w:val="both"/>
            </w:pPr>
            <w:r>
              <w:rPr>
                <w:rFonts w:ascii="仿宋_GB2312" w:hAnsi="仿宋_GB2312" w:cs="仿宋_GB2312" w:eastAsia="仿宋_GB2312"/>
                <w:sz w:val="21"/>
              </w:rPr>
              <w:t>（一）工期：合同签订后20天内完成效果图，发包人下发施工图设计开始通知之日起20天完成施工图设计；</w:t>
            </w:r>
          </w:p>
          <w:p>
            <w:pPr>
              <w:pStyle w:val="null3"/>
              <w:ind w:firstLine="600"/>
              <w:jc w:val="both"/>
            </w:pPr>
            <w:r>
              <w:rPr>
                <w:rFonts w:ascii="仿宋_GB2312" w:hAnsi="仿宋_GB2312" w:cs="仿宋_GB2312" w:eastAsia="仿宋_GB2312"/>
                <w:sz w:val="21"/>
              </w:rPr>
              <w:t>服务时间：自合同签订之日起至项目竣工验收。</w:t>
            </w:r>
          </w:p>
          <w:p>
            <w:pPr>
              <w:pStyle w:val="null3"/>
              <w:jc w:val="both"/>
            </w:pPr>
            <w:r>
              <w:rPr>
                <w:rFonts w:ascii="仿宋_GB2312" w:hAnsi="仿宋_GB2312" w:cs="仿宋_GB2312" w:eastAsia="仿宋_GB2312"/>
                <w:sz w:val="21"/>
              </w:rPr>
              <w:t>（二）地点：陕西中医药大学南校区</w:t>
            </w:r>
          </w:p>
          <w:p>
            <w:pPr>
              <w:pStyle w:val="null3"/>
              <w:jc w:val="both"/>
            </w:pPr>
            <w:r>
              <w:rPr>
                <w:rFonts w:ascii="仿宋_GB2312" w:hAnsi="仿宋_GB2312" w:cs="仿宋_GB2312" w:eastAsia="仿宋_GB2312"/>
                <w:sz w:val="21"/>
              </w:rPr>
              <w:t>（三）付款方式</w:t>
            </w:r>
          </w:p>
          <w:p>
            <w:pPr>
              <w:pStyle w:val="null3"/>
              <w:jc w:val="both"/>
            </w:pPr>
            <w:r>
              <w:rPr>
                <w:rFonts w:ascii="仿宋_GB2312" w:hAnsi="仿宋_GB2312" w:cs="仿宋_GB2312" w:eastAsia="仿宋_GB2312"/>
                <w:sz w:val="21"/>
              </w:rPr>
              <w:t>项目按15#、17#学生宿舍一批次，18#、19#一批次进行付款。付款比例按批次进行支付，支付比例见下表：</w:t>
            </w:r>
          </w:p>
          <w:tbl>
            <w:tblPr>
              <w:tblInd w:type="dxa" w:w="135"/>
              <w:tblBorders>
                <w:top w:val="none" w:color="000000" w:sz="4"/>
                <w:left w:val="none" w:color="000000" w:sz="4"/>
                <w:bottom w:val="none" w:color="000000" w:sz="4"/>
                <w:right w:val="none" w:color="000000" w:sz="4"/>
                <w:insideH w:val="none"/>
                <w:insideV w:val="none"/>
              </w:tblBorders>
            </w:tblPr>
            <w:tblGrid>
              <w:gridCol w:w="638"/>
              <w:gridCol w:w="2457"/>
              <w:gridCol w:w="729"/>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4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阶段</w:t>
                  </w:r>
                </w:p>
              </w:tc>
              <w:tc>
                <w:tcPr>
                  <w:tcW w:type="dxa" w:w="7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比例</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完成施工图设计、经图纸审查并修改合格后。</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本工程施工项目封顶后。</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本工程施工项目竣工验收合格后。</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309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合计</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r>
          </w:tbl>
          <w:p>
            <w:pPr>
              <w:pStyle w:val="null3"/>
              <w:jc w:val="both"/>
            </w:pPr>
            <w:r>
              <w:rPr>
                <w:rFonts w:ascii="仿宋_GB2312" w:hAnsi="仿宋_GB2312" w:cs="仿宋_GB2312" w:eastAsia="仿宋_GB2312"/>
                <w:sz w:val="21"/>
                <w:b/>
              </w:rPr>
              <w:t>四、质量保证</w:t>
            </w:r>
          </w:p>
          <w:p>
            <w:pPr>
              <w:pStyle w:val="null3"/>
              <w:ind w:firstLine="400"/>
              <w:jc w:val="both"/>
            </w:pPr>
            <w:r>
              <w:rPr>
                <w:rFonts w:ascii="仿宋_GB2312" w:hAnsi="仿宋_GB2312" w:cs="仿宋_GB2312" w:eastAsia="仿宋_GB2312"/>
                <w:sz w:val="21"/>
              </w:rPr>
              <w:t>施工图不得违反现行规范；</w:t>
            </w:r>
          </w:p>
          <w:p>
            <w:pPr>
              <w:pStyle w:val="null3"/>
              <w:jc w:val="both"/>
            </w:pPr>
            <w:r>
              <w:rPr>
                <w:rFonts w:ascii="仿宋_GB2312" w:hAnsi="仿宋_GB2312" w:cs="仿宋_GB2312" w:eastAsia="仿宋_GB2312"/>
                <w:sz w:val="21"/>
                <w:b/>
              </w:rPr>
              <w:t>五、</w:t>
            </w:r>
            <w:r>
              <w:rPr>
                <w:rFonts w:ascii="仿宋_GB2312" w:hAnsi="仿宋_GB2312" w:cs="仿宋_GB2312" w:eastAsia="仿宋_GB2312"/>
                <w:sz w:val="21"/>
                <w:b/>
              </w:rPr>
              <w:t>设计指导思想及原则</w:t>
            </w:r>
          </w:p>
          <w:p>
            <w:pPr>
              <w:pStyle w:val="null3"/>
              <w:ind w:firstLine="400"/>
              <w:jc w:val="both"/>
            </w:pPr>
            <w:r>
              <w:rPr>
                <w:rFonts w:ascii="仿宋_GB2312" w:hAnsi="仿宋_GB2312" w:cs="仿宋_GB2312" w:eastAsia="仿宋_GB2312"/>
                <w:sz w:val="21"/>
              </w:rPr>
              <w:t>1.本着以人为本、安全适用、技术先进、经济合理的原则，具备灵活的通用性，可随着需要，进行适应性的扩展调整。</w:t>
            </w:r>
          </w:p>
          <w:p>
            <w:pPr>
              <w:pStyle w:val="null3"/>
              <w:ind w:firstLine="400"/>
              <w:jc w:val="both"/>
            </w:pPr>
            <w:r>
              <w:rPr>
                <w:rFonts w:ascii="仿宋_GB2312" w:hAnsi="仿宋_GB2312" w:cs="仿宋_GB2312" w:eastAsia="仿宋_GB2312"/>
                <w:sz w:val="21"/>
              </w:rPr>
              <w:t>2.满足项目的功能需求、运营和管理需求、交通需求、生态需求、人性化需求。</w:t>
            </w:r>
          </w:p>
          <w:p>
            <w:pPr>
              <w:pStyle w:val="null3"/>
              <w:ind w:firstLine="400"/>
              <w:jc w:val="both"/>
            </w:pPr>
            <w:r>
              <w:rPr>
                <w:rFonts w:ascii="仿宋_GB2312" w:hAnsi="仿宋_GB2312" w:cs="仿宋_GB2312" w:eastAsia="仿宋_GB2312"/>
                <w:sz w:val="21"/>
              </w:rPr>
              <w:t>3.设计遵循主题鲜明、布局合理、功能齐全、安全舒适、简约时尚、设计感强原则完善设计思路。</w:t>
            </w:r>
          </w:p>
          <w:p>
            <w:pPr>
              <w:pStyle w:val="null3"/>
              <w:ind w:firstLine="400"/>
              <w:jc w:val="both"/>
            </w:pPr>
            <w:r>
              <w:rPr>
                <w:rFonts w:ascii="仿宋_GB2312" w:hAnsi="仿宋_GB2312" w:cs="仿宋_GB2312" w:eastAsia="仿宋_GB2312"/>
                <w:sz w:val="21"/>
              </w:rPr>
              <w:t>4.符合公共设施空间和人体舒适度设计要求。</w:t>
            </w:r>
          </w:p>
          <w:p>
            <w:pPr>
              <w:pStyle w:val="null3"/>
              <w:ind w:firstLine="400"/>
              <w:jc w:val="both"/>
            </w:pPr>
            <w:r>
              <w:rPr>
                <w:rFonts w:ascii="仿宋_GB2312" w:hAnsi="仿宋_GB2312" w:cs="仿宋_GB2312" w:eastAsia="仿宋_GB2312"/>
                <w:sz w:val="21"/>
              </w:rPr>
              <w:t>5.符合国家对于公共建筑装修安全、防火规范与规定。</w:t>
            </w:r>
          </w:p>
          <w:p>
            <w:pPr>
              <w:pStyle w:val="null3"/>
              <w:ind w:firstLine="400"/>
              <w:jc w:val="both"/>
            </w:pPr>
            <w:r>
              <w:rPr>
                <w:rFonts w:ascii="仿宋_GB2312" w:hAnsi="仿宋_GB2312" w:cs="仿宋_GB2312" w:eastAsia="仿宋_GB2312"/>
                <w:sz w:val="21"/>
              </w:rPr>
              <w:t>6材料的寿命周期设计不应低于中华人民共和国颁布的该类建筑的相应标准的规定。</w:t>
            </w:r>
          </w:p>
          <w:p>
            <w:pPr>
              <w:pStyle w:val="null3"/>
              <w:ind w:firstLine="400"/>
              <w:jc w:val="both"/>
            </w:pPr>
            <w:r>
              <w:rPr>
                <w:rFonts w:ascii="仿宋_GB2312" w:hAnsi="仿宋_GB2312" w:cs="仿宋_GB2312" w:eastAsia="仿宋_GB2312"/>
                <w:sz w:val="21"/>
              </w:rPr>
              <w:t>7.应尽量保留和利用原有的结构和构建，避免不必要的拆除和更换。</w:t>
            </w:r>
          </w:p>
          <w:p>
            <w:pPr>
              <w:pStyle w:val="null3"/>
              <w:ind w:firstLine="400"/>
              <w:jc w:val="both"/>
            </w:pPr>
            <w:r>
              <w:rPr>
                <w:rFonts w:ascii="仿宋_GB2312" w:hAnsi="仿宋_GB2312" w:cs="仿宋_GB2312" w:eastAsia="仿宋_GB2312"/>
                <w:sz w:val="21"/>
              </w:rPr>
              <w:t>8.设计方案应经济合理，对设计的建设期投资和运营过程中费用进行评价，使方案在先进性和经济性之间达到完美的平衡。</w:t>
            </w:r>
          </w:p>
          <w:p>
            <w:pPr>
              <w:pStyle w:val="null3"/>
              <w:jc w:val="both"/>
            </w:pPr>
            <w:r>
              <w:rPr>
                <w:rFonts w:ascii="仿宋_GB2312" w:hAnsi="仿宋_GB2312" w:cs="仿宋_GB2312" w:eastAsia="仿宋_GB2312"/>
                <w:sz w:val="21"/>
                <w:b/>
              </w:rPr>
              <w:t>六、设计成果要求</w:t>
            </w:r>
          </w:p>
          <w:p>
            <w:pPr>
              <w:pStyle w:val="null3"/>
              <w:ind w:firstLine="400"/>
              <w:jc w:val="both"/>
            </w:pPr>
            <w:r>
              <w:rPr>
                <w:rFonts w:ascii="仿宋_GB2312" w:hAnsi="仿宋_GB2312" w:cs="仿宋_GB2312" w:eastAsia="仿宋_GB2312"/>
                <w:sz w:val="21"/>
              </w:rPr>
              <w:t>1.设计成果必须满足国家及地方的有关法律法规、设计规范、技术标准和设计深度要求，符合地方政策性文件以及地方现场的相关规定。</w:t>
            </w:r>
          </w:p>
          <w:p>
            <w:pPr>
              <w:pStyle w:val="null3"/>
              <w:ind w:firstLine="400"/>
              <w:jc w:val="both"/>
            </w:pPr>
            <w:r>
              <w:rPr>
                <w:rFonts w:ascii="仿宋_GB2312" w:hAnsi="仿宋_GB2312" w:cs="仿宋_GB2312" w:eastAsia="仿宋_GB2312"/>
                <w:sz w:val="21"/>
              </w:rPr>
              <w:t>2.工作内容应满足采购人提供的设计合同、设计任务书及过程交流书面文件（联系单、会议纪要等）的要求。</w:t>
            </w:r>
          </w:p>
          <w:p>
            <w:pPr>
              <w:pStyle w:val="null3"/>
              <w:ind w:firstLine="400"/>
              <w:jc w:val="both"/>
            </w:pPr>
            <w:r>
              <w:rPr>
                <w:rFonts w:ascii="仿宋_GB2312" w:hAnsi="仿宋_GB2312" w:cs="仿宋_GB2312" w:eastAsia="仿宋_GB2312"/>
                <w:sz w:val="21"/>
              </w:rPr>
              <w:t>3.图纸采用公制单位标注，汉语简体版文字说明。</w:t>
            </w:r>
          </w:p>
          <w:p>
            <w:pPr>
              <w:pStyle w:val="null3"/>
              <w:jc w:val="both"/>
            </w:pPr>
            <w:r>
              <w:rPr>
                <w:rFonts w:ascii="仿宋_GB2312" w:hAnsi="仿宋_GB2312" w:cs="仿宋_GB2312" w:eastAsia="仿宋_GB2312"/>
                <w:sz w:val="21"/>
                <w:b/>
              </w:rPr>
              <w:t>七、交付资料要求</w:t>
            </w:r>
          </w:p>
          <w:p>
            <w:pPr>
              <w:pStyle w:val="null3"/>
              <w:ind w:firstLine="400"/>
              <w:jc w:val="both"/>
            </w:pPr>
            <w:r>
              <w:rPr>
                <w:rFonts w:ascii="仿宋_GB2312" w:hAnsi="仿宋_GB2312" w:cs="仿宋_GB2312" w:eastAsia="仿宋_GB2312"/>
                <w:sz w:val="21"/>
              </w:rPr>
              <w:t>（1）方案设计</w:t>
            </w:r>
          </w:p>
          <w:p>
            <w:pPr>
              <w:pStyle w:val="null3"/>
              <w:ind w:firstLine="400"/>
              <w:jc w:val="both"/>
            </w:pPr>
            <w:r>
              <w:rPr>
                <w:rFonts w:ascii="仿宋_GB2312" w:hAnsi="仿宋_GB2312" w:cs="仿宋_GB2312" w:eastAsia="仿宋_GB2312"/>
                <w:sz w:val="21"/>
              </w:rPr>
              <w:t>设计文本统一以A3(420mmX297mm)规格编排装订成册。</w:t>
            </w:r>
          </w:p>
          <w:p>
            <w:pPr>
              <w:pStyle w:val="null3"/>
              <w:ind w:firstLine="400"/>
              <w:jc w:val="both"/>
            </w:pPr>
            <w:r>
              <w:rPr>
                <w:rFonts w:ascii="仿宋_GB2312" w:hAnsi="仿宋_GB2312" w:cs="仿宋_GB2312" w:eastAsia="仿宋_GB2312"/>
                <w:sz w:val="21"/>
              </w:rPr>
              <w:t>文本数量6份（不包含报建及中间沟通稿所需图纸）。</w:t>
            </w:r>
          </w:p>
          <w:p>
            <w:pPr>
              <w:pStyle w:val="null3"/>
              <w:ind w:firstLine="400"/>
              <w:jc w:val="both"/>
            </w:pPr>
            <w:r>
              <w:rPr>
                <w:rFonts w:ascii="仿宋_GB2312" w:hAnsi="仿宋_GB2312" w:cs="仿宋_GB2312" w:eastAsia="仿宋_GB2312"/>
                <w:sz w:val="21"/>
              </w:rPr>
              <w:t>（2）施工图设计</w:t>
            </w:r>
          </w:p>
          <w:p>
            <w:pPr>
              <w:pStyle w:val="null3"/>
              <w:ind w:firstLine="400"/>
              <w:jc w:val="both"/>
            </w:pPr>
            <w:r>
              <w:rPr>
                <w:rFonts w:ascii="仿宋_GB2312" w:hAnsi="仿宋_GB2312" w:cs="仿宋_GB2312" w:eastAsia="仿宋_GB2312"/>
                <w:sz w:val="21"/>
              </w:rPr>
              <w:t>各专业图纸图纸规格需尽量做到统一，每专业每栋楼图纸规格不得超过三种。</w:t>
            </w:r>
          </w:p>
          <w:p>
            <w:pPr>
              <w:pStyle w:val="null3"/>
              <w:ind w:firstLine="400"/>
              <w:jc w:val="both"/>
            </w:pPr>
            <w:r>
              <w:rPr>
                <w:rFonts w:ascii="仿宋_GB2312" w:hAnsi="仿宋_GB2312" w:cs="仿宋_GB2312" w:eastAsia="仿宋_GB2312"/>
                <w:sz w:val="21"/>
              </w:rPr>
              <w:t>各专业图纸数量16份（精装本4套）；计算书2套；</w:t>
            </w:r>
          </w:p>
          <w:p>
            <w:pPr>
              <w:pStyle w:val="null3"/>
              <w:ind w:firstLine="400"/>
              <w:jc w:val="both"/>
            </w:pPr>
            <w:r>
              <w:rPr>
                <w:rFonts w:ascii="仿宋_GB2312" w:hAnsi="仿宋_GB2312" w:cs="仿宋_GB2312" w:eastAsia="仿宋_GB2312"/>
                <w:sz w:val="21"/>
              </w:rPr>
              <w:t>（3）电子文件</w:t>
            </w:r>
          </w:p>
          <w:p>
            <w:pPr>
              <w:pStyle w:val="null3"/>
              <w:jc w:val="both"/>
            </w:pPr>
            <w:r>
              <w:rPr>
                <w:rFonts w:ascii="仿宋_GB2312" w:hAnsi="仿宋_GB2312" w:cs="仿宋_GB2312" w:eastAsia="仿宋_GB2312"/>
                <w:sz w:val="21"/>
              </w:rPr>
              <w:t>提供以上设计文件U盘2套，其中设计文本文件使用office格式；平面、立面、剖面等图纸使用dwg格式；彩色图纸使用jpg格式。</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方案演示：项目设计负责人需在磋商截止时间前到指定地点签到（西安市高新区锦业路1号都市之门C座9层评标一室）进行现场述标和方案演示(限时10分钟)，项目设计负责人须携带本人身份证原件进行现场核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自合同签订之日起至项目竣工验收。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陕西中医药大学南校区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完成施工图设计、经图纸审查并修改合格后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本工程施工项目封顶后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本工程施工项目竣工验收合格后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详见拟签订采购合同文本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法人或者其他组织、自然人的营业执照等证明文件</w:t>
            </w:r>
          </w:p>
        </w:tc>
        <w:tc>
          <w:tcPr>
            <w:tcW w:type="dxa" w:w="3322"/>
          </w:tcPr>
          <w:p>
            <w:pPr>
              <w:pStyle w:val="null3"/>
            </w:pPr>
            <w:r>
              <w:rPr>
                <w:rFonts w:ascii="仿宋_GB2312" w:hAnsi="仿宋_GB2312" w:cs="仿宋_GB2312" w:eastAsia="仿宋_GB2312"/>
              </w:rPr>
              <w:t>（1）供应商是企业（包括合伙企业）的，应提供其在市场监督管理部门注册的有效“营业执照 ”的复印件； （2）供应商是事业单位的，应提供其有效的“事业单位法人证书”复印件； （3）供应商是非企业专业服务机构的，应提供其有效的“执业许可证”复印件； （4）供应商是民办非企业单位的，应提供其有效的登记证书复印件； （5）供应商是个体工商户的，应提供其有效的“营业执照”复印件； （6）供应商是自然人的，应提供其有效的自然人身份证明复印件。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依法缴纳税收的相关材料</w:t>
            </w:r>
          </w:p>
        </w:tc>
        <w:tc>
          <w:tcPr>
            <w:tcW w:type="dxa" w:w="3322"/>
          </w:tcPr>
          <w:p>
            <w:pPr>
              <w:pStyle w:val="null3"/>
            </w:pPr>
            <w:r>
              <w:rPr>
                <w:rFonts w:ascii="仿宋_GB2312" w:hAnsi="仿宋_GB2312" w:cs="仿宋_GB2312" w:eastAsia="仿宋_GB2312"/>
              </w:rPr>
              <w:t>（1）供应商应提供磋商截止时间前近六个月中任何一个月缴税凭证，时间以税款所属时期为准（银行出具的缴税凭证或税务机关出具的证明的复印件，并加盖本单位公章）。 （2）缴纳凭证复印件须清晰可辨，并能显示出供应商名称和所缴纳税种种类，单位代扣代缴的个人所得税不能作为单位纳税的凭证。 （3）依法免税或无须缴纳税收的供应商，应提供相应文件证明。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1）或者（2）任意一个：（1）提供2023年度或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 （2）提供资信证明扫描件，应满足以下要求：①资信证明须为递交磋商响应文件截止时间前三个月内由供应商基本账户开户银行出具，银行出具的存款证明不能替代银行资信证明。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依法缴纳社会保障资金的相关材料</w:t>
            </w:r>
          </w:p>
        </w:tc>
        <w:tc>
          <w:tcPr>
            <w:tcW w:type="dxa" w:w="3322"/>
          </w:tcPr>
          <w:p>
            <w:pPr>
              <w:pStyle w:val="null3"/>
            </w:pPr>
            <w:r>
              <w:rPr>
                <w:rFonts w:ascii="仿宋_GB2312" w:hAnsi="仿宋_GB2312" w:cs="仿宋_GB2312" w:eastAsia="仿宋_GB2312"/>
              </w:rPr>
              <w:t>（1）供应商应提供投标截止时间前近六个月中至少一个月的缴纳社会保险的凭据（专用收据或社会保险缴纳清单），并加盖本单位公章。 （2）凭证复印件须清晰可辨，并能显示出供应商名称和所缴纳的社保的种类。 （3）依法不需要缴纳社会保障资金的，应提供相应证明文件，并加盖本单位公章。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具备履行合同所必需的设备和专业技术能力的证明材料</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无</w:t>
            </w:r>
          </w:p>
        </w:tc>
        <w:tc>
          <w:tcPr>
            <w:tcW w:type="dxa" w:w="3322"/>
          </w:tcPr>
          <w:p>
            <w:pPr>
              <w:pStyle w:val="null3"/>
            </w:pPr>
            <w:r>
              <w:rPr>
                <w:rFonts w:ascii="仿宋_GB2312" w:hAnsi="仿宋_GB2312" w:cs="仿宋_GB2312" w:eastAsia="仿宋_GB2312"/>
              </w:rPr>
              <w:t>本项目非专门面向中小企业、监狱企业、残疾人福利性单位。</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在递交磋商响应文件截止时间前被“信用中国”网站（www.creditchina.gov.cn）和中国政府采购网（www.ccgp.gov.cn）上被列入失信被执行人、重大税收违法失信主体、政府采购严重违法失信行为记录名单的，不得参加磋商</w:t>
            </w:r>
          </w:p>
        </w:tc>
        <w:tc>
          <w:tcPr>
            <w:tcW w:type="dxa" w:w="3322"/>
          </w:tcPr>
          <w:p>
            <w:pPr>
              <w:pStyle w:val="null3"/>
            </w:pPr>
            <w:r>
              <w:rPr>
                <w:rFonts w:ascii="仿宋_GB2312" w:hAnsi="仿宋_GB2312" w:cs="仿宋_GB2312" w:eastAsia="仿宋_GB2312"/>
              </w:rPr>
              <w:t>供应商在递交磋商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供应商参加本项目的合法授权人授权委托书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并与营业执照上信息一致。法定代表人授权代表参加磋商的，须出具法定代表人授权书及授权代表身份证复印件、授权代表本单位证明（养老保险缴纳证明或劳动合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供应商须具有建设行政主管部门颁发的【工程设计综合甲级资质】或【建筑行业设计乙级资质】或【建筑行业（建筑工程）专业设计乙级】及以上资质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设计项目负责人</w:t>
            </w:r>
          </w:p>
        </w:tc>
        <w:tc>
          <w:tcPr>
            <w:tcW w:type="dxa" w:w="3322"/>
          </w:tcPr>
          <w:p>
            <w:pPr>
              <w:pStyle w:val="null3"/>
            </w:pPr>
            <w:r>
              <w:rPr>
                <w:rFonts w:ascii="仿宋_GB2312" w:hAnsi="仿宋_GB2312" w:cs="仿宋_GB2312" w:eastAsia="仿宋_GB2312"/>
              </w:rPr>
              <w:t>设计项目负责人具有国家一级注册建筑师资格并在本单位登记注册执业（以注册证书或登记证书为准）；供应商和拟派设计项目负责人在“ 陕西省住房和城乡建设厅网站（http://js.shaanxi.gov.cn/）陕西省建筑市场监管与诚信信息发布平台”可查</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需按照磋商公告要求的方式获取磋商文件并登记备案</w:t>
            </w:r>
          </w:p>
        </w:tc>
        <w:tc>
          <w:tcPr>
            <w:tcW w:type="dxa" w:w="3322"/>
          </w:tcPr>
          <w:p>
            <w:pPr>
              <w:pStyle w:val="null3"/>
            </w:pPr>
            <w:r>
              <w:rPr>
                <w:rFonts w:ascii="仿宋_GB2312" w:hAnsi="仿宋_GB2312" w:cs="仿宋_GB2312" w:eastAsia="仿宋_GB2312"/>
              </w:rPr>
              <w:t>未按磋商公告要求的方式获取磋商文件并登记备案的供应商均无资格参加磋商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商务技术应答表.docx 中小企业声明函 残疾人福利性单位声明函 分项报价.docx 报价表 响应函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分项报价.docx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响应内容不存在不符合采购文件规定情形，不存在采购档次降低或影响采购性能、功能的情形</w:t>
            </w:r>
          </w:p>
        </w:tc>
        <w:tc>
          <w:tcPr>
            <w:tcW w:type="dxa" w:w="1661"/>
          </w:tcPr>
          <w:p>
            <w:pPr>
              <w:pStyle w:val="null3"/>
            </w:pPr>
            <w:r>
              <w:rPr>
                <w:rFonts w:ascii="仿宋_GB2312" w:hAnsi="仿宋_GB2312" w:cs="仿宋_GB2312" w:eastAsia="仿宋_GB2312"/>
              </w:rPr>
              <w:t>商务技术应答表.docx 组织机构人员.docx 服务方案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不存在采购文件规定的响应无效条款的情形</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2020年以来公共建筑类似设计项目业绩证明材料，每提供1项得3分，本项最多得12分。未提供的或所提供资料不符合要求的不得分。评审依据：提供合同的复印件或扫描件加盖公章，同时提供总平、平立剖图纸盖章扫描件（不提供不得分）时间以合同签订时间为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vMerge/>
          </w:tcPr>
          <w:p/>
        </w:tc>
        <w:tc>
          <w:tcPr>
            <w:tcW w:type="dxa" w:w="1661"/>
          </w:tcPr>
          <w:p>
            <w:pPr>
              <w:pStyle w:val="null3"/>
            </w:pPr>
            <w:r>
              <w:rPr>
                <w:rFonts w:ascii="仿宋_GB2312" w:hAnsi="仿宋_GB2312" w:cs="仿宋_GB2312" w:eastAsia="仿宋_GB2312"/>
              </w:rPr>
              <w:t>奖项</w:t>
            </w:r>
          </w:p>
        </w:tc>
        <w:tc>
          <w:tcPr>
            <w:tcW w:type="dxa" w:w="2492"/>
          </w:tcPr>
          <w:p>
            <w:pPr>
              <w:pStyle w:val="null3"/>
            </w:pPr>
            <w:r>
              <w:rPr>
                <w:rFonts w:ascii="仿宋_GB2312" w:hAnsi="仿宋_GB2312" w:cs="仿宋_GB2312" w:eastAsia="仿宋_GB2312"/>
              </w:rPr>
              <w:t>供应商2020年1月1日至今获得住建行政部门颁发的国家级奖项1个得1分，省部级奖项1个得0.5分，满分3分，每个项目不重复计分。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企业奖项.docx</w:t>
            </w:r>
          </w:p>
        </w:tc>
      </w:tr>
      <w:tr>
        <w:tc>
          <w:tcPr>
            <w:tcW w:type="dxa" w:w="831"/>
            <w:vMerge/>
          </w:tcPr>
          <w:p/>
        </w:tc>
        <w:tc>
          <w:tcPr>
            <w:tcW w:type="dxa" w:w="1661"/>
          </w:tcPr>
          <w:p>
            <w:pPr>
              <w:pStyle w:val="null3"/>
            </w:pPr>
            <w:r>
              <w:rPr>
                <w:rFonts w:ascii="仿宋_GB2312" w:hAnsi="仿宋_GB2312" w:cs="仿宋_GB2312" w:eastAsia="仿宋_GB2312"/>
              </w:rPr>
              <w:t>拟派项目设计负责人</w:t>
            </w:r>
          </w:p>
        </w:tc>
        <w:tc>
          <w:tcPr>
            <w:tcW w:type="dxa" w:w="2492"/>
          </w:tcPr>
          <w:p>
            <w:pPr>
              <w:pStyle w:val="null3"/>
            </w:pPr>
            <w:r>
              <w:rPr>
                <w:rFonts w:ascii="仿宋_GB2312" w:hAnsi="仿宋_GB2312" w:cs="仿宋_GB2312" w:eastAsia="仿宋_GB2312"/>
              </w:rPr>
              <w:t>拟派项目负责人为一级注册建筑师，同时具备工程类高级及以上技术职称的，得4分，其他情况按照0分计入。 评审依据：①供应商应提供拟派项目负责人的一级注册建筑师及以上的注册证书的扫描件（或复印件）并加盖供应商公章。 ②供应商应提供拟派项目负责人的技术职称证书的扫描件（或复印件）并加盖供应商公章。 ③供应商应提供拟派项目负责人近3月本单位缴纳的社保证明材料（社保证明材料意指：社会保障资金缴存单据或社会保险参保缴费情况证明材料，相关材料上应有相关社保机构或代收机构的公章）的复印件或扫描件并加盖供应商公章。 ④供应商如未按照上述要求①、②、③项内容提供相关证明材料的或所提供内容辨析不清、不完整的，均按照0分计入。</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组织机构人员.docx</w:t>
            </w:r>
          </w:p>
        </w:tc>
      </w:tr>
      <w:tr>
        <w:tc>
          <w:tcPr>
            <w:tcW w:type="dxa" w:w="831"/>
            <w:vMerge/>
          </w:tcPr>
          <w:p/>
        </w:tc>
        <w:tc>
          <w:tcPr>
            <w:tcW w:type="dxa" w:w="1661"/>
          </w:tcPr>
          <w:p>
            <w:pPr>
              <w:pStyle w:val="null3"/>
            </w:pPr>
            <w:r>
              <w:rPr>
                <w:rFonts w:ascii="仿宋_GB2312" w:hAnsi="仿宋_GB2312" w:cs="仿宋_GB2312" w:eastAsia="仿宋_GB2312"/>
              </w:rPr>
              <w:t>拟派项目设计负责人业绩</w:t>
            </w:r>
          </w:p>
        </w:tc>
        <w:tc>
          <w:tcPr>
            <w:tcW w:type="dxa" w:w="2492"/>
          </w:tcPr>
          <w:p>
            <w:pPr>
              <w:pStyle w:val="null3"/>
            </w:pPr>
            <w:r>
              <w:rPr>
                <w:rFonts w:ascii="仿宋_GB2312" w:hAnsi="仿宋_GB2312" w:cs="仿宋_GB2312" w:eastAsia="仿宋_GB2312"/>
              </w:rPr>
              <w:t>1、拟派项目设计负责人自2020年1月1日起至本项目磋商响应文件递交截止时间止，每提供1项公共建筑面积在20000平方米及以上的拟派项目负责人设计项目业绩的【时间以合同签订时间为准】得1分，最多得4分。 评审依据：提供合同的复印件或扫描件加盖公章，时间以合同签订时间为准。上述证明文件中须体现项目设计负责人的姓名。（拟派设计项目负责人业绩与企业业绩可重复计分） 2、项目负责人业绩中，2020年1月1日至今获得住建行政部门颁发的国家级奖项1个得1分，满分2分，每个项目不重复计分。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组织机构人员.docx</w:t>
            </w:r>
          </w:p>
        </w:tc>
      </w:tr>
      <w:tr>
        <w:tc>
          <w:tcPr>
            <w:tcW w:type="dxa" w:w="831"/>
            <w:vMerge/>
          </w:tcPr>
          <w:p/>
        </w:tc>
        <w:tc>
          <w:tcPr>
            <w:tcW w:type="dxa" w:w="1661"/>
          </w:tcPr>
          <w:p>
            <w:pPr>
              <w:pStyle w:val="null3"/>
            </w:pPr>
            <w:r>
              <w:rPr>
                <w:rFonts w:ascii="仿宋_GB2312" w:hAnsi="仿宋_GB2312" w:cs="仿宋_GB2312" w:eastAsia="仿宋_GB2312"/>
              </w:rPr>
              <w:t>项目部人员构成人员</w:t>
            </w:r>
          </w:p>
        </w:tc>
        <w:tc>
          <w:tcPr>
            <w:tcW w:type="dxa" w:w="2492"/>
          </w:tcPr>
          <w:p>
            <w:pPr>
              <w:pStyle w:val="null3"/>
            </w:pPr>
            <w:r>
              <w:rPr>
                <w:rFonts w:ascii="仿宋_GB2312" w:hAnsi="仿宋_GB2312" w:cs="仿宋_GB2312" w:eastAsia="仿宋_GB2312"/>
              </w:rPr>
              <w:t>1.满足以下全部要求专业人员的得15分，提供不全或者未提供不得分。除项目设计负责人外，至少还应配备注册结构工程师1人、注册建筑师1人、注册给排水工程师1人、注册暖通工程师1人、注册电气工程师1人、造价工程师1人、景观工程相关专业技术人员1人。评审依据：提供身份证和相应专业注册证书，评审时以供应商提供加盖公章的证书复印件为准，未提供以上资料或提供不全的相应人员及资料不予认定和赋分。 2.在满足上述“1”基本人员配备的基础上每增加1位注册人员加1分，同专业最多记1分，最多加4分； 3.在上述“1”“2”人员中每有1位工程类高级及以上技术职称人员加1分，最多加4分； 4.评审依据：提供身份证和相应专业注册证书，评审时以供应商提供加盖公章的证书复印件为准，未提供以上资料的相应人员不予认定和赋分。 供应商应提供上述除项目负责人外的所有拟派设计人员由本单位缴纳的近3月的社保证明材料（社保证明材料意指：社会保障资金缴存单据或社会保险参保缴费情况证明材料，相关材料上应有相关社保机构或代收机构的公章）的复印件或扫描件并加盖供应商公章。 ②供应商未按照上述要求①项内容提供相关证明材料的或所提供内容辨析不清、不完整的，均按照0分计入。</w:t>
            </w:r>
          </w:p>
        </w:tc>
        <w:tc>
          <w:tcPr>
            <w:tcW w:type="dxa" w:w="831"/>
          </w:tcPr>
          <w:p>
            <w:pPr>
              <w:pStyle w:val="null3"/>
              <w:jc w:val="right"/>
            </w:pPr>
            <w:r>
              <w:rPr>
                <w:rFonts w:ascii="仿宋_GB2312" w:hAnsi="仿宋_GB2312" w:cs="仿宋_GB2312" w:eastAsia="仿宋_GB2312"/>
              </w:rPr>
              <w:t>23.0000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组织机构人员.docx</w:t>
            </w:r>
          </w:p>
        </w:tc>
      </w:tr>
      <w:tr>
        <w:tc>
          <w:tcPr>
            <w:tcW w:type="dxa" w:w="831"/>
            <w:vMerge/>
          </w:tcPr>
          <w:p/>
        </w:tc>
        <w:tc>
          <w:tcPr>
            <w:tcW w:type="dxa" w:w="1661"/>
          </w:tcPr>
          <w:p>
            <w:pPr>
              <w:pStyle w:val="null3"/>
            </w:pPr>
            <w:r>
              <w:rPr>
                <w:rFonts w:ascii="仿宋_GB2312" w:hAnsi="仿宋_GB2312" w:cs="仿宋_GB2312" w:eastAsia="仿宋_GB2312"/>
              </w:rPr>
              <w:t>经济技术指标及设计限额控制</w:t>
            </w:r>
          </w:p>
        </w:tc>
        <w:tc>
          <w:tcPr>
            <w:tcW w:type="dxa" w:w="2492"/>
          </w:tcPr>
          <w:p>
            <w:pPr>
              <w:pStyle w:val="null3"/>
            </w:pPr>
            <w:r>
              <w:rPr>
                <w:rFonts w:ascii="仿宋_GB2312" w:hAnsi="仿宋_GB2312" w:cs="仿宋_GB2312" w:eastAsia="仿宋_GB2312"/>
              </w:rPr>
              <w:t>①建筑技术指标②工程投资估算③经济分析（每点单独赋分）④学生宿舍生均指标分析；评审标准：每项内容科学合理、满足项目要求，针对性强清晰完整、 贴合实际得 1分，满分 4分； 每有一项内容有缺陷或每有一项内容不满足项目需求的扣 0.5分；缺一项内容扣1分，扣完为止。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设计质量控制措施</w:t>
            </w:r>
          </w:p>
        </w:tc>
        <w:tc>
          <w:tcPr>
            <w:tcW w:type="dxa" w:w="2492"/>
          </w:tcPr>
          <w:p>
            <w:pPr>
              <w:pStyle w:val="null3"/>
            </w:pPr>
            <w:r>
              <w:rPr>
                <w:rFonts w:ascii="仿宋_GB2312" w:hAnsi="仿宋_GB2312" w:cs="仿宋_GB2312" w:eastAsia="仿宋_GB2312"/>
              </w:rPr>
              <w:t>①设计规范和标准②设计流程③设计阶段控制④本项目质量控制重难点（每点单独赋分） 评审标准：方案各部分内容全面详细、阐述条理清晰详尽、符合本项目采购需求得1分，满分4分；每有一项内容有缺陷或每有一项内容不满足项目需求的扣 0.5分；缺一项内容扣1分，扣完为止。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设计进度保证措施</w:t>
            </w:r>
          </w:p>
        </w:tc>
        <w:tc>
          <w:tcPr>
            <w:tcW w:type="dxa" w:w="2492"/>
          </w:tcPr>
          <w:p>
            <w:pPr>
              <w:pStyle w:val="null3"/>
            </w:pPr>
            <w:r>
              <w:rPr>
                <w:rFonts w:ascii="仿宋_GB2312" w:hAnsi="仿宋_GB2312" w:cs="仿宋_GB2312" w:eastAsia="仿宋_GB2312"/>
              </w:rPr>
              <w:t>①效果图设计②施工图设计（每点单独赋分） 根据供应商针对本项目设计进度保证措施，科学合理、满足项目要求得2分，满分4分；每有一项内容有缺陷或每有一项内容不满足项目需求的扣 1分；缺一项内容扣2分，扣完为止。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科技创新</w:t>
            </w:r>
          </w:p>
        </w:tc>
        <w:tc>
          <w:tcPr>
            <w:tcW w:type="dxa" w:w="2492"/>
          </w:tcPr>
          <w:p>
            <w:pPr>
              <w:pStyle w:val="null3"/>
            </w:pPr>
            <w:r>
              <w:rPr>
                <w:rFonts w:ascii="仿宋_GB2312" w:hAnsi="仿宋_GB2312" w:cs="仿宋_GB2312" w:eastAsia="仿宋_GB2312"/>
              </w:rPr>
              <w:t>①绿色建筑设计理念，具体措施②装配式设计方案（每点单独赋分） 评审标准：根据供应商针对本项目能提出的有利于提高建筑使用功能且降低建设成本等方面切实可行，有利于项目后期实施得3分，满分6分； 每有一项内容有缺陷或每有一项内容不满足项目需求的扣 1分；缺一项内容扣3分，扣完为止。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①设计阶段②施工图审查、预算编制③施工过程中配合（每点单独赋分）承诺内容全面、贴近实际、针对性、可行性强得4分，每阶段针对内容不完善扣1分，缺项扣1分。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满足采购文件要求且有效响应文件的最后报价最低报价为评审基准价，其价格分为满分。其他供应商的价格分统一按照下列公式计算：投标报价得分=（评标基准价/最后报价）×30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详见附件：商务技术应答表.docx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详见附件：组织机构人员.docx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详见附件：企业奖项.docx</w:t>
      </w:r>
    </w:p>
    <w:p>
      <w:pPr>
        <w:pStyle w:val="null3"/>
        <w:ind w:firstLine="960"/>
      </w:pPr>
      <w:r>
        <w:rPr>
          <w:rFonts w:ascii="仿宋_GB2312" w:hAnsi="仿宋_GB2312" w:cs="仿宋_GB2312" w:eastAsia="仿宋_GB2312"/>
        </w:rPr>
        <w:t>详见附件：企业业绩.docx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