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57C6"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拟签订合同文本</w:t>
      </w:r>
    </w:p>
    <w:p w14:paraId="11E0E0FC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合同条款及格式</w:t>
      </w:r>
    </w:p>
    <w:p w14:paraId="4F84A25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【合同草案条款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仅供参考、具体以签订为准</w:t>
      </w:r>
      <w:r>
        <w:rPr>
          <w:rFonts w:hint="eastAsia" w:ascii="宋体" w:hAnsi="宋体" w:eastAsia="宋体" w:cs="宋体"/>
          <w:sz w:val="24"/>
          <w:szCs w:val="24"/>
        </w:rPr>
        <w:t>】</w:t>
      </w:r>
    </w:p>
    <w:p w14:paraId="146F3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4A4E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依据《中华人民共和国民法典》和《中华人民共和国招标投标法》，经双方协商， 按下述条款和条件签署本合同。</w:t>
      </w:r>
    </w:p>
    <w:p w14:paraId="402B4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采购单位（甲方）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30D43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中标单位（乙方）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3E15F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一、合同内容及金额：即中标人的投标内容及其中标总金额，合同总价一次包死，不受市场价变化的影响。</w:t>
      </w:r>
    </w:p>
    <w:p w14:paraId="08057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产品（设备）技术规格、数量：即交付的产品（设备）技术规格、型号、数量与投标文件所指明的，或者与本合同所指明的产品（设备）技术规格及</w:t>
      </w:r>
      <w:r>
        <w:rPr>
          <w:rFonts w:hint="eastAsia" w:ascii="宋体" w:hAnsi="宋体" w:eastAsia="宋体" w:cs="宋体"/>
          <w:sz w:val="24"/>
          <w:szCs w:val="24"/>
        </w:rPr>
        <w:t>型号相一致。</w:t>
      </w:r>
    </w:p>
    <w:p w14:paraId="462A7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合同标的物内容及数量（以投标响应文件正本和澄清表〈函〉为准）</w:t>
      </w:r>
    </w:p>
    <w:tbl>
      <w:tblPr>
        <w:tblStyle w:val="3"/>
        <w:tblW w:w="853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840"/>
        <w:gridCol w:w="1335"/>
        <w:gridCol w:w="847"/>
        <w:gridCol w:w="1106"/>
        <w:gridCol w:w="1288"/>
        <w:gridCol w:w="1156"/>
      </w:tblGrid>
      <w:tr w14:paraId="0D7D6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BB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89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0D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BB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88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3C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6A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价格</w:t>
            </w:r>
          </w:p>
        </w:tc>
      </w:tr>
      <w:tr w14:paraId="0388F6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8A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58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52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B9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7C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C2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BE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4F45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47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60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3E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C1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BD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BD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EC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E6D5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A8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说明</w:t>
            </w:r>
          </w:p>
        </w:tc>
        <w:tc>
          <w:tcPr>
            <w:tcW w:w="75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C6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10ECA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三、知识产权：即中标人应保证采购人在使</w:t>
      </w:r>
      <w:r>
        <w:rPr>
          <w:rFonts w:hint="eastAsia" w:ascii="宋体" w:hAnsi="宋体" w:eastAsia="宋体" w:cs="宋体"/>
          <w:sz w:val="24"/>
          <w:szCs w:val="24"/>
        </w:rPr>
        <w:t>用中标货物时，不</w:t>
      </w:r>
      <w:r>
        <w:rPr>
          <w:rFonts w:hint="eastAsia" w:ascii="宋体" w:hAnsi="宋体" w:eastAsia="宋体" w:cs="宋体"/>
          <w:sz w:val="24"/>
          <w:szCs w:val="24"/>
        </w:rPr>
        <w:t>承担任何涉及知识产权法律诉讼的责任。</w:t>
      </w:r>
    </w:p>
    <w:p w14:paraId="5FB72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四、交货期：自合同签订生效后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个月完成全部供货                                 </w:t>
      </w:r>
    </w:p>
    <w:p w14:paraId="0F12E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中标人未征得采购人同意和谅解而单方面延迟交货，将按违约终止合同。</w:t>
      </w:r>
    </w:p>
    <w:p w14:paraId="6DEEF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中标人遇到可能妨碍按时交货和提供服务的情况，应当及时以书面形式通知采购人，说明原由、拖延的期限等；采购人、采购代理机构在收到通知后，尽快进行情况评估并确定是否通过修改合同，酌情延长交货时间或者通过协商</w:t>
      </w:r>
      <w:r>
        <w:rPr>
          <w:rFonts w:hint="eastAsia" w:ascii="宋体" w:hAnsi="宋体" w:eastAsia="宋体" w:cs="宋体"/>
          <w:sz w:val="24"/>
          <w:szCs w:val="24"/>
        </w:rPr>
        <w:t>加收误期赔偿金。</w:t>
      </w:r>
    </w:p>
    <w:p w14:paraId="47403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五、交货地点：采购人指定地点。</w:t>
      </w:r>
    </w:p>
    <w:p w14:paraId="00084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六、结算方式：</w:t>
      </w:r>
    </w:p>
    <w:p w14:paraId="4349D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结算单位：采购人结算，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t>付款前，必须开具全额发票给采购人。</w:t>
      </w:r>
    </w:p>
    <w:p w14:paraId="681C9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付款方式：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2397"/>
        <w:gridCol w:w="2625"/>
        <w:gridCol w:w="2409"/>
      </w:tblGrid>
      <w:tr w14:paraId="640AF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tblHeader/>
          <w:jc w:val="center"/>
        </w:trPr>
        <w:tc>
          <w:tcPr>
            <w:tcW w:w="110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E2E2E2"/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E2F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39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E2E2E2"/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F164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付款条件</w:t>
            </w:r>
          </w:p>
        </w:tc>
        <w:tc>
          <w:tcPr>
            <w:tcW w:w="262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E2E2E2"/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AAE4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达到付款条件起XX日</w:t>
            </w:r>
          </w:p>
        </w:tc>
        <w:tc>
          <w:tcPr>
            <w:tcW w:w="24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E2E2E2"/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198B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支付合同总金额XX%</w:t>
            </w:r>
          </w:p>
        </w:tc>
      </w:tr>
      <w:tr w14:paraId="7AF7D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0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F65A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9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E191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签订合同后</w:t>
            </w:r>
          </w:p>
        </w:tc>
        <w:tc>
          <w:tcPr>
            <w:tcW w:w="262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F83E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4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C07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</w:t>
            </w:r>
          </w:p>
        </w:tc>
      </w:tr>
      <w:tr w14:paraId="1849A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0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E26D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9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222F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全部交付，安装调试完成后</w:t>
            </w:r>
          </w:p>
        </w:tc>
        <w:tc>
          <w:tcPr>
            <w:tcW w:w="262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032D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4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8DA4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</w:tr>
      <w:tr w14:paraId="77435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0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E37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9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46F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验收合格后</w:t>
            </w:r>
          </w:p>
        </w:tc>
        <w:tc>
          <w:tcPr>
            <w:tcW w:w="262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D4E7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40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C867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</w:tr>
    </w:tbl>
    <w:p w14:paraId="0DD8A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</w:rPr>
        <w:t>所有产品运达采购单位指定地点后，所有产品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须</w:t>
      </w:r>
      <w:r>
        <w:rPr>
          <w:rFonts w:hint="eastAsia" w:ascii="宋体" w:hAnsi="宋体" w:eastAsia="宋体" w:cs="宋体"/>
          <w:sz w:val="24"/>
          <w:szCs w:val="24"/>
        </w:rPr>
        <w:t>经安装、调试、验收合格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4A5CF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5CAF4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八、运输：中标人可根</w:t>
      </w:r>
      <w:r>
        <w:rPr>
          <w:rFonts w:hint="eastAsia" w:ascii="宋体" w:hAnsi="宋体" w:eastAsia="宋体" w:cs="宋体"/>
          <w:sz w:val="24"/>
          <w:szCs w:val="24"/>
        </w:rPr>
        <w:t>据交货期、运</w:t>
      </w:r>
      <w:r>
        <w:rPr>
          <w:rFonts w:hint="eastAsia" w:ascii="宋体" w:hAnsi="宋体" w:eastAsia="宋体" w:cs="宋体"/>
          <w:sz w:val="24"/>
          <w:szCs w:val="24"/>
        </w:rPr>
        <w:t>输条件自行选择运输方式（另有规定的除外），承担一切运输费用。</w:t>
      </w:r>
    </w:p>
    <w:p w14:paraId="65F0B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九、技术保障：中标人应随同货物提供相应的中文技术文件（包括产品合格证、装箱清单、操作手册、使用说明、检测报告、维护手册、服务指南等资料）,现场安装、调试、试运行技术保障服务。</w:t>
      </w:r>
    </w:p>
    <w:p w14:paraId="11AAC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十、人员培训：提供免费培训，人数、地点按采购人的要求约定。</w:t>
      </w:r>
    </w:p>
    <w:p w14:paraId="27BB4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十一、质量保证</w:t>
      </w:r>
    </w:p>
    <w:p w14:paraId="221BF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中标人使用的原材料应提供清单，并在到货24小时内通知采购人代表检验核实（具体方式在合同中明确）。</w:t>
      </w:r>
    </w:p>
    <w:p w14:paraId="1065C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中</w:t>
      </w:r>
      <w:r>
        <w:rPr>
          <w:rFonts w:hint="eastAsia" w:ascii="宋体" w:hAnsi="宋体" w:eastAsia="宋体" w:cs="宋体"/>
          <w:sz w:val="24"/>
          <w:szCs w:val="24"/>
        </w:rPr>
        <w:t>标人应当保证所供货物的来源渠道正常，产品（设备）是全新的、未使用过的、且完全符合合同规定的质量、规格、技术指标等要求，并在质保期内、外应对由于产品（设备）设计、工艺或材料的缺陷而产生的质量问题负责。</w:t>
      </w:r>
    </w:p>
    <w:p w14:paraId="31425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t>项目整体质保期为终验合格后不少于3年或按照合同约定执行</w:t>
      </w:r>
      <w:r>
        <w:rPr>
          <w:rFonts w:hint="eastAsia" w:ascii="宋体" w:hAnsi="宋体" w:eastAsia="宋体" w:cs="宋体"/>
          <w:sz w:val="24"/>
          <w:szCs w:val="24"/>
        </w:rPr>
        <w:t>，质保期内，如果发现货物的质量、规格、技术指标等存在与合同中任何一项不符，采购人应在最短时间内，以书面形式向中标人提出索赔。同时通告采购代理机构。</w:t>
      </w:r>
    </w:p>
    <w:p w14:paraId="40150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保修期内，损坏部件的修理费、往返运保费等均由中标人承担。保修期外，只收取单程的运保费及已维修的元器件成本费，未尽事宜由双方协商解决。</w:t>
      </w:r>
    </w:p>
    <w:p w14:paraId="270D0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十二、采购项目执行内容需要调整时，经采购人同意后，可以对相应的原材料进行调整，并协商确定价格差额计算方法和负担办法。</w:t>
      </w:r>
    </w:p>
    <w:p w14:paraId="7322A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十三、产品（设备）设计变更</w:t>
      </w:r>
    </w:p>
    <w:p w14:paraId="70C6E8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中标后，生产加工产品（设备）的设计、数量需要变更、调整时，应办理相应的变更、调整审批手续，并协商确定设计变更、数量调整后的产品（设备）价款计算方法和工期顺延等事宜。</w:t>
      </w:r>
    </w:p>
    <w:p w14:paraId="3EB50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十四、检验：在交货前，制造商应当对产品（设备）的质量、</w:t>
      </w:r>
      <w:r>
        <w:rPr>
          <w:rFonts w:hint="eastAsia" w:ascii="宋体" w:hAnsi="宋体" w:eastAsia="宋体" w:cs="宋体"/>
          <w:sz w:val="24"/>
          <w:szCs w:val="24"/>
        </w:rPr>
        <w:t>规格、型号、数量等进行准确而全面的检验，出具合格证并封装；货物送达指定地点后，中标人、采购人须在约定的时间和地点共同开箱检验。</w:t>
      </w:r>
    </w:p>
    <w:p w14:paraId="49E3B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五、验收：通过检验的货物方可进行安装、调试、达到使用条件时由采购人负责组织验收或者邀请有关专家、质检机构、采购代理机构共同进行验收,验收费用由中标人支付(备注：如有验收需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 w14:paraId="7B654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十六、合同争议的解决：合同执行中发生争议的，当事人双方应协商解决，协商达不成一致时，可向人民法院提请诉讼。</w:t>
      </w:r>
    </w:p>
    <w:p w14:paraId="1D6F6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十七、在发生不可抗力情况下的应对措施和解决办法。</w:t>
      </w:r>
    </w:p>
    <w:p w14:paraId="76A11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十八、合同一经签订，不得擅自变更、中止或者终止合同。对确需变更、调整或者中止、终止合同的，应按规定履行相应的手续。</w:t>
      </w:r>
    </w:p>
    <w:p w14:paraId="3834D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十九、违约责任：依据《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"https://baike.sogou.com/lemma/ShowInnerLink.htm?lemmaId=73763705&amp;ss_c=ssc.citiao.link" \t "https://baike.sogou.com/_blank"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中华人民共和国民法典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》、《中华人民共和国政府采购法》的相关条款和本合同约定，中标人未全面履行合同义务或者发生违约，采购人会同采购代理机构有权终止合同，依法向中标人要求经济索赔，并报请政府采购监督管理机关进行相应的行政处罚。采购人违约的，应当赔偿给中标人造成的经济损失。</w:t>
      </w:r>
    </w:p>
    <w:p w14:paraId="60986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二十、在本项目中部分产品属于集中采购，到货安装过程须中标供应商完全配合负责安装。</w:t>
      </w:r>
    </w:p>
    <w:p w14:paraId="55FB8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、本合同一式肆份，甲方、乙方、采购代理机构各执壹份，政府采购管理部门备案壹份。签字盖章后生效，合同执行完毕自动失效。（合同的服务承诺则长期有效）。</w:t>
      </w:r>
    </w:p>
    <w:p w14:paraId="68397DD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、其它（在合同中具体明确）</w:t>
      </w:r>
    </w:p>
    <w:p w14:paraId="3471B857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 xml:space="preserve">：（盖章）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：（盖章）</w:t>
      </w:r>
    </w:p>
    <w:p w14:paraId="0159A9D1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 址：                               地 址：</w:t>
      </w:r>
    </w:p>
    <w:p w14:paraId="5B91DCEE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                    法定代表人或其授权</w:t>
      </w:r>
      <w:bookmarkStart w:id="0" w:name="_GoBack"/>
      <w:bookmarkEnd w:id="0"/>
    </w:p>
    <w:p w14:paraId="3F75AF56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的代理人：（签字）                    的代理人：（签字）</w:t>
      </w:r>
    </w:p>
    <w:p w14:paraId="2B1A8179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开户银行：                            开户银行：</w:t>
      </w:r>
    </w:p>
    <w:p w14:paraId="3456ACF9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账号：                                账号：</w:t>
      </w:r>
    </w:p>
    <w:p w14:paraId="19591915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电话：                                电话：</w:t>
      </w:r>
    </w:p>
    <w:p w14:paraId="14B92D3E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                               日期：</w:t>
      </w:r>
    </w:p>
    <w:p w14:paraId="7FCDEA24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</w:p>
    <w:p w14:paraId="6B7C750A">
      <w:pPr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</w:p>
    <w:p w14:paraId="1CE3ACA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90831"/>
    <w:rsid w:val="118849D8"/>
    <w:rsid w:val="2519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HtmlPre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2025-07-03T02:39:00Z</dcterms:created>
  <dc:creator>Memory</dc:creator>
  <cp:lastModifiedBy>Memory</cp:lastModifiedBy>
  <dcterms:modified xsi:type="dcterms:W3CDTF">2025-07-03T02:42:33Z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51D8B15CE66844859D5D4C0A97B64C62_11</vt:lpwstr>
  </property>
  <property fmtid="{D5CDD505-2E9C-101B-9397-08002B2CF9AE}" pid="4" name="KSOTemplateDocerSaveRecord">
    <vt:lpwstr>eyJoZGlkIjoiNTI3NzMyZDc1YjQ4OThjNjE4YjU1NzQ0ZDM3NTk3YjciLCJ1c2VySWQiOiIyNDk3NjMyMjQifQ==</vt:lpwstr>
  </property>
</Properties>
</file>