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版本号：SZT2025-SN-SC-ZC-HW-032920250721001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“钾岩石（钾长石）连续高压水热法制腐植酸钾肥”技术工程化开发试验项目（装置）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SZT2025-SN-SC-ZC-HW-0329</w:t>
      </w:r>
      <w:r>
        <w:br/>
      </w:r>
      <w:r>
        <w:br/>
      </w:r>
      <w:r>
        <w:br/>
      </w:r>
      <w:r>
        <w:br/>
      </w:r>
      <w:r>
        <w:br/>
      </w:r>
    </w:p>
    <w:p>
      <w:pPr>
        <w:pStyle w:val="null3"/>
        <w:jc w:val="center"/>
        <w:outlineLvl w:val="5"/>
      </w:pPr>
      <w:r>
        <w:rPr>
          <w:rFonts w:ascii="仿宋_GB2312" w:hAnsi="仿宋_GB2312" w:cs="仿宋_GB2312" w:eastAsia="仿宋_GB2312"/>
          <w:sz w:val="15"/>
          <w:b/>
        </w:rPr>
        <w:t>西安石油大学</w:t>
      </w:r>
    </w:p>
    <w:p>
      <w:pPr>
        <w:pStyle w:val="null3"/>
        <w:jc w:val="center"/>
        <w:outlineLvl w:val="5"/>
      </w:pPr>
      <w:r>
        <w:rPr>
          <w:rFonts w:ascii="仿宋_GB2312" w:hAnsi="仿宋_GB2312" w:cs="仿宋_GB2312" w:eastAsia="仿宋_GB2312"/>
          <w:sz w:val="15"/>
          <w:b/>
        </w:rPr>
        <w:t>陕西中技招标有限公司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“钾岩石（钾长石）连续高压水热法制腐植酸钾肥”技术工程化开发试验项目（装置）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SZT2025-SN-SC-ZC-HW-0329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“钾岩石（钾长石）连续高压水热法制腐植酸钾肥”技术工程化开发试验项目（装置）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“钾岩石（钾长石）连续高压水热法制腐植酸钾肥”技术工程化开发试验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采购包1（技术工程化开发试验）：属于专门面向中小企业采购。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1、法定代表人授权委托书：法定代表人直接参加谈判的，须提供法定代表人身份证，并与营业执照上信息一致；被授权代表参加谈判的，须提供法定代表人授权书;</w:t>
      </w:r>
    </w:p>
    <w:p>
      <w:pPr>
        <w:pStyle w:val="null3"/>
      </w:pPr>
      <w:r>
        <w:rPr>
          <w:rFonts w:ascii="仿宋_GB2312" w:hAnsi="仿宋_GB2312" w:cs="仿宋_GB2312" w:eastAsia="仿宋_GB2312"/>
        </w:rPr>
        <w:t>2、本项目不接受联合体参与：单位负责人为同一人或者存在直接控股、管理关系的不同单位，不得参加同一项下的采购活动。对列入失信被执行人、政府采购严重违法失信行为记录名单的供应商，拒绝参与本项目采购活动</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王馨、李文俊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029-87304306-807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采购包1：3,990,000.00元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采购包1：3,990,000.00元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说明：合同价款的5%，项目（装置）验收合格，收到退还申请后15个工作日内无息退还。</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代理服务费收费标准：采购代理服务费参照国家计委颁布的《招标代理服务收费管理暂行办法》(计价格[2002]1980号)号文件收费标准的90%收取。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国家标准、行业标准、团体标准、企业标准以及合同约定的技术参数等。</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“钾岩石（钾长石）连续高压水热法制腐植酸钾肥”技术工程化开发试验</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3,990,000.00</w:t>
      </w:r>
    </w:p>
    <w:p>
      <w:pPr>
        <w:pStyle w:val="null3"/>
      </w:pPr>
      <w:r>
        <w:rPr>
          <w:rFonts w:ascii="仿宋_GB2312" w:hAnsi="仿宋_GB2312" w:cs="仿宋_GB2312" w:eastAsia="仿宋_GB2312"/>
        </w:rPr>
        <w:t>采购包最高限价（元）: 3,990,000.00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“钾岩石连续高压水热法制腐植酸钾肥”技术工程化开发试验项目（装置）采购项目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3,990,000.00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标的名称：“钾岩石连续高压水热法制腐植酸钾肥”技术工程化开发试验项目（装置）采购项目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钾岩石（钾长石）制钾肥技术工程化开发试验项目（装置）</w:t>
            </w:r>
            <w:r>
              <w:rPr>
                <w:rFonts w:ascii="仿宋_GB2312" w:hAnsi="仿宋_GB2312" w:cs="仿宋_GB2312" w:eastAsia="仿宋_GB2312"/>
              </w:rPr>
              <w:t>。</w:t>
            </w:r>
          </w:p>
          <w:p>
            <w:pPr>
              <w:pStyle w:val="null3"/>
              <w:ind w:firstLine="400"/>
              <w:jc w:val="both"/>
            </w:pPr>
            <w:r>
              <w:rPr>
                <w:rFonts w:ascii="仿宋_GB2312" w:hAnsi="仿宋_GB2312" w:cs="仿宋_GB2312" w:eastAsia="仿宋_GB2312"/>
                <w:sz w:val="20"/>
              </w:rPr>
              <w:t>该项目（装置）</w:t>
            </w:r>
            <w:r>
              <w:rPr>
                <w:rFonts w:ascii="仿宋_GB2312" w:hAnsi="仿宋_GB2312" w:cs="仿宋_GB2312" w:eastAsia="仿宋_GB2312"/>
                <w:sz w:val="20"/>
              </w:rPr>
              <w:t>由原料制备、反应、分离、腐植酸钾肥制备、二次反应与腐植酸硅肥制备等多个</w:t>
            </w:r>
            <w:r>
              <w:rPr>
                <w:rFonts w:ascii="仿宋_GB2312" w:hAnsi="仿宋_GB2312" w:cs="仿宋_GB2312" w:eastAsia="仿宋_GB2312"/>
                <w:sz w:val="20"/>
              </w:rPr>
              <w:t>子系统</w:t>
            </w:r>
            <w:r>
              <w:rPr>
                <w:rFonts w:ascii="仿宋_GB2312" w:hAnsi="仿宋_GB2312" w:cs="仿宋_GB2312" w:eastAsia="仿宋_GB2312"/>
                <w:sz w:val="20"/>
              </w:rPr>
              <w:t>组成。钾长石制腐植酸钾肥技术工</w:t>
            </w:r>
            <w:r>
              <w:rPr>
                <w:rFonts w:ascii="仿宋_GB2312" w:hAnsi="仿宋_GB2312" w:cs="仿宋_GB2312" w:eastAsia="仿宋_GB2312"/>
                <w:sz w:val="20"/>
                <w:color w:val="000000"/>
              </w:rPr>
              <w:t>程化开发试验项目（装置）以钾长石为主要原料，通过各子系统工艺流程与设备的处理加工，达到如下目标：</w:t>
            </w:r>
          </w:p>
          <w:p>
            <w:pPr>
              <w:pStyle w:val="null3"/>
              <w:numPr>
                <w:ilvl w:val="0"/>
                <w:numId w:val="1"/>
              </w:numPr>
              <w:jc w:val="both"/>
            </w:pPr>
            <w:r>
              <w:rPr>
                <w:rFonts w:ascii="仿宋_GB2312" w:hAnsi="仿宋_GB2312" w:cs="仿宋_GB2312" w:eastAsia="仿宋_GB2312"/>
                <w:sz w:val="20"/>
                <w:color w:val="000000"/>
              </w:rPr>
              <w:t>将钾长石制成腐植酸钾肥、硅肥，产品质量应符合企业标准要求；</w:t>
            </w:r>
          </w:p>
          <w:p>
            <w:pPr>
              <w:pStyle w:val="null3"/>
              <w:ind w:firstLine="400"/>
              <w:jc w:val="both"/>
            </w:pPr>
            <w:r>
              <w:rPr>
                <w:rFonts w:ascii="仿宋_GB2312" w:hAnsi="仿宋_GB2312" w:cs="仿宋_GB2312" w:eastAsia="仿宋_GB2312"/>
                <w:sz w:val="20"/>
                <w:color w:val="000000"/>
              </w:rPr>
              <w:t>2、钾长石原料可进行连续反应并转化为目的产物，该项目（装置）处理原料（液固合计）不低于800公斤/小时；</w:t>
            </w:r>
          </w:p>
          <w:p>
            <w:pPr>
              <w:pStyle w:val="null3"/>
              <w:ind w:firstLine="400"/>
              <w:jc w:val="both"/>
            </w:pPr>
            <w:r>
              <w:rPr>
                <w:rFonts w:ascii="仿宋_GB2312" w:hAnsi="仿宋_GB2312" w:cs="仿宋_GB2312" w:eastAsia="仿宋_GB2312"/>
                <w:sz w:val="20"/>
                <w:color w:val="000000"/>
              </w:rPr>
              <w:t>3、打通钾长石制钾肥成品的工艺流程，钾长石原料中钾的提取率90%以上；</w:t>
            </w:r>
          </w:p>
          <w:p>
            <w:pPr>
              <w:pStyle w:val="null3"/>
              <w:ind w:firstLine="400"/>
              <w:jc w:val="both"/>
            </w:pPr>
            <w:r>
              <w:rPr>
                <w:rFonts w:ascii="仿宋_GB2312" w:hAnsi="仿宋_GB2312" w:cs="仿宋_GB2312" w:eastAsia="仿宋_GB2312"/>
                <w:sz w:val="20"/>
                <w:color w:val="000000"/>
              </w:rPr>
              <w:t>4、制备腐植酸钾肥不少于100公斤；</w:t>
            </w:r>
          </w:p>
          <w:p>
            <w:pPr>
              <w:pStyle w:val="null3"/>
              <w:ind w:firstLine="400"/>
              <w:jc w:val="both"/>
            </w:pPr>
            <w:r>
              <w:rPr>
                <w:rFonts w:ascii="仿宋_GB2312" w:hAnsi="仿宋_GB2312" w:cs="仿宋_GB2312" w:eastAsia="仿宋_GB2312"/>
                <w:sz w:val="20"/>
                <w:color w:val="000000"/>
              </w:rPr>
              <w:t>5、制备腐植酸硅肥不少于100公斤；</w:t>
            </w:r>
          </w:p>
          <w:p>
            <w:pPr>
              <w:pStyle w:val="null3"/>
              <w:ind w:firstLine="400"/>
            </w:pPr>
            <w:r>
              <w:rPr>
                <w:rFonts w:ascii="仿宋_GB2312" w:hAnsi="仿宋_GB2312" w:cs="仿宋_GB2312" w:eastAsia="仿宋_GB2312"/>
                <w:color w:val="000000"/>
              </w:rPr>
              <w:t>6、提交钾长石制钾肥技术工程化开发试验项目（装置）的试验报告</w:t>
            </w:r>
            <w:r>
              <w:rPr>
                <w:rFonts w:ascii="仿宋_GB2312" w:hAnsi="仿宋_GB2312" w:cs="仿宋_GB2312" w:eastAsia="仿宋_GB2312"/>
                <w:color w:val="000000"/>
              </w:rPr>
              <w:t>。</w:t>
            </w:r>
          </w:p>
          <w:p>
            <w:pPr>
              <w:pStyle w:val="null3"/>
              <w:ind w:firstLine="400"/>
            </w:pPr>
            <w:r>
              <w:rPr>
                <w:rFonts w:ascii="仿宋_GB2312" w:hAnsi="仿宋_GB2312" w:cs="仿宋_GB2312" w:eastAsia="仿宋_GB2312"/>
                <w:color w:val="000000"/>
              </w:rPr>
              <w:t>7、</w:t>
            </w:r>
            <w:r>
              <w:rPr>
                <w:rFonts w:ascii="仿宋_GB2312" w:hAnsi="仿宋_GB2312" w:cs="仿宋_GB2312" w:eastAsia="仿宋_GB2312"/>
              </w:rPr>
              <w:t>试验项目（装置）包含主要设备的名称、规格型号、生产厂家、参数指标及价格等在投标文件中须注明，该部分内容确因特殊情况可单独成册装订。</w:t>
            </w:r>
          </w:p>
          <w:p>
            <w:pPr>
              <w:pStyle w:val="null3"/>
              <w:jc w:val="both"/>
            </w:pPr>
            <w:r>
              <w:rPr>
                <w:rFonts w:ascii="仿宋_GB2312" w:hAnsi="仿宋_GB2312" w:cs="仿宋_GB2312" w:eastAsia="仿宋_GB2312"/>
              </w:rPr>
              <w:t>8、工程化开发试验项目（装置）所采用的设备等与该项目（装置）运行所需原材料质量标准：以国家标准、行业标准、团体标准、企业标准为准。</w:t>
            </w:r>
          </w:p>
          <w:p>
            <w:pPr>
              <w:pStyle w:val="null3"/>
              <w:jc w:val="both"/>
            </w:pPr>
            <w:r>
              <w:rPr>
                <w:rFonts w:ascii="仿宋_GB2312" w:hAnsi="仿宋_GB2312" w:cs="仿宋_GB2312" w:eastAsia="仿宋_GB2312"/>
              </w:rPr>
              <w:t>9、采购人享有本项目实施过程中产生的知识成果及知识产权。如供应商在项目实施过程中采用自有知识成果，</w:t>
            </w:r>
            <w:r>
              <w:rPr>
                <w:rFonts w:ascii="仿宋_GB2312" w:hAnsi="仿宋_GB2312" w:cs="仿宋_GB2312" w:eastAsia="仿宋_GB2312"/>
              </w:rPr>
              <w:t>供应商</w:t>
            </w:r>
            <w:r>
              <w:rPr>
                <w:rFonts w:ascii="仿宋_GB2312" w:hAnsi="仿宋_GB2312" w:cs="仿宋_GB2312" w:eastAsia="仿宋_GB2312"/>
              </w:rPr>
              <w:t>承诺提供开发接口和开发手册等技术文档，并提供无限期技术支持。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合同签订且预付款到账后80天内。如因不可抗力或甲方原因导致交货时间延迟的，则交货时间相应顺延（含未按合同约定付款）。</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第一批付款（预付款）：合同金额的30%，合同签订后10个工作日内支付</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第二批付款（根据设备采购实际情况可多次付款）：所供设备、辅助器材（仪器仪表、电气电缆、管道阀门等）、试验所需原材料金额的60%，验收合格并出具100%增值税专用发票后10个工作日内支付</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第三批付款：装置集成完成联调试运行验收合格并出具未开发票金额全额增值税专用发票后10个工作日内支付余款。 支付方式：银行对公转账。 投标报价：包含设备、辅助器材（仪器仪表、电气电缆、管道阀门等）、试验所需原材料等到达学校（采购人）指定地点运输、安装、税金以及技术服务费等全部费用</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1.验收标准：国家标准、行业标准、团体标准、企业标准以及合同约定的技术参数等。 2.非标设备：向本项目（装置）地点发货前，采购人组织验收人员到非标设备生产现场进行验收； 3.标准（定型）的设备、辅助器材（仪器仪表、电气电缆、管道阀门等）、试验所需原材料等：运送到本项目（装置）指定地点后，采购人组织验收； 4.项目验收：本项目（装置）建成并完成试验运行后，采购人按照本采购文件和“技术协议”对本项目（装置）进行验收。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设备质保期限1年。 履约保证金：合同价款的5%，项目（装置）验收合格，收到退还申请后15个工作日内无息退还。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除因不可抗力或甲方原因，乙方逾期交货，每天应按合同总价的千分之一向甲方支付违约金。如乙方逾期三十天仍未交齐货物的，甲方有权解除合同，乙方退还扣除已开发票金额的甲方已支付款项，同时履约保证金将作为对甲方的补偿，不予退还。 2.因不可抗力或甲方原因造成供货期延误的，供货期顺延。 3.乙方所交的产品规格、质量不符合合同约定的相关标准，限期整改；如果经过整改，乙方仍然无法满足约定技术要求的，甲方有权解除合同，乙方退还扣除已开发票金额的甲方已支付款项，履约保证金将作为对甲方的补偿，不予退还。</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为顺利推进政府采购电子化交易平台试点应用工作，供应商需要在线提交所有通过电子化交易平台实施的政府采购项目的响应文件，同时，线下提交响应文件正本 壹 份、副本 贰 套、电子版壹 套（U盘一套标明供应商名称，随正本密封，文件双面打印）。若系统电子响应文件与纸质响应文件不一致的，以系统电子响应文件为准。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的能力（企业法人应提供统一社会信用代码的营业执照；法人或其他组织投标的，提供有效的营业执照或事业单位法人证书；分支机构投标的，提供有效的分支机构营业执照，及总公司的授权书；其他组织应提供合法证明文件）； 2、2024年度经审计的财务报告或在谈判日期前12个月内任意时段银行出具的资信证明； 3、提供具有履行本合同所必需专业技术能力的说明及承诺； 4、社会保障资金缴纳记录证明文件和依法缴纳税收记录证明文件（同时提供谈判时间前12个月内任意1个月的社保及税收缴纳证明；依法不需要缴纳的应提供相关证明文件)；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法定代表人直接参加谈判的，须提供法定代表人身份证，并与营业执照上信息一致；被授权代表参加谈判的，须提供法定代表人授权书;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本项目不接受联合体参与</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单位负责人为同一人或者存在直接控股、管理关系的不同单位，不得参加同一项下的采购活动。对列入失信被执行人、政府采购严重违法失信行为记录名单的供应商，拒绝参与本项目采购活动</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本项目为专门面向中小企业采购项目</w:t>
            </w:r>
          </w:p>
        </w:tc>
        <w:tc>
          <w:tcPr>
            <w:tcW w:type="dxa" w:w="3322"/>
          </w:tcPr>
          <w:p>
            <w:pPr>
              <w:pStyle w:val="null3"/>
            </w:pPr>
            <w:r>
              <w:rPr>
                <w:rFonts w:ascii="仿宋_GB2312" w:hAnsi="仿宋_GB2312" w:cs="仿宋_GB2312" w:eastAsia="仿宋_GB2312"/>
              </w:rPr>
              <w:t>本项目为专门面向中小企业，供应商应提供中小企业声明函并对真实性负责</w:t>
            </w:r>
          </w:p>
        </w:tc>
        <w:tc>
          <w:tcPr>
            <w:tcW w:type="dxa" w:w="1661"/>
          </w:tcPr>
          <w:p>
            <w:pPr>
              <w:pStyle w:val="null3"/>
            </w:pPr>
            <w:r>
              <w:rPr>
                <w:rFonts w:ascii="仿宋_GB2312" w:hAnsi="仿宋_GB2312" w:cs="仿宋_GB2312" w:eastAsia="仿宋_GB2312"/>
              </w:rPr>
              <w:t>谈判报价表及分项报价表.docx 中小企业声明函 残疾人福利性单位声明函 标的清单 报价表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投标人按照谈判文件要求上传响应文件</w:t>
            </w:r>
          </w:p>
        </w:tc>
        <w:tc>
          <w:tcPr>
            <w:tcW w:type="dxa" w:w="1661"/>
          </w:tcPr>
          <w:p>
            <w:pPr>
              <w:pStyle w:val="null3"/>
            </w:pPr>
            <w:r>
              <w:rPr>
                <w:rFonts w:ascii="仿宋_GB2312" w:hAnsi="仿宋_GB2312" w:cs="仿宋_GB2312" w:eastAsia="仿宋_GB2312"/>
              </w:rPr>
              <w:t>响应文件封面 技术实施方案及承诺.docx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谈判小组认为供应商响应报价明显低于其他通过符合性审查供应商的响应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响应报价合理性的，谈判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投标人按照谈判文件要求上传响应文件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合同签订且预付款到账后80天内。如因不可抗力或甲方原因导致交货时间延迟的，则交货时间相应顺延（含未按合同约定付款）。</w:t>
            </w:r>
          </w:p>
        </w:tc>
        <w:tc>
          <w:tcPr>
            <w:tcW w:type="dxa" w:w="1661"/>
          </w:tcPr>
          <w:p>
            <w:pPr>
              <w:pStyle w:val="null3"/>
            </w:pPr>
            <w:r>
              <w:rPr>
                <w:rFonts w:ascii="仿宋_GB2312" w:hAnsi="仿宋_GB2312" w:cs="仿宋_GB2312" w:eastAsia="仿宋_GB2312"/>
              </w:rPr>
              <w:t>谈判报价表及分项报价表.docx 技术偏离表.docx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1）第一批付款（预付款）：合同金额的30%，合同签订后10个工作日内支付 ； 2）第二批付款（根据设备采购实际情况可多次付款）：所供设备、辅助器材（仪器仪表、电气电缆、管道阀门等）、试验所需原材料金额的60%，验收合格并出具100%增值税专用发票后10个工作日内支付； 3）第三批付款：装置集成完成联调试运行验收合格并出具未开发票金额全额增值税专用发票后10个工作日内支付余款。 支付方式：银行对公转账。 投标报价：包含设备、辅助器材（仪器仪表、电气电缆、管道阀门等）、试验所需原材料等到达学校（采购人）指定地点运输、安装、税金以及技术服务费等全部费用。</w:t>
            </w:r>
          </w:p>
        </w:tc>
        <w:tc>
          <w:tcPr>
            <w:tcW w:type="dxa" w:w="1661"/>
          </w:tcPr>
          <w:p>
            <w:pPr>
              <w:pStyle w:val="null3"/>
            </w:pPr>
            <w:r>
              <w:rPr>
                <w:rFonts w:ascii="仿宋_GB2312" w:hAnsi="仿宋_GB2312" w:cs="仿宋_GB2312" w:eastAsia="仿宋_GB2312"/>
              </w:rPr>
              <w:t>谈判报价表及分项报价表.docx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设备质保期限1年。</w:t>
            </w:r>
          </w:p>
        </w:tc>
        <w:tc>
          <w:tcPr>
            <w:tcW w:type="dxa" w:w="1661"/>
          </w:tcPr>
          <w:p>
            <w:pPr>
              <w:pStyle w:val="null3"/>
            </w:pPr>
            <w:r>
              <w:rPr>
                <w:rFonts w:ascii="仿宋_GB2312" w:hAnsi="仿宋_GB2312" w:cs="仿宋_GB2312" w:eastAsia="仿宋_GB2312"/>
              </w:rPr>
              <w:t>谈判报价表及分项报价表.docx 商务偏离表.docx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详见附件：技术实施方案及承诺.docx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详见附件：谈判报价表及分项报价表.docx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