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版本号：RH采字【20250704】-R号20250721001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校园互联及Web流量控制服务采购项目(二次)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RH采字【20250704】-R号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校园互联及Web流量控制服务采购项目(二次)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RH采字【20250704】-R号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校园互联及Web流量控制服务采购项目(二次)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西安科技大学校园互联及Web流量控制服务采购项目，1项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或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 ：提供合格的法定代表人授权书（附法定代表人、被授权人身份证复印件）或法定代表人身份证明（法定代表人直接参加的）。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中标人在领取中标通知书前，须向采购代理机构一次性支付招标代理服务费。 本项目类型：服务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西安科技大学校园互联及Web流量控制服务采购项目，1项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616,000.00</w:t>
      </w:r>
    </w:p>
    <w:p>
      <w:pPr>
        <w:pStyle w:val="null3"/>
      </w:pPr>
      <w:r>
        <w:rPr>
          <w:rFonts w:ascii="仿宋_GB2312" w:hAnsi="仿宋_GB2312" w:cs="仿宋_GB2312" w:eastAsia="仿宋_GB2312"/>
        </w:rPr>
        <w:t>采购包最高限价（元）: 616,000.00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校园互联及Web流量控制服务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标的名称：校园互联及Web流量控制服务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具体要求：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提供如下裸光纤服务及两端</w:t>
            </w:r>
            <w:r>
              <w:rPr>
                <w:rFonts w:ascii="仿宋_GB2312" w:hAnsi="仿宋_GB2312" w:cs="仿宋_GB2312" w:eastAsia="仿宋_GB2312"/>
                <w:sz w:val="21"/>
              </w:rPr>
              <w:t>≥10000M光模块。光纤衰减满足：在1310mm波长上，衰减平均值﹤0.36dB/km;在1550mm波长上，衰减平均值﹤0.22dB/km；总衰减满足设备光灵敏度要求。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1）西安雁塔校区北院至西安南院；</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2）西安雁塔校区北院至西安东院；</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3）西安雁塔校区北院至西安西影路院；</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4）西安雁塔校区北院至临潼校区骊山校园；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5）临潼校区骊山校园至临潼校区秦汉校园。</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提供</w:t>
            </w:r>
            <w:r>
              <w:rPr>
                <w:rFonts w:ascii="仿宋_GB2312" w:hAnsi="仿宋_GB2312" w:cs="仿宋_GB2312" w:eastAsia="仿宋_GB2312"/>
                <w:sz w:val="21"/>
              </w:rPr>
              <w:t>Web流量控制服务。提供服务的相关设备包含且不限于以下要求：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整体要求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系统实现</w:t>
            </w:r>
            <w:r>
              <w:rPr>
                <w:rFonts w:ascii="仿宋_GB2312" w:hAnsi="仿宋_GB2312" w:cs="仿宋_GB2312" w:eastAsia="仿宋_GB2312"/>
                <w:sz w:val="21"/>
              </w:rPr>
              <w:t>Web流量的高效管理，提供灵活的访问控制策略、网页防篡改、应急时刻一键断网、高危访问行为阻断等一系列安全防护功能；同时对访问情况进行大数据分析，为网站资源的优化配置与全方位管理提供强有力的数据支持与决策依据；同时实现IP地址收敛，解决学校公网地址稀缺问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系统要求与学校现有反代系统对接做双机集群配置，并实现统一管理。</w:t>
            </w:r>
          </w:p>
          <w:p>
            <w:pPr>
              <w:pStyle w:val="null3"/>
              <w:jc w:val="both"/>
            </w:pPr>
            <w:r>
              <w:rPr>
                <w:rFonts w:ascii="仿宋_GB2312" w:hAnsi="仿宋_GB2312" w:cs="仿宋_GB2312" w:eastAsia="仿宋_GB2312"/>
                <w:sz w:val="21"/>
              </w:rPr>
              <w:t>注：以上内容须供应商提供功能承诺函并加盖供应商公章。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软硬一体设备</w:t>
            </w:r>
            <w:r>
              <w:rPr>
                <w:rFonts w:ascii="仿宋_GB2312" w:hAnsi="仿宋_GB2312" w:cs="仿宋_GB2312" w:eastAsia="仿宋_GB2312"/>
                <w:sz w:val="21"/>
              </w:rPr>
              <w:t>≥2U，内存≥16GB，硬盘SSD盘≥1T，双电源，网络接口千兆业务电口≥8，万兆业务光口≥4，扩展槽位数≥1个，网站并发授权不少于300个；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资源管理</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支持对</w:t>
            </w:r>
            <w:r>
              <w:rPr>
                <w:rFonts w:ascii="仿宋_GB2312" w:hAnsi="仿宋_GB2312" w:cs="仿宋_GB2312" w:eastAsia="仿宋_GB2312"/>
                <w:sz w:val="21"/>
              </w:rPr>
              <w:t>Web资源进行发布，支持HTTP、HTTPS协议资源发布，支持用户自定义IPv4或IPv6的方式，支持通过URL的路径对资源进行发布。（提供功能截图并加盖</w:t>
            </w:r>
            <w:r>
              <w:rPr>
                <w:rFonts w:ascii="仿宋_GB2312" w:hAnsi="仿宋_GB2312" w:cs="仿宋_GB2312" w:eastAsia="仿宋_GB2312"/>
                <w:sz w:val="21"/>
              </w:rPr>
              <w:t>供应商</w:t>
            </w:r>
            <w:r>
              <w:rPr>
                <w:rFonts w:ascii="仿宋_GB2312" w:hAnsi="仿宋_GB2312" w:cs="仿宋_GB2312" w:eastAsia="仿宋_GB2312"/>
                <w:sz w:val="21"/>
              </w:rPr>
              <w:t>公章）</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支持发布</w:t>
            </w:r>
            <w:r>
              <w:rPr>
                <w:rFonts w:ascii="仿宋_GB2312" w:hAnsi="仿宋_GB2312" w:cs="仿宋_GB2312" w:eastAsia="仿宋_GB2312"/>
                <w:sz w:val="21"/>
              </w:rPr>
              <w:t>WebSocket协议的后端网站，支持发布NTLM协议的后端网站并透传认证信息。</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支持资源的批量操作，包括但不限于批量导入导出、批量删除、批量发布</w:t>
            </w:r>
            <w:r>
              <w:rPr>
                <w:rFonts w:ascii="仿宋_GB2312" w:hAnsi="仿宋_GB2312" w:cs="仿宋_GB2312" w:eastAsia="仿宋_GB2312"/>
                <w:sz w:val="21"/>
              </w:rPr>
              <w:t>/关闭网站、批量修改分组、批量定义错误页面、批量修改访问策略、批量修改备案信息、批量启用/关闭HTTPS、批量修改v4/v6发布、批量修改负载均衡、批量修改SSL算法、批量修改网站标签、批量修改缓存加速配置。（提供功能截图并加盖供应商公章）</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支持对资源的自定义分组及分级，并支持资源通过树状分组结构进行展现；支持通过标签对资源进行管理，单个资源可设置多个标签，单个标签可应用到多个资源上。</w:t>
            </w:r>
            <w:r>
              <w:rPr>
                <w:rFonts w:ascii="仿宋_GB2312" w:hAnsi="仿宋_GB2312" w:cs="仿宋_GB2312" w:eastAsia="仿宋_GB2312"/>
                <w:sz w:val="21"/>
                <w:b/>
              </w:rPr>
              <w:t>【</w:t>
            </w:r>
            <w:r>
              <w:rPr>
                <w:rFonts w:ascii="仿宋_GB2312" w:hAnsi="仿宋_GB2312" w:cs="仿宋_GB2312" w:eastAsia="仿宋_GB2312"/>
                <w:sz w:val="21"/>
                <w:b/>
              </w:rPr>
              <w:t>提供现场视频演示以证明技术参数与性能的响应性，否则视为负偏离。（</w:t>
            </w:r>
            <w:r>
              <w:rPr>
                <w:rFonts w:ascii="仿宋_GB2312" w:hAnsi="仿宋_GB2312" w:cs="仿宋_GB2312" w:eastAsia="仿宋_GB2312"/>
                <w:sz w:val="21"/>
                <w:b/>
              </w:rPr>
              <w:t>供应商自行携带视频至评审现场演示</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支持资源生命周期管理，支持用户自定义资源备案信息，支持用户自主添加自定义字段；支持资源到期时自动告警，支持资源到期后自动停止发布。</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HTTPS类型Web资源的证书管理，支持系统内自建证书，支持自动合并多条证书生成完整证书链。</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功能截图证明</w:t>
            </w:r>
            <w:r>
              <w:rPr>
                <w:rFonts w:ascii="仿宋_GB2312" w:hAnsi="仿宋_GB2312" w:cs="仿宋_GB2312" w:eastAsia="仿宋_GB2312"/>
                <w:sz w:val="21"/>
              </w:rPr>
              <w:t>加盖供应商公章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支持对资源的全部网页进行备份，支持自定义备份的生成时间及周期，支持对备份数据偏离正常范围时进行告警。</w:t>
            </w:r>
            <w:r>
              <w:rPr>
                <w:rFonts w:ascii="仿宋_GB2312" w:hAnsi="仿宋_GB2312" w:cs="仿宋_GB2312" w:eastAsia="仿宋_GB2312"/>
                <w:sz w:val="21"/>
                <w:b/>
              </w:rPr>
              <w:t>【</w:t>
            </w:r>
            <w:r>
              <w:rPr>
                <w:rFonts w:ascii="仿宋_GB2312" w:hAnsi="仿宋_GB2312" w:cs="仿宋_GB2312" w:eastAsia="仿宋_GB2312"/>
                <w:sz w:val="21"/>
                <w:b/>
              </w:rPr>
              <w:t>提供现场视频演示以证明技术参数与性能的响应性，否则视为负偏离。（</w:t>
            </w:r>
            <w:r>
              <w:rPr>
                <w:rFonts w:ascii="仿宋_GB2312" w:hAnsi="仿宋_GB2312" w:cs="仿宋_GB2312" w:eastAsia="仿宋_GB2312"/>
                <w:sz w:val="21"/>
                <w:b/>
              </w:rPr>
              <w:t>供应商自行携带视频至评审现场演示</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支持指定不同</w:t>
            </w:r>
            <w:r>
              <w:rPr>
                <w:rFonts w:ascii="仿宋_GB2312" w:hAnsi="仿宋_GB2312" w:cs="仿宋_GB2312" w:eastAsia="仿宋_GB2312"/>
                <w:sz w:val="21"/>
              </w:rPr>
              <w:t>IP来源用户通过相同域名或路径时访问不同的后端。</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支持对单个资源进行网页代码优化，减少单次数据传输流量，优化功能包括但不限于空白区域压缩、</w:t>
            </w:r>
            <w:r>
              <w:rPr>
                <w:rFonts w:ascii="仿宋_GB2312" w:hAnsi="仿宋_GB2312" w:cs="仿宋_GB2312" w:eastAsia="仿宋_GB2312"/>
                <w:sz w:val="21"/>
              </w:rPr>
              <w:t>DNS预加载、图片延迟加载、移除HTML注释。</w:t>
            </w:r>
            <w:r>
              <w:rPr>
                <w:rFonts w:ascii="仿宋_GB2312" w:hAnsi="仿宋_GB2312" w:cs="仿宋_GB2312" w:eastAsia="仿宋_GB2312"/>
                <w:sz w:val="21"/>
                <w:b/>
              </w:rPr>
              <w:t>【</w:t>
            </w:r>
            <w:r>
              <w:rPr>
                <w:rFonts w:ascii="仿宋_GB2312" w:hAnsi="仿宋_GB2312" w:cs="仿宋_GB2312" w:eastAsia="仿宋_GB2312"/>
                <w:sz w:val="21"/>
                <w:b/>
              </w:rPr>
              <w:t>提供现场视频演示以证明技术参数与性能的响应性，否则视为负偏离。（</w:t>
            </w:r>
            <w:r>
              <w:rPr>
                <w:rFonts w:ascii="仿宋_GB2312" w:hAnsi="仿宋_GB2312" w:cs="仿宋_GB2312" w:eastAsia="仿宋_GB2312"/>
                <w:sz w:val="21"/>
                <w:b/>
              </w:rPr>
              <w:t>供应商自行携带视频至评审现场演示</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支持对后端资源文件进行缓存，支持类型包括但不限于图片、视频、</w:t>
            </w:r>
            <w:r>
              <w:rPr>
                <w:rFonts w:ascii="仿宋_GB2312" w:hAnsi="仿宋_GB2312" w:cs="仿宋_GB2312" w:eastAsia="仿宋_GB2312"/>
                <w:sz w:val="21"/>
              </w:rPr>
              <w:t>CSS/JS代码，支持自定义硬盘缓存或高速缓存，支持自定义缓存空间大小，提升系统整体性能。</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功能截图证明</w:t>
            </w:r>
            <w:r>
              <w:rPr>
                <w:rFonts w:ascii="仿宋_GB2312" w:hAnsi="仿宋_GB2312" w:cs="仿宋_GB2312" w:eastAsia="仿宋_GB2312"/>
                <w:sz w:val="21"/>
              </w:rPr>
              <w:t>加盖供应商公章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支持对后端网站进行负载均衡，支持基于</w:t>
            </w:r>
            <w:r>
              <w:rPr>
                <w:rFonts w:ascii="仿宋_GB2312" w:hAnsi="仿宋_GB2312" w:cs="仿宋_GB2312" w:eastAsia="仿宋_GB2312"/>
                <w:sz w:val="21"/>
              </w:rPr>
              <w:t>IP哈希、会话保持和基于负载的负载均衡调度方式；支持主动检测后端健康状态自动切换负载均衡服务器；支持负载均衡服务器组管理；支持负载均衡备份服务器，当运行负载均衡服务器都失效时启用。（提供功能截图并加盖供应商公章）</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支持对启用负载均衡的网站进行统一可视化管理，支持对负载均衡相关指标进行统计以及展现，指标包括但不限于流量以及请求速率。</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功能截图证明</w:t>
            </w:r>
            <w:r>
              <w:rPr>
                <w:rFonts w:ascii="仿宋_GB2312" w:hAnsi="仿宋_GB2312" w:cs="仿宋_GB2312" w:eastAsia="仿宋_GB2312"/>
                <w:sz w:val="21"/>
              </w:rPr>
              <w:t>加盖供应商公章</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支持对后端资源的</w:t>
            </w:r>
            <w:r>
              <w:rPr>
                <w:rFonts w:ascii="仿宋_GB2312" w:hAnsi="仿宋_GB2312" w:cs="仿宋_GB2312" w:eastAsia="仿宋_GB2312"/>
                <w:sz w:val="21"/>
              </w:rPr>
              <w:t>HTTP响应头和Body响应体内容修改后返回给用户，支持向后端发送自定义HTTP请求头。</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支持从时间段、用户、</w:t>
            </w:r>
            <w:r>
              <w:rPr>
                <w:rFonts w:ascii="仿宋_GB2312" w:hAnsi="仿宋_GB2312" w:cs="仿宋_GB2312" w:eastAsia="仿宋_GB2312"/>
                <w:sz w:val="21"/>
              </w:rPr>
              <w:t>IP三个维度灵活切换资源（精确到URL）访问方式，包括直接访问、认证后访问及禁止访问，且支持设置周期性切换；（提供功能截图并加盖</w:t>
            </w:r>
            <w:r>
              <w:rPr>
                <w:rFonts w:ascii="仿宋_GB2312" w:hAnsi="仿宋_GB2312" w:cs="仿宋_GB2312" w:eastAsia="仿宋_GB2312"/>
                <w:sz w:val="21"/>
              </w:rPr>
              <w:t>供应商</w:t>
            </w:r>
            <w:r>
              <w:rPr>
                <w:rFonts w:ascii="仿宋_GB2312" w:hAnsi="仿宋_GB2312" w:cs="仿宋_GB2312" w:eastAsia="仿宋_GB2312"/>
                <w:sz w:val="21"/>
              </w:rPr>
              <w:t>公章）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支持通过微信对资源一键断网。</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支持联动</w:t>
            </w:r>
            <w:r>
              <w:rPr>
                <w:rFonts w:ascii="仿宋_GB2312" w:hAnsi="仿宋_GB2312" w:cs="仿宋_GB2312" w:eastAsia="仿宋_GB2312"/>
                <w:sz w:val="21"/>
              </w:rPr>
              <w:t>DNS系统进行资源发布，即发布资源时同步DNS域名配置，支持A、AAAA、CNAME记录的同步；支持联动DNS服务器签发通配符可信证书。（提供功能承诺函并加盖供应商公章）</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IPv6评分检测服务，对用户全网IPv6支持程度进行检测，计算IPv6支持度，并根据IPv6评分检测结果进行整改。</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提供云证书管理平台以代理签发可信证书，避免因网络问题导致的无法申请证书，支持通过云平台自动续签证书。（提供功能截图并加盖供应商公章）</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访问控制</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支持对资源进行访问控制，支持根据资源</w:t>
            </w:r>
            <w:r>
              <w:rPr>
                <w:rFonts w:ascii="仿宋_GB2312" w:hAnsi="仿宋_GB2312" w:cs="仿宋_GB2312" w:eastAsia="仿宋_GB2312"/>
                <w:sz w:val="21"/>
              </w:rPr>
              <w:t>URL路径进行访问控制；支持对管理网站的后台路径只允许校内访问、校外禁止场景。</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访问控制方式包括直接访问、认证访问、禁止访问、镜像访问；认证访问为用户进行认证后继续访问，镜像访问为完全阻断后端资源数据流量同时提供网页查看服务；访问控制对象包括但不限于</w:t>
            </w:r>
            <w:r>
              <w:rPr>
                <w:rFonts w:ascii="仿宋_GB2312" w:hAnsi="仿宋_GB2312" w:cs="仿宋_GB2312" w:eastAsia="仿宋_GB2312"/>
                <w:sz w:val="21"/>
              </w:rPr>
              <w:t>IP组，认证用户组。</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功能截图证明</w:t>
            </w:r>
            <w:r>
              <w:rPr>
                <w:rFonts w:ascii="仿宋_GB2312" w:hAnsi="仿宋_GB2312" w:cs="仿宋_GB2312" w:eastAsia="仿宋_GB2312"/>
                <w:sz w:val="21"/>
              </w:rPr>
              <w:t>加盖供应商公章</w:t>
            </w:r>
            <w:r>
              <w:rPr>
                <w:rFonts w:ascii="仿宋_GB2312" w:hAnsi="仿宋_GB2312" w:cs="仿宋_GB2312" w:eastAsia="仿宋_GB2312"/>
                <w:sz w:val="21"/>
              </w:rPr>
              <w:t>）</w:t>
            </w:r>
            <w:r>
              <w:rPr>
                <w:rFonts w:ascii="仿宋_GB2312" w:hAnsi="仿宋_GB2312" w:cs="仿宋_GB2312" w:eastAsia="仿宋_GB2312"/>
                <w:sz w:val="21"/>
                <w:b/>
              </w:rPr>
              <w:t>【</w:t>
            </w:r>
            <w:r>
              <w:rPr>
                <w:rFonts w:ascii="仿宋_GB2312" w:hAnsi="仿宋_GB2312" w:cs="仿宋_GB2312" w:eastAsia="仿宋_GB2312"/>
                <w:sz w:val="21"/>
                <w:b/>
              </w:rPr>
              <w:t>提供现场视频演示以证明技术参数与性能的响应性，否则视为负偏离。（</w:t>
            </w:r>
            <w:r>
              <w:rPr>
                <w:rFonts w:ascii="仿宋_GB2312" w:hAnsi="仿宋_GB2312" w:cs="仿宋_GB2312" w:eastAsia="仿宋_GB2312"/>
                <w:sz w:val="21"/>
                <w:b/>
              </w:rPr>
              <w:t>供应商自行携带视频至评审现场演示</w:t>
            </w:r>
            <w:r>
              <w:rPr>
                <w:rFonts w:ascii="仿宋_GB2312" w:hAnsi="仿宋_GB2312" w:cs="仿宋_GB2312" w:eastAsia="仿宋_GB2312"/>
                <w:sz w:val="21"/>
                <w:b/>
              </w:rPr>
              <w:t>）</w:t>
            </w:r>
            <w:r>
              <w:rPr>
                <w:rFonts w:ascii="仿宋_GB2312" w:hAnsi="仿宋_GB2312" w:cs="仿宋_GB2312" w:eastAsia="仿宋_GB2312"/>
                <w:sz w:val="21"/>
                <w:b/>
              </w:rPr>
              <w:t>】</w:t>
            </w:r>
          </w:p>
          <w:p>
            <w:pPr>
              <w:pStyle w:val="null3"/>
              <w:jc w:val="both"/>
            </w:pP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支持配置策略有效期，支持设置每年定期生效、每周定日生效的、每天定时生效的访问策略；支持对策略有效期进行统一管理；支持策略更改进行历史记录，并支持策略更改撤回操作。</w:t>
            </w:r>
            <w:r>
              <w:rPr>
                <w:rFonts w:ascii="仿宋_GB2312" w:hAnsi="仿宋_GB2312" w:cs="仿宋_GB2312" w:eastAsia="仿宋_GB2312"/>
                <w:sz w:val="21"/>
                <w:b/>
              </w:rPr>
              <w:t>【</w:t>
            </w:r>
            <w:r>
              <w:rPr>
                <w:rFonts w:ascii="仿宋_GB2312" w:hAnsi="仿宋_GB2312" w:cs="仿宋_GB2312" w:eastAsia="仿宋_GB2312"/>
                <w:sz w:val="21"/>
                <w:b/>
              </w:rPr>
              <w:t>提供现场视频演示以证明技术参数与性能的响应性，否则视为负偏离。（</w:t>
            </w:r>
            <w:r>
              <w:rPr>
                <w:rFonts w:ascii="仿宋_GB2312" w:hAnsi="仿宋_GB2312" w:cs="仿宋_GB2312" w:eastAsia="仿宋_GB2312"/>
                <w:sz w:val="21"/>
                <w:b/>
              </w:rPr>
              <w:t>供应商自行携带视频至评审现场演示</w:t>
            </w:r>
            <w:r>
              <w:rPr>
                <w:rFonts w:ascii="仿宋_GB2312" w:hAnsi="仿宋_GB2312" w:cs="仿宋_GB2312" w:eastAsia="仿宋_GB2312"/>
                <w:sz w:val="21"/>
                <w:b/>
              </w:rPr>
              <w:t>）</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支持根据</w:t>
            </w:r>
            <w:r>
              <w:rPr>
                <w:rFonts w:ascii="仿宋_GB2312" w:hAnsi="仿宋_GB2312" w:cs="仿宋_GB2312" w:eastAsia="仿宋_GB2312"/>
                <w:sz w:val="21"/>
              </w:rPr>
              <w:t>HTTP头设置访问策略，支持匹配中的HTTP头中的键和值的请求放通白名单访问。</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IP组支持国内IP组，国内IP范围信息支持自动更新；IP组支持恶意IP库，恶意IP库支持自动更新。</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支持本地用户存储和管理，支持对接外部认证系统，包括但不限于</w:t>
            </w:r>
            <w:r>
              <w:rPr>
                <w:rFonts w:ascii="仿宋_GB2312" w:hAnsi="仿宋_GB2312" w:cs="仿宋_GB2312" w:eastAsia="仿宋_GB2312"/>
                <w:sz w:val="21"/>
              </w:rPr>
              <w:t>LDAP、RADIUS、OAuth、CAS、企业微信、钉钉、短信、微信，支持对认证用户进行分组，支持对LDAP、RADIUS、OAuth、CAS、企业微信、钉钉设置不同分组规则。</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支持对不同资源设置不同的认证页面，支持对不同资源设置不同的外部认证方式。</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支持动态禁止频繁登录失败的用户再次尝试，支持自定义认证失败频率的阈值以及再次登陆的时间。</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支持临时账号管理，支持用户账号设置有效期。</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支持对单个资源或集群中全部资源访问进行速率限制，支持对部分</w:t>
            </w:r>
            <w:r>
              <w:rPr>
                <w:rFonts w:ascii="仿宋_GB2312" w:hAnsi="仿宋_GB2312" w:cs="仿宋_GB2312" w:eastAsia="仿宋_GB2312"/>
                <w:sz w:val="21"/>
              </w:rPr>
              <w:t>IP组设置白名单解除限制；支持对不同用户终端类型设置不同速率限制。</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监控告警</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对资源的可达性进行监控，支持对不活跃（僵尸网站）网站进行监控，支持对网站证书有效期进行监控；支持对全部网站的访问状态通过蜂窝图类型进行展示，运维人员可以直观的了解到全部网站的运行状态。</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支持通过</w:t>
            </w:r>
            <w:r>
              <w:rPr>
                <w:rFonts w:ascii="仿宋_GB2312" w:hAnsi="仿宋_GB2312" w:cs="仿宋_GB2312" w:eastAsia="仿宋_GB2312"/>
                <w:sz w:val="21"/>
              </w:rPr>
              <w:t>AI智能算法对网站无法访问的原因进行分析，并给出具体的修改建议。</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支持通过短信、邮件向管理员发送告警通知消息；支持通过微信告警服务平台发送告警通知消息，只需关注即可使用；（提供功能截图并加盖供应商公章）</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支持每个网站资源设置不同的可达性告警等级，支持每个网站的告警发送至网站具体责任人。</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日志统计分析</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支持记录与查询全量日志，包括但不限于用户账号、用户</w:t>
            </w:r>
            <w:r>
              <w:rPr>
                <w:rFonts w:ascii="仿宋_GB2312" w:hAnsi="仿宋_GB2312" w:cs="仿宋_GB2312" w:eastAsia="仿宋_GB2312"/>
                <w:sz w:val="21"/>
              </w:rPr>
              <w:t>IP、终端、请求时间、访问URL、请求结果；支持日志至少存储180天，存储日志可实时查询。</w:t>
            </w:r>
          </w:p>
        </w:tc>
      </w:tr>
      <w:tr>
        <w:tc>
          <w:tcPr>
            <w:tcW w:type="dxa" w:w="2769"/>
          </w:tcPr>
          <w:p>
            <w:pPr>
              <w:pStyle w:val="null3"/>
            </w:pPr>
            <w:r>
              <w:rPr>
                <w:rFonts w:ascii="仿宋_GB2312" w:hAnsi="仿宋_GB2312" w:cs="仿宋_GB2312" w:eastAsia="仿宋_GB2312"/>
              </w:rPr>
              <w:t>42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对用户数据进行统计分析，支持根据访问量、浏览器、操作系统、设备类型、请求来源地理位置进行统计分析，并可根据时间段及不同时间维度进行统计，通过可视化图表展示变化趋势；（提供功能截图并加盖</w:t>
            </w:r>
            <w:r>
              <w:rPr>
                <w:rFonts w:ascii="仿宋_GB2312" w:hAnsi="仿宋_GB2312" w:cs="仿宋_GB2312" w:eastAsia="仿宋_GB2312"/>
                <w:sz w:val="21"/>
              </w:rPr>
              <w:t>供应商</w:t>
            </w:r>
            <w:r>
              <w:rPr>
                <w:rFonts w:ascii="仿宋_GB2312" w:hAnsi="仿宋_GB2312" w:cs="仿宋_GB2312" w:eastAsia="仿宋_GB2312"/>
                <w:sz w:val="21"/>
              </w:rPr>
              <w:t>公章）</w:t>
            </w:r>
          </w:p>
        </w:tc>
      </w:tr>
      <w:tr>
        <w:tc>
          <w:tcPr>
            <w:tcW w:type="dxa" w:w="2769"/>
          </w:tcPr>
          <w:p>
            <w:pPr>
              <w:pStyle w:val="null3"/>
            </w:pPr>
            <w:r>
              <w:rPr>
                <w:rFonts w:ascii="仿宋_GB2312" w:hAnsi="仿宋_GB2312" w:cs="仿宋_GB2312" w:eastAsia="仿宋_GB2312"/>
              </w:rPr>
              <w:t>43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支持根据用户的访问</w:t>
            </w:r>
            <w:r>
              <w:rPr>
                <w:rFonts w:ascii="仿宋_GB2312" w:hAnsi="仿宋_GB2312" w:cs="仿宋_GB2312" w:eastAsia="仿宋_GB2312"/>
                <w:sz w:val="21"/>
              </w:rPr>
              <w:t>HTTP协议（http/https/http2）以及IP协议（IPv4/IPv6）进行统计分析，并通过折线图进行展示；（提供功能截图并加盖</w:t>
            </w:r>
            <w:r>
              <w:rPr>
                <w:rFonts w:ascii="仿宋_GB2312" w:hAnsi="仿宋_GB2312" w:cs="仿宋_GB2312" w:eastAsia="仿宋_GB2312"/>
                <w:sz w:val="21"/>
              </w:rPr>
              <w:t>供应商</w:t>
            </w:r>
            <w:r>
              <w:rPr>
                <w:rFonts w:ascii="仿宋_GB2312" w:hAnsi="仿宋_GB2312" w:cs="仿宋_GB2312" w:eastAsia="仿宋_GB2312"/>
                <w:sz w:val="21"/>
              </w:rPr>
              <w:t>公章）</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支持自定义大屏，支持用户自定义选择关注的块图并添加至大屏中；支持拖拽方式调整布局；支持多个大屏全屏展示。</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支持对后端资源的性能数据信息进行统计分析，包括请求数、响应数、流量大小、错误数、连接数、每秒请求速率等，并可根据时间段及不同时间维度进行统计，通过可视化图表展示变化趋势；</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支持定期生成月报、年报，并支持</w:t>
            </w:r>
            <w:r>
              <w:rPr>
                <w:rFonts w:ascii="仿宋_GB2312" w:hAnsi="仿宋_GB2312" w:cs="仿宋_GB2312" w:eastAsia="仿宋_GB2312"/>
                <w:sz w:val="21"/>
              </w:rPr>
              <w:t>word格式进行导出。支持用户自定义统计报表，支持用户自主选择报表类型以及报表数据。</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系统管理</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HA方式进行多机部署，在单台出现故障时，能在1s内切换至另一台服务器进行服务，避免出现单点故障；业务端支持双活运行，两台机器同时提供具体业务，提升业务性能；</w:t>
            </w:r>
          </w:p>
        </w:tc>
      </w:tr>
      <w:tr>
        <w:tc>
          <w:tcPr>
            <w:tcW w:type="dxa" w:w="2769"/>
          </w:tcPr>
          <w:p>
            <w:pPr>
              <w:pStyle w:val="null3"/>
            </w:pPr>
            <w:r>
              <w:rPr>
                <w:rFonts w:ascii="仿宋_GB2312" w:hAnsi="仿宋_GB2312" w:cs="仿宋_GB2312" w:eastAsia="仿宋_GB2312"/>
              </w:rPr>
              <w:t>49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支持监控系统自身运行状态，包括</w:t>
            </w:r>
            <w:r>
              <w:rPr>
                <w:rFonts w:ascii="仿宋_GB2312" w:hAnsi="仿宋_GB2312" w:cs="仿宋_GB2312" w:eastAsia="仿宋_GB2312"/>
                <w:sz w:val="21"/>
              </w:rPr>
              <w:t>CPU、内存、负载状态、网卡流量以及磁盘使用情况；支持自动定期系统配置备份，并可通过备份进行系统恢复；</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支持系统用户的权限管理，系统管理员可管理所有资源并自定义域管理员的管理域，域管理员只可对指定域内资源进行管理；支持系统用户的操作日志的记录与查询；</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支持系统用户双因子认证登录，密码定期修改；支持管理端系统配置白名单策略，只允许白名单的</w:t>
            </w:r>
            <w:r>
              <w:rPr>
                <w:rFonts w:ascii="仿宋_GB2312" w:hAnsi="仿宋_GB2312" w:cs="仿宋_GB2312" w:eastAsia="仿宋_GB2312"/>
                <w:sz w:val="21"/>
              </w:rPr>
              <w:t>IP使用相关管理功能，禁止其他IP访问并使用管理功能；</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服务要求：</w:t>
            </w:r>
          </w:p>
          <w:p>
            <w:pPr>
              <w:pStyle w:val="null3"/>
              <w:ind w:firstLine="420"/>
              <w:jc w:val="left"/>
            </w:pPr>
            <w:r>
              <w:rPr>
                <w:rFonts w:ascii="仿宋_GB2312" w:hAnsi="仿宋_GB2312" w:cs="仿宋_GB2312" w:eastAsia="仿宋_GB2312"/>
                <w:sz w:val="21"/>
              </w:rPr>
              <w:t>1.供应商按原信息产业部颁布的《电信服务标准（试行）》的电路质量要求,负责进行本项目相关业务的连接、调通、测试。</w:t>
            </w:r>
          </w:p>
          <w:p>
            <w:pPr>
              <w:pStyle w:val="null3"/>
              <w:ind w:firstLine="420"/>
              <w:jc w:val="left"/>
            </w:pPr>
            <w:r>
              <w:rPr>
                <w:rFonts w:ascii="仿宋_GB2312" w:hAnsi="仿宋_GB2312" w:cs="仿宋_GB2312" w:eastAsia="仿宋_GB2312"/>
                <w:sz w:val="21"/>
              </w:rPr>
              <w:t>2.供应商按国家电信主管部门颁布的电信服务标准和互联光纤质量要求，保证线路畅通，提供24小时×365天的质量保证；提供7×24小时电话技术支持和故障申告服务。</w:t>
            </w:r>
          </w:p>
          <w:p>
            <w:pPr>
              <w:pStyle w:val="null3"/>
              <w:ind w:firstLine="420"/>
              <w:jc w:val="left"/>
            </w:pPr>
            <w:r>
              <w:rPr>
                <w:rFonts w:ascii="仿宋_GB2312" w:hAnsi="仿宋_GB2312" w:cs="仿宋_GB2312" w:eastAsia="仿宋_GB2312"/>
                <w:sz w:val="21"/>
              </w:rPr>
              <w:t>3.供应商应进行互联光纤故障的诊断和排除，线路中断故障排除时间≤4小时，其它故障排除时间≤24小时。</w:t>
            </w:r>
          </w:p>
          <w:p>
            <w:pPr>
              <w:pStyle w:val="null3"/>
              <w:ind w:firstLine="420"/>
              <w:jc w:val="left"/>
            </w:pPr>
            <w:r>
              <w:rPr>
                <w:rFonts w:ascii="仿宋_GB2312" w:hAnsi="仿宋_GB2312" w:cs="仿宋_GB2312" w:eastAsia="仿宋_GB2312"/>
                <w:sz w:val="21"/>
              </w:rPr>
              <w:t>4.提供对采购人的技术人员进行相关业务培训服务。</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合同签订后</w:t>
            </w:r>
            <w:r>
              <w:rPr>
                <w:rFonts w:ascii="仿宋_GB2312" w:hAnsi="仿宋_GB2312" w:cs="仿宋_GB2312" w:eastAsia="仿宋_GB2312"/>
                <w:sz w:val="21"/>
              </w:rPr>
              <w:t>20天内，</w:t>
            </w:r>
            <w:r>
              <w:rPr>
                <w:rFonts w:ascii="仿宋_GB2312" w:hAnsi="仿宋_GB2312" w:cs="仿宋_GB2312" w:eastAsia="仿宋_GB2312"/>
                <w:sz w:val="21"/>
              </w:rPr>
              <w:t>供应商</w:t>
            </w:r>
            <w:r>
              <w:rPr>
                <w:rFonts w:ascii="仿宋_GB2312" w:hAnsi="仿宋_GB2312" w:cs="仿宋_GB2312" w:eastAsia="仿宋_GB2312"/>
                <w:sz w:val="21"/>
              </w:rPr>
              <w:t>按采购人指定地点完成相关服务设备的安装、数据对接、调试等工作</w:t>
            </w:r>
            <w:r>
              <w:rPr>
                <w:rFonts w:ascii="仿宋_GB2312" w:hAnsi="仿宋_GB2312" w:cs="仿宋_GB2312" w:eastAsia="仿宋_GB2312"/>
                <w:sz w:val="21"/>
              </w:rPr>
              <w:t>；</w:t>
            </w:r>
            <w:r>
              <w:rPr>
                <w:rFonts w:ascii="仿宋_GB2312" w:hAnsi="仿宋_GB2312" w:cs="仿宋_GB2312" w:eastAsia="仿宋_GB2312"/>
                <w:sz w:val="21"/>
              </w:rPr>
              <w:t>在</w:t>
            </w:r>
            <w:r>
              <w:rPr>
                <w:rFonts w:ascii="仿宋_GB2312" w:hAnsi="仿宋_GB2312" w:cs="仿宋_GB2312" w:eastAsia="仿宋_GB2312"/>
                <w:sz w:val="21"/>
              </w:rPr>
              <w:t>30个自然日内，</w:t>
            </w:r>
            <w:r>
              <w:rPr>
                <w:rFonts w:ascii="仿宋_GB2312" w:hAnsi="仿宋_GB2312" w:cs="仿宋_GB2312" w:eastAsia="仿宋_GB2312"/>
                <w:sz w:val="21"/>
              </w:rPr>
              <w:t>供应商</w:t>
            </w:r>
            <w:r>
              <w:rPr>
                <w:rFonts w:ascii="仿宋_GB2312" w:hAnsi="仿宋_GB2312" w:cs="仿宋_GB2312" w:eastAsia="仿宋_GB2312"/>
                <w:sz w:val="21"/>
              </w:rPr>
              <w:t>未按上述约定服务，对同一线路的服务被采购人投诉两次以上（含两次）或单次中断时间超过</w:t>
            </w:r>
            <w:r>
              <w:rPr>
                <w:rFonts w:ascii="仿宋_GB2312" w:hAnsi="仿宋_GB2312" w:cs="仿宋_GB2312" w:eastAsia="仿宋_GB2312"/>
                <w:sz w:val="21"/>
              </w:rPr>
              <w:t>4小时，减免合同金额的2%</w:t>
            </w:r>
            <w:r>
              <w:rPr>
                <w:rFonts w:ascii="仿宋_GB2312" w:hAnsi="仿宋_GB2312" w:cs="仿宋_GB2312" w:eastAsia="仿宋_GB2312"/>
                <w:sz w:val="21"/>
              </w:rPr>
              <w:t>；</w:t>
            </w:r>
            <w:r>
              <w:rPr>
                <w:rFonts w:ascii="仿宋_GB2312" w:hAnsi="仿宋_GB2312" w:cs="仿宋_GB2312" w:eastAsia="仿宋_GB2312"/>
                <w:sz w:val="21"/>
              </w:rPr>
              <w:t>若服务期内有出台新的法律法规和服务标准，</w:t>
            </w:r>
            <w:r>
              <w:rPr>
                <w:rFonts w:ascii="仿宋_GB2312" w:hAnsi="仿宋_GB2312" w:cs="仿宋_GB2312" w:eastAsia="仿宋_GB2312"/>
                <w:sz w:val="21"/>
              </w:rPr>
              <w:t>供应商</w:t>
            </w:r>
            <w:r>
              <w:rPr>
                <w:rFonts w:ascii="仿宋_GB2312" w:hAnsi="仿宋_GB2312" w:cs="仿宋_GB2312" w:eastAsia="仿宋_GB2312"/>
                <w:sz w:val="21"/>
              </w:rPr>
              <w:t>与采购人协商修改服务协议或按照新的法律法规和服务标准执行。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质保期、售后服务响应时间等要求：出现网络通信中断，应在接到故障申告后24小时内恢复网络通信。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西安科技大学雁塔校区北院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服务满3个月，采购人支付总金额的25％，在付款前供应商必须开具全额增值税发票给采购人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服务满6个月，采购人支付总金额的25％，在付款前供应商必须开具全额增值税发票给采购人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服务满9个月，采购人支付总金额的25％，在付款前供应商必须开具全额增值税发票给采购人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服务满12个月，采购人支付总金额的25％（如有减免，付至减免后的总金额为止，减免条件见第三章第3条第3.2.2款序号52第5项），在付款前供应商必须开具全额增值税发票给采购人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项目用途说明：校园互联及Web流量控制服。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 3269号旺座曲江D座30层，联系人：王工，联系电话：15091632950）。4、若电子响应文件与纸质响应文件不一致的，以电子响应文件为准。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或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或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 供应商提交的相关资格证明材料.docx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响应文件按磋商文件要求的计量单位、报价货币及签字盖章（合格）响应文件未按磋商文件要求的计量单位、报价货币及签字盖章（不合格）</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响应有效期达到磋商文件要求</w:t>
            </w:r>
          </w:p>
        </w:tc>
        <w:tc>
          <w:tcPr>
            <w:tcW w:type="dxa" w:w="3322"/>
          </w:tcPr>
          <w:p>
            <w:pPr>
              <w:pStyle w:val="null3"/>
            </w:pPr>
            <w:r>
              <w:rPr>
                <w:rFonts w:ascii="仿宋_GB2312" w:hAnsi="仿宋_GB2312" w:cs="仿宋_GB2312" w:eastAsia="仿宋_GB2312"/>
              </w:rPr>
              <w:t>响应有效期达到磋商文件要求（合格）响应有效期未达到磋商文件要求（不合格）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技术响应满足第三章3.2服务内容及服务要求中带“★”的实质性要求、商务响应满足第三章3.3商务要求（合格），任意一条不满足（不合格）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符合法律、法规和磋商文件中规定的其他实质性要求（合格）不符合法律、法规和磋商文件中规定的其他实质性要求（不合格）</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响应完全满足、响应《竞争性磋商文件》第三章3.2.2服务要求，没有负偏离的得32分，“★”项为实质性要求，任意一条不满足的按无效响应处理；“▲”项为重要技术参数要求，每负偏离一项，扣2分；要求演示项每负偏离一项，扣1分；其余技术参数要求，每负偏离一项，扣0.5分；扣完为止。</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供应商针对本项目提供技术方案，方案应紧密结合采购人业务需求及发展规划进行设计、整体技术方案应论述清楚。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每完全满足一个评审标准得2分；基本满足得1分；不能满足的不得分；满分6分。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 供应商针对本项目提供运维服务方案。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每完全满足一个评审标准得2分；基本满足得1分；不能满足的不得分；满分6分。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拟投入项目人员</w:t>
            </w:r>
          </w:p>
        </w:tc>
        <w:tc>
          <w:tcPr>
            <w:tcW w:type="dxa" w:w="2492"/>
          </w:tcPr>
          <w:p>
            <w:pPr>
              <w:pStyle w:val="null3"/>
            </w:pPr>
            <w:r>
              <w:rPr>
                <w:rFonts w:ascii="仿宋_GB2312" w:hAnsi="仿宋_GB2312" w:cs="仿宋_GB2312" w:eastAsia="仿宋_GB2312"/>
              </w:rPr>
              <w:t>一、评审内容 供应商针对本项目提供拟投入项目人员，应包括服务人员的人数、从业经验、专业能力等。 二、评审标准 1、完整性：内容须全面，对评审内容中的各项要求有详细描述； 2、针对性：能够紧扣项目实际情况，合理匹配项目人员。 三、赋分标准 每完全满足一个评审标准得2分；基本满足得1分；不能满足的不得分；满分4分。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供应商针对本项目提供质量保证方案。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每完全满足一个评审标准得2分；基本满足得1分；不能满足的不得分；满分6分。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供应商针对本项目提供培训方案，应包括具体培训方式、时间、地点、人员以及培训内容。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一、评审内容 供应商针对本项目提供售后服务方案及相关承诺（包括但不限于用户现场服务响应时间、处理解决措施等） 二、评审标准 1、完整性：方案须全面，对评审内容中的各项要求有详细描述； 2、可实施性：切合本项目实际情况，实施步骤清晰、合理； 3、针对性：方案能够紧扣项目实际情况，内容科学合理。 三、赋分依据 每完全满足一个评审标准得2分，基本满足一个评审标准得1分，满分6分，未提供不得分。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供应商具有2022年7月1日至今同类项目业绩，每提供一个业绩得1分，满分4分。 注：附合同关键页（含签订合同双方单位名称、合同项目名称、供货产品（服务）目录及签订合同双方的落款盖章、签订日期的关键页，否则业绩无效）。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详见附件：供应商提交的相关资格证明材料.docx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详见附件：西安科技大学服务采购合同.docx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