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8D0F93">
      <w:pPr>
        <w:keepNext w:val="0"/>
        <w:keepLines w:val="0"/>
        <w:pageBreakBefore w:val="0"/>
        <w:widowControl w:val="0"/>
        <w:kinsoku/>
        <w:wordWrap/>
        <w:overflowPunct/>
        <w:topLinePunct w:val="0"/>
        <w:autoSpaceDE w:val="0"/>
        <w:autoSpaceDN w:val="0"/>
        <w:bidi w:val="0"/>
        <w:adjustRightInd w:val="0"/>
        <w:snapToGrid w:val="0"/>
        <w:spacing w:line="360" w:lineRule="auto"/>
        <w:jc w:val="center"/>
        <w:textAlignment w:val="auto"/>
        <w:rPr>
          <w:rFonts w:hint="eastAsia" w:ascii="仿宋_GB2312" w:hAnsi="仿宋" w:eastAsia="仿宋_GB2312"/>
          <w:bCs/>
          <w:color w:val="auto"/>
          <w:sz w:val="28"/>
          <w:szCs w:val="28"/>
          <w:highlight w:val="none"/>
        </w:rPr>
      </w:pPr>
      <w:r>
        <w:rPr>
          <w:rFonts w:hint="eastAsia" w:ascii="黑体" w:hAnsi="黑体" w:eastAsia="黑体" w:cs="黑体"/>
          <w:b/>
          <w:bCs/>
          <w:color w:val="auto"/>
          <w:kern w:val="2"/>
          <w:sz w:val="32"/>
          <w:szCs w:val="32"/>
          <w:highlight w:val="none"/>
          <w:lang w:val="zh-CN" w:eastAsia="zh-CN" w:bidi="ar-SA"/>
        </w:rPr>
        <w:t>拟签订的合同条款文本</w:t>
      </w:r>
    </w:p>
    <w:p w14:paraId="7F8968D3">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甲方（采购人）： </w:t>
      </w:r>
    </w:p>
    <w:p w14:paraId="740615FA">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乙方（成交供应商）： </w:t>
      </w:r>
    </w:p>
    <w:p w14:paraId="2D53080A">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u w:val="single"/>
        </w:rPr>
        <w:t>交通物流降本提质增效交通强国试点创建咨询服务项目(项目编号：SXHC202</w:t>
      </w:r>
      <w:r>
        <w:rPr>
          <w:rFonts w:hint="eastAsia" w:ascii="宋体" w:hAnsi="宋体" w:eastAsia="宋体" w:cs="宋体"/>
          <w:bCs/>
          <w:color w:val="auto"/>
          <w:sz w:val="24"/>
          <w:szCs w:val="24"/>
          <w:highlight w:val="none"/>
          <w:u w:val="single"/>
          <w:lang w:val="en-US" w:eastAsia="zh-CN"/>
        </w:rPr>
        <w:t>5</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u w:val="single"/>
          <w:lang w:val="en-US" w:eastAsia="zh-CN"/>
        </w:rPr>
        <w:t>045</w:t>
      </w:r>
      <w:r>
        <w:rPr>
          <w:rFonts w:hint="eastAsia" w:ascii="宋体" w:hAnsi="宋体" w:eastAsia="宋体" w:cs="宋体"/>
          <w:bCs/>
          <w:color w:val="auto"/>
          <w:sz w:val="24"/>
          <w:szCs w:val="24"/>
          <w:highlight w:val="none"/>
          <w:u w:val="single"/>
        </w:rPr>
        <w:t>)</w:t>
      </w:r>
      <w:r>
        <w:rPr>
          <w:rFonts w:hint="eastAsia" w:ascii="宋体" w:hAnsi="宋体" w:eastAsia="宋体" w:cs="宋体"/>
          <w:bCs/>
          <w:color w:val="auto"/>
          <w:sz w:val="24"/>
          <w:szCs w:val="24"/>
          <w:highlight w:val="none"/>
        </w:rPr>
        <w:t>，由陕西华采招标有限公司组织竞争性磋商，</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(以下简称“甲方”)确定</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（以下简称“乙方”）为该项目的成交供应商。</w:t>
      </w:r>
    </w:p>
    <w:p w14:paraId="7047C907">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依据《</w:t>
      </w:r>
      <w:r>
        <w:rPr>
          <w:rFonts w:hint="eastAsia" w:ascii="宋体" w:hAnsi="宋体" w:eastAsia="宋体" w:cs="宋体"/>
          <w:bCs/>
          <w:color w:val="auto"/>
          <w:sz w:val="24"/>
          <w:szCs w:val="24"/>
          <w:highlight w:val="none"/>
          <w:lang w:eastAsia="zh-CN"/>
        </w:rPr>
        <w:t>中华人民共和国民法典</w:t>
      </w:r>
      <w:r>
        <w:rPr>
          <w:rFonts w:hint="eastAsia" w:ascii="宋体" w:hAnsi="宋体" w:eastAsia="宋体" w:cs="宋体"/>
          <w:bCs/>
          <w:color w:val="auto"/>
          <w:sz w:val="24"/>
          <w:szCs w:val="24"/>
          <w:highlight w:val="none"/>
        </w:rPr>
        <w:t>》和《中华人民共和国政府采购法》之规定，经双方在平等、自愿、互利的基础上，签订本合同，共同信守。</w:t>
      </w:r>
    </w:p>
    <w:p w14:paraId="6A784952">
      <w:pPr>
        <w:autoSpaceDE w:val="0"/>
        <w:autoSpaceDN w:val="0"/>
        <w:adjustRightInd w:val="0"/>
        <w:snapToGrid w:val="0"/>
        <w:spacing w:line="360" w:lineRule="auto"/>
        <w:ind w:firstLine="482" w:firstLineChars="200"/>
        <w:rPr>
          <w:rFonts w:hint="eastAsia" w:ascii="宋体" w:hAnsi="宋体" w:eastAsia="宋体" w:cs="宋体"/>
          <w:b/>
          <w:color w:val="auto"/>
          <w:sz w:val="24"/>
          <w:szCs w:val="24"/>
          <w:highlight w:val="none"/>
          <w:u w:val="single"/>
          <w:lang w:val="en-US" w:eastAsia="zh-CN"/>
        </w:rPr>
      </w:pPr>
      <w:r>
        <w:rPr>
          <w:rFonts w:hint="eastAsia" w:ascii="宋体" w:hAnsi="宋体" w:eastAsia="宋体" w:cs="宋体"/>
          <w:b/>
          <w:color w:val="auto"/>
          <w:sz w:val="24"/>
          <w:szCs w:val="24"/>
          <w:highlight w:val="none"/>
          <w:lang w:val="en-US" w:eastAsia="zh-CN"/>
        </w:rPr>
        <w:t>一</w:t>
      </w:r>
      <w:r>
        <w:rPr>
          <w:rFonts w:hint="eastAsia" w:ascii="宋体" w:hAnsi="宋体" w:eastAsia="宋体" w:cs="宋体"/>
          <w:b/>
          <w:color w:val="auto"/>
          <w:sz w:val="24"/>
          <w:szCs w:val="24"/>
          <w:highlight w:val="none"/>
        </w:rPr>
        <w:t>、委托工作内容</w:t>
      </w:r>
      <w:r>
        <w:rPr>
          <w:rFonts w:hint="eastAsia" w:ascii="宋体" w:hAnsi="宋体" w:eastAsia="宋体" w:cs="宋体"/>
          <w:b/>
          <w:color w:val="auto"/>
          <w:sz w:val="24"/>
          <w:szCs w:val="24"/>
          <w:highlight w:val="none"/>
          <w:u w:val="single"/>
          <w:lang w:val="en-US" w:eastAsia="zh-CN"/>
        </w:rPr>
        <w:t xml:space="preserve">              </w:t>
      </w:r>
    </w:p>
    <w:p w14:paraId="2BD46181">
      <w:pPr>
        <w:autoSpaceDE w:val="0"/>
        <w:autoSpaceDN w:val="0"/>
        <w:adjustRightInd w:val="0"/>
        <w:snapToGrid w:val="0"/>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二、合同价款</w:t>
      </w:r>
    </w:p>
    <w:p w14:paraId="01D301B5">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（一）合同价款（最终磋商报价）为人民币（大写）</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w:t>
      </w:r>
      <w:r>
        <w:rPr>
          <w:rFonts w:hint="eastAsia" w:ascii="宋体" w:hAnsi="宋体" w:eastAsia="宋体" w:cs="宋体"/>
          <w:bCs/>
          <w:color w:val="auto"/>
          <w:sz w:val="24"/>
          <w:szCs w:val="24"/>
          <w:highlight w:val="none"/>
          <w:lang w:val="en-US" w:eastAsia="zh-CN"/>
        </w:rPr>
        <w:t>¥</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 xml:space="preserve"> ）。</w:t>
      </w:r>
    </w:p>
    <w:p w14:paraId="7E7B492C">
      <w:pPr>
        <w:keepNext w:val="0"/>
        <w:keepLines w:val="0"/>
        <w:pageBreakBefore w:val="0"/>
        <w:widowControl w:val="0"/>
        <w:kinsoku/>
        <w:wordWrap/>
        <w:overflowPunct/>
        <w:topLinePunct w:val="0"/>
        <w:bidi w:val="0"/>
        <w:adjustRightInd w:val="0"/>
        <w:snapToGrid w:val="0"/>
        <w:spacing w:line="360" w:lineRule="auto"/>
        <w:ind w:firstLine="480" w:firstLineChars="200"/>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bCs/>
          <w:color w:val="auto"/>
          <w:sz w:val="24"/>
          <w:szCs w:val="24"/>
          <w:highlight w:val="none"/>
        </w:rPr>
        <w:t>（二）合同总价是指本次</w:t>
      </w:r>
      <w:r>
        <w:rPr>
          <w:rFonts w:hint="eastAsia" w:ascii="宋体" w:hAnsi="宋体" w:eastAsia="宋体" w:cs="宋体"/>
          <w:bCs/>
          <w:color w:val="auto"/>
          <w:sz w:val="24"/>
          <w:szCs w:val="24"/>
          <w:highlight w:val="none"/>
          <w:lang w:val="zh-CN"/>
        </w:rPr>
        <w:t>服务内容所需的全部费用,</w:t>
      </w:r>
      <w:r>
        <w:rPr>
          <w:rFonts w:hint="eastAsia" w:ascii="宋体" w:hAnsi="宋体" w:eastAsia="宋体" w:cs="宋体"/>
          <w:color w:val="auto"/>
          <w:sz w:val="24"/>
          <w:szCs w:val="24"/>
          <w:highlight w:val="none"/>
          <w:lang w:val="zh-CN" w:eastAsia="zh-CN"/>
        </w:rPr>
        <w:t>包括完成采购内容所需的直接费、间接费、利润、税金及其他相关的一切费用。</w:t>
      </w:r>
    </w:p>
    <w:p w14:paraId="1008F6EF">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（三）合同价款一次性包死，不受市场价格变化因素的影响。</w:t>
      </w:r>
    </w:p>
    <w:p w14:paraId="6726FFBD">
      <w:pPr>
        <w:autoSpaceDE w:val="0"/>
        <w:autoSpaceDN w:val="0"/>
        <w:adjustRightInd w:val="0"/>
        <w:snapToGrid w:val="0"/>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三、款项结算</w:t>
      </w:r>
    </w:p>
    <w:p w14:paraId="0D6A0C3B">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（一）付款比例</w:t>
      </w:r>
      <w:r>
        <w:rPr>
          <w:rFonts w:hint="eastAsia" w:ascii="宋体" w:hAnsi="宋体" w:eastAsia="宋体" w:cs="宋体"/>
          <w:bCs/>
          <w:color w:val="auto"/>
          <w:sz w:val="24"/>
          <w:szCs w:val="24"/>
          <w:highlight w:val="none"/>
          <w:lang w:eastAsia="zh-CN"/>
        </w:rPr>
        <w:t>：</w:t>
      </w:r>
      <w:r>
        <w:rPr>
          <w:rFonts w:hint="eastAsia" w:ascii="宋体" w:hAnsi="宋体" w:eastAsia="宋体" w:cs="宋体"/>
          <w:b w:val="0"/>
          <w:bCs/>
          <w:color w:val="auto"/>
          <w:sz w:val="24"/>
          <w:szCs w:val="24"/>
          <w:highlight w:val="none"/>
        </w:rPr>
        <w:t>自本合同生效之日起，</w:t>
      </w:r>
      <w:r>
        <w:rPr>
          <w:rFonts w:hint="eastAsia" w:ascii="宋体" w:hAnsi="宋体" w:eastAsia="宋体" w:cs="宋体"/>
          <w:b w:val="0"/>
          <w:bCs/>
          <w:color w:val="auto"/>
          <w:sz w:val="24"/>
          <w:szCs w:val="24"/>
          <w:highlight w:val="none"/>
          <w:lang w:eastAsia="zh-CN"/>
        </w:rPr>
        <w:t>甲方收到乙方提交的合同约定的实施方案后，</w:t>
      </w:r>
      <w:r>
        <w:rPr>
          <w:rFonts w:hint="eastAsia" w:ascii="宋体" w:hAnsi="宋体" w:eastAsia="宋体" w:cs="宋体"/>
          <w:b w:val="0"/>
          <w:bCs/>
          <w:color w:val="auto"/>
          <w:sz w:val="24"/>
          <w:szCs w:val="24"/>
          <w:highlight w:val="none"/>
        </w:rPr>
        <w:t>支付合同总金额的100.00%。</w:t>
      </w:r>
    </w:p>
    <w:p w14:paraId="5F58CD49">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（二）支付方式：银行转账。</w:t>
      </w:r>
    </w:p>
    <w:p w14:paraId="49195307">
      <w:pPr>
        <w:autoSpaceDE w:val="0"/>
        <w:autoSpaceDN w:val="0"/>
        <w:adjustRightInd w:val="0"/>
        <w:snapToGrid w:val="0"/>
        <w:spacing w:line="360" w:lineRule="auto"/>
        <w:ind w:firstLine="480" w:firstLineChars="200"/>
        <w:rPr>
          <w:rFonts w:hint="eastAsia" w:ascii="宋体" w:hAnsi="宋体" w:eastAsia="宋体" w:cs="宋体"/>
          <w:b w:val="0"/>
          <w:bCs/>
          <w:color w:val="auto"/>
          <w:sz w:val="24"/>
          <w:szCs w:val="24"/>
          <w:highlight w:val="none"/>
        </w:rPr>
      </w:pPr>
      <w:r>
        <w:rPr>
          <w:rFonts w:hint="eastAsia" w:ascii="宋体" w:hAnsi="宋体" w:eastAsia="宋体" w:cs="宋体"/>
          <w:b w:val="0"/>
          <w:bCs/>
          <w:color w:val="auto"/>
          <w:sz w:val="24"/>
          <w:szCs w:val="24"/>
          <w:highlight w:val="none"/>
        </w:rPr>
        <w:t>（三）结算方式：</w:t>
      </w:r>
      <w:r>
        <w:rPr>
          <w:rFonts w:hint="eastAsia" w:ascii="宋体" w:hAnsi="宋体" w:eastAsia="宋体" w:cs="宋体"/>
          <w:b w:val="0"/>
          <w:bCs/>
          <w:color w:val="auto"/>
          <w:sz w:val="24"/>
          <w:szCs w:val="24"/>
          <w:highlight w:val="none"/>
          <w:lang w:val="en-US" w:eastAsia="zh-CN"/>
        </w:rPr>
        <w:t>甲方付款前，乙方需向甲方开具合同全额合格增值税普通发票，甲方在收到发票后60日内支付。若乙方开具的发票不合格，甲方有权迟延付款，且不承担逾期付款的违约责任</w:t>
      </w:r>
      <w:r>
        <w:rPr>
          <w:rFonts w:hint="eastAsia" w:ascii="宋体" w:hAnsi="宋体" w:eastAsia="宋体" w:cs="宋体"/>
          <w:b w:val="0"/>
          <w:bCs/>
          <w:color w:val="auto"/>
          <w:sz w:val="24"/>
          <w:szCs w:val="24"/>
          <w:highlight w:val="none"/>
        </w:rPr>
        <w:t>。</w:t>
      </w:r>
    </w:p>
    <w:p w14:paraId="2176FB20">
      <w:pPr>
        <w:autoSpaceDE w:val="0"/>
        <w:autoSpaceDN w:val="0"/>
        <w:adjustRightInd w:val="0"/>
        <w:snapToGrid w:val="0"/>
        <w:spacing w:line="360" w:lineRule="auto"/>
        <w:ind w:firstLine="482" w:firstLineChars="200"/>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四、服务地点及服务期</w:t>
      </w:r>
    </w:p>
    <w:p w14:paraId="408C1CCF">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（一）服务地点：西安市范围内</w:t>
      </w: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具体以甲方指定地点为准</w:t>
      </w:r>
      <w:r>
        <w:rPr>
          <w:rFonts w:hint="eastAsia" w:ascii="宋体" w:hAnsi="宋体" w:eastAsia="宋体" w:cs="宋体"/>
          <w:bCs/>
          <w:color w:val="auto"/>
          <w:sz w:val="24"/>
          <w:szCs w:val="24"/>
          <w:highlight w:val="none"/>
        </w:rPr>
        <w:t>。</w:t>
      </w:r>
    </w:p>
    <w:p w14:paraId="1A639340">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（二）服务期：自合同签订之日起至试点创建结束</w:t>
      </w:r>
      <w:r>
        <w:rPr>
          <w:rFonts w:hint="eastAsia" w:ascii="宋体" w:hAnsi="宋体" w:eastAsia="宋体" w:cs="宋体"/>
          <w:bCs/>
          <w:color w:val="auto"/>
          <w:sz w:val="24"/>
          <w:szCs w:val="24"/>
          <w:highlight w:val="none"/>
          <w:lang w:eastAsia="zh-CN"/>
        </w:rPr>
        <w:t>。</w:t>
      </w:r>
    </w:p>
    <w:p w14:paraId="23B37EEE">
      <w:pPr>
        <w:autoSpaceDE w:val="0"/>
        <w:autoSpaceDN w:val="0"/>
        <w:adjustRightInd w:val="0"/>
        <w:snapToGrid w:val="0"/>
        <w:spacing w:line="360" w:lineRule="auto"/>
        <w:ind w:firstLine="482" w:firstLineChars="200"/>
        <w:rPr>
          <w:rFonts w:hint="eastAsia" w:ascii="宋体" w:hAnsi="宋体" w:eastAsia="宋体" w:cs="宋体"/>
          <w:b/>
          <w:bCs/>
          <w:color w:val="auto"/>
          <w:sz w:val="24"/>
          <w:szCs w:val="24"/>
          <w:highlight w:val="none"/>
          <w:lang w:val="zh-CN"/>
        </w:rPr>
      </w:pPr>
      <w:r>
        <w:rPr>
          <w:rFonts w:hint="eastAsia" w:ascii="宋体" w:hAnsi="宋体" w:eastAsia="宋体" w:cs="宋体"/>
          <w:b/>
          <w:bCs/>
          <w:color w:val="auto"/>
          <w:sz w:val="24"/>
          <w:szCs w:val="24"/>
          <w:highlight w:val="none"/>
          <w:lang w:val="zh-CN"/>
        </w:rPr>
        <w:t>五、双方的权利和义务</w:t>
      </w:r>
    </w:p>
    <w:p w14:paraId="52280F4D">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（一）甲方的权利与义务</w:t>
      </w:r>
    </w:p>
    <w:p w14:paraId="508813E0">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1.甲方有权向乙方询问工作进展情况及相关的内容，有权检查和监督乙方的服务工作的质量、管理等情况，有权对乙方提供的服务提出更正、改进的意见，有权要求乙方以书面形式就前述内容进行汇报。</w:t>
      </w:r>
    </w:p>
    <w:p w14:paraId="7142C74A">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2.因乙方违反合同规定给甲方或相关方造成损失时，甲方有权要求乙方赔偿经济损失。</w:t>
      </w:r>
    </w:p>
    <w:p w14:paraId="7AF66AB8">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当甲方认定项目服务专业人员不按项目服务合同履行其职责，或专业能力、管理能力、责任心较差，不能有效与甲方配合并履行其项目服务义务，或与第三人串通给甲方造与经济损失的，甲方有权要求乙方更换项目服务专业人员，如对甲方造成实际损失的，甲方有权终止合同并要求乙方承担相应的赔偿责任。</w:t>
      </w:r>
    </w:p>
    <w:p w14:paraId="53938BB3">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4.甲方有权同意或不同意乙方因自身工作需要而更换合同约定的主要工作小组成员的要求。</w:t>
      </w:r>
    </w:p>
    <w:p w14:paraId="36F240C0">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5.甲方应当履行本合同约定的义务，如有违反则应当承担违约责任，赔偿给乙方造成的直接经济损失。</w:t>
      </w:r>
    </w:p>
    <w:p w14:paraId="2F930A29">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（二）乙方的权利与义务</w:t>
      </w:r>
    </w:p>
    <w:p w14:paraId="0E2889DC">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1.乙方有权在履行合同期间内取得按合同约定应有的报酬。</w:t>
      </w:r>
    </w:p>
    <w:p w14:paraId="715153B4">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2.乙方在项目服务过程中，如甲方提供的资料不明确时可向甲方提出书面报告。</w:t>
      </w:r>
    </w:p>
    <w:p w14:paraId="163849B1">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乙方有权在合同履行期间得到甲方必要的支持，有权拒绝执行甲方任何不符合有关法律、法规规定的要求。乙方应严格遵守国家、地方的法律、法规的规定，保证在合法且不侵犯他人利益的原则下进行项目服务活动，并对其所进行的服务活动负责。</w:t>
      </w:r>
    </w:p>
    <w:p w14:paraId="458E86C5">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4.乙方应按本合同所述的时间、服务范围和内容,尽自己的一切努力,按本合同约定，高效地履行自己的义务。在项目执行过程中支持和维护国家和甲方的合法利益。</w:t>
      </w:r>
    </w:p>
    <w:p w14:paraId="0E4044FC">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5.乙方应向甲方提供与本项目服务有关的资料，包括项目服务单位、人员的资质证书及承担本合同业务的专业人员名单、项目服务工作计划等，并按合同约定的范围、时间、工作依据、工作标准等，出具内容齐全、规范、准确的相关报告等。</w:t>
      </w:r>
    </w:p>
    <w:p w14:paraId="2F6A41A1">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6.乙方应对履行本合同所规定的服务以及在履行中因自己违约而给甲方造成的损失承担责任并应当向甲方进行赔偿。但下例情况不视为乙方违约:A非乙方的行为、过失、违约或失职造成的损失或伤害；B不可抗力造成的损失。</w:t>
      </w:r>
    </w:p>
    <w:p w14:paraId="63A035D1">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7.乙方必须为本项目涉及的各种资料、数据和收据等保密。未经甲方书面同意,乙方及乙方员工不得泄露、遗失、复印与本合同规定业务活动有关的一切资料和内容。所有甲方或第三人（与合同业务有关相关单位）提供的与本合同规定业务活动有关的一切资料，在合同结束后均应归还。</w:t>
      </w:r>
    </w:p>
    <w:p w14:paraId="022516B8">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8.乙方应对本项目所提供服务结果的可靠性、准确性、全面性向甲方负责，由于服务结果的可靠性、准确性、全面性不足而导致甲方工作偏差或失误，乙方应承担责任。</w:t>
      </w:r>
    </w:p>
    <w:p w14:paraId="33B228A1">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9.乙方在履行合同期间或合同规定期限内，履行本合同所确定的项目经理及主要专业技术、管理人员等必须是本单位职工和该项目的实际操作者，未经甲方同意，乙方不得调换或撤离上述人员。</w:t>
      </w:r>
    </w:p>
    <w:p w14:paraId="67234BE4">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10.按本合同支付给乙方的报酬应为本合同服务的唯一报酬。</w:t>
      </w:r>
    </w:p>
    <w:p w14:paraId="61291C5B">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11.乙方在本合同履行期间均不能直接或间接从事与本合同中活动相冲突的商业或职业活动，不得以任何理由向甲方任何工作人员行贿或有类似的行为。</w:t>
      </w:r>
    </w:p>
    <w:p w14:paraId="6ABCE83E">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12.乙方项目人员为甲方提供服务过程中，个人及财产安全由乙方自行负责，与甲方无关。乙方与项目人员建立合法的劳动关系，并承担用工主体责任。</w:t>
      </w:r>
    </w:p>
    <w:p w14:paraId="2994E97A">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13.除甲方事先书面同意外，乙方不得部分或全部转让其应履行的合同项下的义务。</w:t>
      </w:r>
    </w:p>
    <w:p w14:paraId="47BFC97E">
      <w:pPr>
        <w:autoSpaceDE w:val="0"/>
        <w:autoSpaceDN w:val="0"/>
        <w:adjustRightInd w:val="0"/>
        <w:snapToGrid w:val="0"/>
        <w:spacing w:line="360" w:lineRule="auto"/>
        <w:ind w:firstLine="482" w:firstLineChars="200"/>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六、服务质量保证</w:t>
      </w:r>
    </w:p>
    <w:p w14:paraId="4748F37C">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（一）乙方需建立高效的管理团队，项目团队组成合理</w:t>
      </w:r>
      <w:r>
        <w:rPr>
          <w:rFonts w:hint="eastAsia" w:ascii="宋体" w:hAnsi="宋体" w:eastAsia="宋体" w:cs="宋体"/>
          <w:bCs/>
          <w:color w:val="auto"/>
          <w:sz w:val="24"/>
          <w:szCs w:val="24"/>
          <w:highlight w:val="none"/>
          <w:lang w:eastAsia="zh-CN"/>
        </w:rPr>
        <w:t>。</w:t>
      </w:r>
    </w:p>
    <w:p w14:paraId="1C2ACF87">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lang w:eastAsia="zh-CN"/>
        </w:rPr>
        <w:t>（二）</w:t>
      </w:r>
      <w:r>
        <w:rPr>
          <w:rFonts w:hint="eastAsia" w:ascii="宋体" w:hAnsi="宋体" w:eastAsia="宋体" w:cs="宋体"/>
          <w:bCs/>
          <w:color w:val="auto"/>
          <w:sz w:val="24"/>
          <w:szCs w:val="24"/>
          <w:highlight w:val="none"/>
        </w:rPr>
        <w:t>乙方需派一名项目经理，直接与甲方沟通，项目经理接收甲方提出的问题与要求，并及时反馈给工作组，解决在项目实施过程中遇到的问题。</w:t>
      </w:r>
    </w:p>
    <w:p w14:paraId="34BDAC7E">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（三）项目在实施过程中会出现不可预料的需求变更，乙方需积极配合甲方的需求变更，并按照变更后的需求继续实施。</w:t>
      </w:r>
    </w:p>
    <w:p w14:paraId="3B42DF56">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（四）乙方需设有详细的技术资料档案和服务档案以便于更好地提供服务，</w:t>
      </w:r>
      <w:r>
        <w:rPr>
          <w:rFonts w:hint="eastAsia" w:ascii="宋体" w:hAnsi="宋体" w:eastAsia="宋体" w:cs="宋体"/>
          <w:bCs/>
          <w:color w:val="auto"/>
          <w:sz w:val="24"/>
          <w:szCs w:val="24"/>
          <w:highlight w:val="none"/>
          <w:lang w:eastAsia="zh-CN"/>
        </w:rPr>
        <w:t>项目结束后乙方须向甲方</w:t>
      </w:r>
      <w:r>
        <w:rPr>
          <w:rFonts w:hint="eastAsia" w:ascii="宋体" w:hAnsi="宋体" w:eastAsia="宋体" w:cs="宋体"/>
          <w:bCs/>
          <w:color w:val="auto"/>
          <w:sz w:val="24"/>
          <w:szCs w:val="24"/>
          <w:highlight w:val="none"/>
        </w:rPr>
        <w:t>提交所有实施方案流程及说明文档。</w:t>
      </w:r>
    </w:p>
    <w:p w14:paraId="43E7C85A">
      <w:pPr>
        <w:autoSpaceDE w:val="0"/>
        <w:autoSpaceDN w:val="0"/>
        <w:adjustRightInd w:val="0"/>
        <w:snapToGrid w:val="0"/>
        <w:spacing w:line="360" w:lineRule="auto"/>
        <w:ind w:firstLine="482" w:firstLineChars="200"/>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七、知识产权</w:t>
      </w:r>
    </w:p>
    <w:p w14:paraId="26BF02F0">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（一）本项目知识产权归甲方所有。</w:t>
      </w:r>
    </w:p>
    <w:p w14:paraId="253DDFC7">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 xml:space="preserve">（二）乙方无论出于任何目的如在其他地方使用该成果，必须经甲方同意方可使用。否则，甲方有权要求终止涉及到该中标知识产权的任何使用活动并保留追究卖方相应的法律责任的权利。 </w:t>
      </w:r>
    </w:p>
    <w:p w14:paraId="7CC2503D">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（三）乙方为执行本合同而提供的技术资料使用权归甲方所有。</w:t>
      </w:r>
    </w:p>
    <w:p w14:paraId="610B003C">
      <w:pPr>
        <w:autoSpaceDE w:val="0"/>
        <w:autoSpaceDN w:val="0"/>
        <w:adjustRightInd w:val="0"/>
        <w:snapToGrid w:val="0"/>
        <w:spacing w:line="360" w:lineRule="auto"/>
        <w:ind w:firstLine="482" w:firstLineChars="200"/>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八、保密规定</w:t>
      </w:r>
    </w:p>
    <w:p w14:paraId="46309047">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甲、乙双方应永久恪守因签署或履行本合同而获知的对方秘密信息及其它秘密资料。任何一方如将获知的对方秘密信息泄露给第三方，应赔偿因泄密而给对方造成的一切损失并承担相应的法律责任（包括刑事责任）。</w:t>
      </w:r>
    </w:p>
    <w:p w14:paraId="11FD6468">
      <w:pPr>
        <w:autoSpaceDE w:val="0"/>
        <w:autoSpaceDN w:val="0"/>
        <w:adjustRightInd w:val="0"/>
        <w:snapToGrid w:val="0"/>
        <w:spacing w:line="360" w:lineRule="auto"/>
        <w:ind w:firstLine="482" w:firstLineChars="200"/>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九、其他事项</w:t>
      </w:r>
    </w:p>
    <w:p w14:paraId="3D859BAD">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（一）乙方不得转让、分包给其它单位或个人。</w:t>
      </w:r>
    </w:p>
    <w:p w14:paraId="1F8E1F4D">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（二）乙方的</w:t>
      </w:r>
      <w:r>
        <w:rPr>
          <w:rFonts w:hint="eastAsia" w:ascii="宋体" w:hAnsi="宋体" w:eastAsia="宋体" w:cs="宋体"/>
          <w:bCs/>
          <w:color w:val="auto"/>
          <w:sz w:val="24"/>
          <w:szCs w:val="24"/>
          <w:highlight w:val="none"/>
          <w:lang w:eastAsia="zh-CN"/>
        </w:rPr>
        <w:t>响应</w:t>
      </w:r>
      <w:r>
        <w:rPr>
          <w:rFonts w:hint="eastAsia" w:ascii="宋体" w:hAnsi="宋体" w:eastAsia="宋体" w:cs="宋体"/>
          <w:bCs/>
          <w:color w:val="auto"/>
          <w:sz w:val="24"/>
          <w:szCs w:val="24"/>
          <w:highlight w:val="none"/>
        </w:rPr>
        <w:t>文件和承诺等内容将列入合同。</w:t>
      </w:r>
    </w:p>
    <w:p w14:paraId="50DB4A7E">
      <w:pPr>
        <w:autoSpaceDE w:val="0"/>
        <w:autoSpaceDN w:val="0"/>
        <w:adjustRightInd w:val="0"/>
        <w:snapToGrid w:val="0"/>
        <w:spacing w:line="360" w:lineRule="auto"/>
        <w:ind w:firstLine="482" w:firstLineChars="200"/>
        <w:rPr>
          <w:rFonts w:hint="eastAsia" w:ascii="宋体" w:hAnsi="宋体" w:eastAsia="宋体" w:cs="宋体"/>
          <w:b/>
          <w:bCs w:val="0"/>
          <w:color w:val="auto"/>
          <w:sz w:val="24"/>
          <w:szCs w:val="24"/>
          <w:highlight w:val="none"/>
        </w:rPr>
      </w:pPr>
      <w:r>
        <w:rPr>
          <w:rFonts w:hint="eastAsia" w:ascii="宋体" w:hAnsi="宋体" w:eastAsia="宋体" w:cs="宋体"/>
          <w:b/>
          <w:bCs w:val="0"/>
          <w:color w:val="auto"/>
          <w:sz w:val="24"/>
          <w:szCs w:val="24"/>
          <w:highlight w:val="none"/>
        </w:rPr>
        <w:t>十、验收</w:t>
      </w:r>
    </w:p>
    <w:p w14:paraId="0500FD21">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（一）本项目验收费用，由乙方自行承担。</w:t>
      </w:r>
    </w:p>
    <w:p w14:paraId="1C292EFE">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rPr>
        <w:t>（二）</w:t>
      </w:r>
      <w:r>
        <w:rPr>
          <w:rFonts w:hint="eastAsia" w:ascii="宋体" w:hAnsi="宋体" w:eastAsia="宋体" w:cs="宋体"/>
          <w:bCs/>
          <w:color w:val="auto"/>
          <w:sz w:val="24"/>
          <w:szCs w:val="24"/>
          <w:highlight w:val="none"/>
          <w:lang w:eastAsia="zh-CN"/>
        </w:rPr>
        <w:t>乙方应组织相关专家对合同约定的实施方案和验收申请报告进行评审及验收，验收合格后提交给甲方，甲方</w:t>
      </w:r>
      <w:r>
        <w:rPr>
          <w:rFonts w:hint="eastAsia" w:ascii="宋体" w:hAnsi="宋体" w:eastAsia="宋体" w:cs="宋体"/>
          <w:bCs/>
          <w:color w:val="auto"/>
          <w:sz w:val="24"/>
          <w:szCs w:val="24"/>
          <w:highlight w:val="none"/>
        </w:rPr>
        <w:t>填写政府采购项目验收单作为对本次服务的最终认可。</w:t>
      </w:r>
    </w:p>
    <w:p w14:paraId="2B90ABBD">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（三）验收依据：</w:t>
      </w:r>
    </w:p>
    <w:p w14:paraId="3B9ECFA2">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1、本合同及附加文本；</w:t>
      </w:r>
    </w:p>
    <w:p w14:paraId="004C2C6D">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w:t>
      </w:r>
      <w:r>
        <w:rPr>
          <w:rFonts w:hint="eastAsia" w:ascii="宋体" w:hAnsi="宋体" w:eastAsia="宋体" w:cs="宋体"/>
          <w:bCs/>
          <w:color w:val="auto"/>
          <w:sz w:val="24"/>
          <w:szCs w:val="24"/>
          <w:highlight w:val="none"/>
          <w:lang w:eastAsia="zh-CN"/>
        </w:rPr>
        <w:t>磋商</w:t>
      </w:r>
      <w:r>
        <w:rPr>
          <w:rFonts w:hint="eastAsia" w:ascii="宋体" w:hAnsi="宋体" w:eastAsia="宋体" w:cs="宋体"/>
          <w:bCs/>
          <w:color w:val="auto"/>
          <w:sz w:val="24"/>
          <w:szCs w:val="24"/>
          <w:highlight w:val="none"/>
        </w:rPr>
        <w:t>文件、</w:t>
      </w:r>
      <w:r>
        <w:rPr>
          <w:rFonts w:hint="eastAsia" w:ascii="宋体" w:hAnsi="宋体" w:eastAsia="宋体" w:cs="宋体"/>
          <w:bCs/>
          <w:color w:val="auto"/>
          <w:sz w:val="24"/>
          <w:szCs w:val="24"/>
          <w:highlight w:val="none"/>
          <w:lang w:eastAsia="zh-CN"/>
        </w:rPr>
        <w:t>乙方</w:t>
      </w:r>
      <w:r>
        <w:rPr>
          <w:rFonts w:hint="eastAsia" w:ascii="宋体" w:hAnsi="宋体" w:eastAsia="宋体" w:cs="宋体"/>
          <w:bCs/>
          <w:color w:val="auto"/>
          <w:sz w:val="24"/>
          <w:szCs w:val="24"/>
          <w:highlight w:val="none"/>
        </w:rPr>
        <w:t>的</w:t>
      </w:r>
      <w:r>
        <w:rPr>
          <w:rFonts w:hint="eastAsia" w:ascii="宋体" w:hAnsi="宋体" w:eastAsia="宋体" w:cs="宋体"/>
          <w:bCs/>
          <w:color w:val="auto"/>
          <w:sz w:val="24"/>
          <w:szCs w:val="24"/>
          <w:highlight w:val="none"/>
          <w:lang w:eastAsia="zh-CN"/>
        </w:rPr>
        <w:t>响应</w:t>
      </w:r>
      <w:r>
        <w:rPr>
          <w:rFonts w:hint="eastAsia" w:ascii="宋体" w:hAnsi="宋体" w:eastAsia="宋体" w:cs="宋体"/>
          <w:bCs/>
          <w:color w:val="auto"/>
          <w:sz w:val="24"/>
          <w:szCs w:val="24"/>
          <w:highlight w:val="none"/>
        </w:rPr>
        <w:t>文件及澄清（承诺）函；</w:t>
      </w:r>
    </w:p>
    <w:p w14:paraId="0231B2EF">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3、国家相应的标准、规范。</w:t>
      </w:r>
    </w:p>
    <w:p w14:paraId="19B6CEE3">
      <w:pPr>
        <w:autoSpaceDE w:val="0"/>
        <w:autoSpaceDN w:val="0"/>
        <w:adjustRightInd w:val="0"/>
        <w:snapToGrid w:val="0"/>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一</w:t>
      </w:r>
      <w:r>
        <w:rPr>
          <w:rFonts w:hint="eastAsia" w:ascii="宋体" w:hAnsi="宋体" w:eastAsia="宋体" w:cs="宋体"/>
          <w:b/>
          <w:bCs/>
          <w:color w:val="auto"/>
          <w:sz w:val="24"/>
          <w:szCs w:val="24"/>
          <w:highlight w:val="none"/>
        </w:rPr>
        <w:t>、违约责任</w:t>
      </w:r>
    </w:p>
    <w:p w14:paraId="510B0F54">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（一）按《中华人民共和国民法典》中的相关条款执行。</w:t>
      </w:r>
    </w:p>
    <w:p w14:paraId="36514C12">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w:t>
      </w:r>
      <w:r>
        <w:rPr>
          <w:rFonts w:hint="eastAsia" w:ascii="宋体" w:hAnsi="宋体" w:eastAsia="宋体" w:cs="宋体"/>
          <w:bCs/>
          <w:color w:val="auto"/>
          <w:sz w:val="24"/>
          <w:szCs w:val="24"/>
          <w:highlight w:val="none"/>
          <w:lang w:val="en-US" w:eastAsia="zh-CN"/>
        </w:rPr>
        <w:t>二</w:t>
      </w:r>
      <w:r>
        <w:rPr>
          <w:rFonts w:hint="eastAsia" w:ascii="宋体" w:hAnsi="宋体" w:eastAsia="宋体" w:cs="宋体"/>
          <w:bCs/>
          <w:color w:val="auto"/>
          <w:sz w:val="24"/>
          <w:szCs w:val="24"/>
          <w:highlight w:val="none"/>
          <w:lang w:eastAsia="zh-CN"/>
        </w:rPr>
        <w:t>）未按合同要求提供服务或服务质量不能满足合同要求，</w:t>
      </w:r>
      <w:r>
        <w:rPr>
          <w:rFonts w:hint="eastAsia" w:ascii="宋体" w:hAnsi="宋体" w:eastAsia="宋体" w:cs="宋体"/>
          <w:bCs/>
          <w:color w:val="auto"/>
          <w:sz w:val="24"/>
          <w:szCs w:val="24"/>
          <w:highlight w:val="none"/>
          <w:lang w:val="en-US" w:eastAsia="zh-CN"/>
        </w:rPr>
        <w:t>甲方</w:t>
      </w:r>
      <w:r>
        <w:rPr>
          <w:rFonts w:hint="eastAsia" w:ascii="宋体" w:hAnsi="宋体" w:eastAsia="宋体" w:cs="宋体"/>
          <w:bCs/>
          <w:color w:val="auto"/>
          <w:sz w:val="24"/>
          <w:szCs w:val="24"/>
          <w:highlight w:val="none"/>
          <w:lang w:eastAsia="zh-CN"/>
        </w:rPr>
        <w:t>应当将</w:t>
      </w:r>
      <w:r>
        <w:rPr>
          <w:rFonts w:hint="eastAsia" w:ascii="宋体" w:hAnsi="宋体" w:eastAsia="宋体" w:cs="宋体"/>
          <w:bCs/>
          <w:color w:val="auto"/>
          <w:sz w:val="24"/>
          <w:szCs w:val="24"/>
          <w:highlight w:val="none"/>
          <w:lang w:val="en-US" w:eastAsia="zh-CN"/>
        </w:rPr>
        <w:t>乙方</w:t>
      </w:r>
      <w:r>
        <w:rPr>
          <w:rFonts w:hint="eastAsia" w:ascii="宋体" w:hAnsi="宋体" w:eastAsia="宋体" w:cs="宋体"/>
          <w:bCs/>
          <w:color w:val="auto"/>
          <w:sz w:val="24"/>
          <w:szCs w:val="24"/>
          <w:highlight w:val="none"/>
          <w:lang w:eastAsia="zh-CN"/>
        </w:rPr>
        <w:t>违约的情况以及拟采取的措施以书面形式报政府采购监管部门，根据政府采购监管部门的处理意见，</w:t>
      </w:r>
      <w:r>
        <w:rPr>
          <w:rFonts w:hint="eastAsia" w:ascii="宋体" w:hAnsi="宋体" w:eastAsia="宋体" w:cs="宋体"/>
          <w:bCs/>
          <w:color w:val="auto"/>
          <w:sz w:val="24"/>
          <w:szCs w:val="24"/>
          <w:highlight w:val="none"/>
          <w:lang w:val="en-US" w:eastAsia="zh-CN"/>
        </w:rPr>
        <w:t>甲方</w:t>
      </w:r>
      <w:r>
        <w:rPr>
          <w:rFonts w:hint="eastAsia" w:ascii="宋体" w:hAnsi="宋体" w:eastAsia="宋体" w:cs="宋体"/>
          <w:bCs/>
          <w:color w:val="auto"/>
          <w:sz w:val="24"/>
          <w:szCs w:val="24"/>
          <w:highlight w:val="none"/>
          <w:lang w:eastAsia="zh-CN"/>
        </w:rPr>
        <w:t>有权依据《</w:t>
      </w:r>
      <w:r>
        <w:rPr>
          <w:rFonts w:hint="eastAsia" w:ascii="宋体" w:hAnsi="宋体" w:eastAsia="宋体" w:cs="宋体"/>
          <w:bCs/>
          <w:color w:val="auto"/>
          <w:sz w:val="24"/>
          <w:szCs w:val="24"/>
          <w:highlight w:val="none"/>
        </w:rPr>
        <w:t>中华人民共和国民法典</w:t>
      </w:r>
      <w:r>
        <w:rPr>
          <w:rFonts w:hint="eastAsia" w:ascii="宋体" w:hAnsi="宋体" w:eastAsia="宋体" w:cs="宋体"/>
          <w:bCs/>
          <w:color w:val="auto"/>
          <w:sz w:val="24"/>
          <w:szCs w:val="24"/>
          <w:highlight w:val="none"/>
          <w:lang w:eastAsia="zh-CN"/>
        </w:rPr>
        <w:t>》有关条款及合同约定终止合同，并要求</w:t>
      </w:r>
      <w:r>
        <w:rPr>
          <w:rFonts w:hint="eastAsia" w:ascii="宋体" w:hAnsi="宋体" w:eastAsia="宋体" w:cs="宋体"/>
          <w:bCs/>
          <w:color w:val="auto"/>
          <w:sz w:val="24"/>
          <w:szCs w:val="24"/>
          <w:highlight w:val="none"/>
          <w:lang w:val="en-US" w:eastAsia="zh-CN"/>
        </w:rPr>
        <w:t>乙方</w:t>
      </w:r>
      <w:r>
        <w:rPr>
          <w:rFonts w:hint="eastAsia" w:ascii="宋体" w:hAnsi="宋体" w:eastAsia="宋体" w:cs="宋体"/>
          <w:bCs/>
          <w:color w:val="auto"/>
          <w:sz w:val="24"/>
          <w:szCs w:val="24"/>
          <w:highlight w:val="none"/>
          <w:lang w:eastAsia="zh-CN"/>
        </w:rPr>
        <w:t>承担违约责任。同时，政府采购监管部门有权依据《</w:t>
      </w:r>
      <w:r>
        <w:rPr>
          <w:rFonts w:hint="eastAsia" w:ascii="宋体" w:hAnsi="宋体" w:eastAsia="宋体" w:cs="宋体"/>
          <w:bCs/>
          <w:color w:val="auto"/>
          <w:sz w:val="24"/>
          <w:szCs w:val="24"/>
          <w:highlight w:val="none"/>
        </w:rPr>
        <w:t>中华人民共和国</w:t>
      </w:r>
      <w:r>
        <w:rPr>
          <w:rFonts w:hint="eastAsia" w:ascii="宋体" w:hAnsi="宋体" w:eastAsia="宋体" w:cs="宋体"/>
          <w:bCs/>
          <w:color w:val="auto"/>
          <w:sz w:val="24"/>
          <w:szCs w:val="24"/>
          <w:highlight w:val="none"/>
          <w:lang w:eastAsia="zh-CN"/>
        </w:rPr>
        <w:t>政府采购法》及相关法律法规对</w:t>
      </w:r>
      <w:r>
        <w:rPr>
          <w:rFonts w:hint="eastAsia" w:ascii="宋体" w:hAnsi="宋体" w:eastAsia="宋体" w:cs="宋体"/>
          <w:bCs/>
          <w:color w:val="auto"/>
          <w:sz w:val="24"/>
          <w:szCs w:val="24"/>
          <w:highlight w:val="none"/>
          <w:lang w:val="en-US" w:eastAsia="zh-CN"/>
        </w:rPr>
        <w:t>乙方</w:t>
      </w:r>
      <w:r>
        <w:rPr>
          <w:rFonts w:hint="eastAsia" w:ascii="宋体" w:hAnsi="宋体" w:eastAsia="宋体" w:cs="宋体"/>
          <w:bCs/>
          <w:color w:val="auto"/>
          <w:sz w:val="24"/>
          <w:szCs w:val="24"/>
          <w:highlight w:val="none"/>
          <w:lang w:eastAsia="zh-CN"/>
        </w:rPr>
        <w:t>的违法行为进行相应的处罚。</w:t>
      </w:r>
    </w:p>
    <w:p w14:paraId="393CF3E5">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（三）未经甲方书面同意，乙方擅自将合同部分或全部工作内容转让第三方，甲方有权单方解除合同，同时乙方应一次性向甲方支付合同总额30%违约金，且承担因此给甲方造成的全部损失。</w:t>
      </w:r>
    </w:p>
    <w:p w14:paraId="2EA34A4D">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lang w:eastAsia="zh-CN"/>
        </w:rPr>
      </w:pPr>
      <w:r>
        <w:rPr>
          <w:rFonts w:hint="eastAsia" w:ascii="宋体" w:hAnsi="宋体" w:eastAsia="宋体" w:cs="宋体"/>
          <w:bCs/>
          <w:color w:val="auto"/>
          <w:sz w:val="24"/>
          <w:szCs w:val="24"/>
          <w:highlight w:val="none"/>
          <w:lang w:eastAsia="zh-CN"/>
        </w:rPr>
        <w:t>（四）乙方未按合同约定提交成果资料，乙方应一次性向甲方退还已支付的全部款项，同时一次性向甲方支付合同总额30%违约金，且承担因此给甲方造成的全部损失。</w:t>
      </w:r>
    </w:p>
    <w:p w14:paraId="7F433745">
      <w:pPr>
        <w:autoSpaceDE w:val="0"/>
        <w:autoSpaceDN w:val="0"/>
        <w:adjustRightInd w:val="0"/>
        <w:snapToGrid w:val="0"/>
        <w:spacing w:line="360" w:lineRule="auto"/>
        <w:ind w:firstLine="482" w:firstLineChars="200"/>
        <w:rPr>
          <w:rFonts w:hint="eastAsia" w:ascii="宋体" w:hAnsi="宋体" w:eastAsia="宋体" w:cs="宋体"/>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二</w:t>
      </w:r>
      <w:r>
        <w:rPr>
          <w:rFonts w:hint="eastAsia" w:ascii="宋体" w:hAnsi="宋体" w:eastAsia="宋体" w:cs="宋体"/>
          <w:b/>
          <w:bCs/>
          <w:color w:val="auto"/>
          <w:sz w:val="24"/>
          <w:szCs w:val="24"/>
          <w:highlight w:val="none"/>
        </w:rPr>
        <w:t>、合同争议解决的方式</w:t>
      </w:r>
    </w:p>
    <w:p w14:paraId="11365682">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（一）本合同在履行过程中发生的争议，由甲、乙双方当事人协商解决，协商不成的按下列第</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u w:val="single"/>
        </w:rPr>
        <w:t>2</w:t>
      </w:r>
      <w:r>
        <w:rPr>
          <w:rFonts w:hint="eastAsia" w:ascii="宋体" w:hAnsi="宋体" w:eastAsia="宋体" w:cs="宋体"/>
          <w:bCs/>
          <w:color w:val="auto"/>
          <w:sz w:val="24"/>
          <w:szCs w:val="24"/>
          <w:highlight w:val="none"/>
          <w:u w:val="single"/>
          <w:lang w:val="en-US" w:eastAsia="zh-CN"/>
        </w:rPr>
        <w:t xml:space="preserve"> </w:t>
      </w:r>
      <w:r>
        <w:rPr>
          <w:rFonts w:hint="eastAsia" w:ascii="宋体" w:hAnsi="宋体" w:eastAsia="宋体" w:cs="宋体"/>
          <w:bCs/>
          <w:color w:val="auto"/>
          <w:sz w:val="24"/>
          <w:szCs w:val="24"/>
          <w:highlight w:val="none"/>
        </w:rPr>
        <w:t>种方式解决：</w:t>
      </w:r>
    </w:p>
    <w:p w14:paraId="57F54056">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1、提交</w:t>
      </w:r>
      <w:r>
        <w:rPr>
          <w:rFonts w:hint="eastAsia" w:ascii="宋体" w:hAnsi="宋体" w:eastAsia="宋体" w:cs="宋体"/>
          <w:bCs/>
          <w:color w:val="auto"/>
          <w:sz w:val="24"/>
          <w:szCs w:val="24"/>
          <w:highlight w:val="none"/>
          <w:lang w:val="en-US" w:eastAsia="zh-CN"/>
        </w:rPr>
        <w:t>西安</w:t>
      </w:r>
      <w:r>
        <w:rPr>
          <w:rFonts w:hint="eastAsia" w:ascii="宋体" w:hAnsi="宋体" w:eastAsia="宋体" w:cs="宋体"/>
          <w:bCs/>
          <w:color w:val="auto"/>
          <w:sz w:val="24"/>
          <w:szCs w:val="24"/>
          <w:highlight w:val="none"/>
        </w:rPr>
        <w:t>仲裁委员会仲裁；</w:t>
      </w:r>
    </w:p>
    <w:p w14:paraId="40264AE0">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2、依法向甲方所在地人民法院起诉。</w:t>
      </w:r>
    </w:p>
    <w:p w14:paraId="5CA93119">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（二）因质量问题发生的争议，由国家权威技术单位进行质量鉴定，该鉴定结论为最终结果，甲乙双方应当接受。</w:t>
      </w:r>
    </w:p>
    <w:p w14:paraId="45FD42E2">
      <w:pPr>
        <w:autoSpaceDE w:val="0"/>
        <w:autoSpaceDN w:val="0"/>
        <w:adjustRightInd w:val="0"/>
        <w:snapToGrid w:val="0"/>
        <w:spacing w:line="360" w:lineRule="auto"/>
        <w:ind w:firstLine="482" w:firstLineChars="200"/>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十</w:t>
      </w:r>
      <w:r>
        <w:rPr>
          <w:rFonts w:hint="eastAsia" w:ascii="宋体" w:hAnsi="宋体" w:eastAsia="宋体" w:cs="宋体"/>
          <w:b/>
          <w:bCs/>
          <w:color w:val="auto"/>
          <w:sz w:val="24"/>
          <w:szCs w:val="24"/>
          <w:highlight w:val="none"/>
          <w:lang w:val="en-US" w:eastAsia="zh-CN"/>
        </w:rPr>
        <w:t>三</w:t>
      </w:r>
      <w:r>
        <w:rPr>
          <w:rFonts w:hint="eastAsia" w:ascii="宋体" w:hAnsi="宋体" w:eastAsia="宋体" w:cs="宋体"/>
          <w:b/>
          <w:bCs/>
          <w:color w:val="auto"/>
          <w:sz w:val="24"/>
          <w:szCs w:val="24"/>
          <w:highlight w:val="none"/>
        </w:rPr>
        <w:t>、合同生效</w:t>
      </w:r>
    </w:p>
    <w:p w14:paraId="16A5DCBB">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（一）本合同须经甲、乙双方的法定代表人（授权代理人）在合同书上签字并加盖本单位公章后正式生效。</w:t>
      </w:r>
    </w:p>
    <w:p w14:paraId="7439A0ED">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（二）合同生效后，甲、乙双方须严格执行本合同条款的规定，全面履行合同，违者按《</w:t>
      </w:r>
      <w:r>
        <w:rPr>
          <w:rFonts w:hint="eastAsia" w:ascii="宋体" w:hAnsi="宋体" w:eastAsia="宋体" w:cs="宋体"/>
          <w:bCs/>
          <w:color w:val="auto"/>
          <w:sz w:val="24"/>
          <w:szCs w:val="24"/>
          <w:highlight w:val="none"/>
          <w:lang w:eastAsia="zh-CN"/>
        </w:rPr>
        <w:t>中华人民共和国民法典</w:t>
      </w:r>
      <w:r>
        <w:rPr>
          <w:rFonts w:hint="eastAsia" w:ascii="宋体" w:hAnsi="宋体" w:eastAsia="宋体" w:cs="宋体"/>
          <w:bCs/>
          <w:color w:val="auto"/>
          <w:sz w:val="24"/>
          <w:szCs w:val="24"/>
          <w:highlight w:val="none"/>
        </w:rPr>
        <w:t>》的有关规定承担相应责任。</w:t>
      </w:r>
    </w:p>
    <w:p w14:paraId="07B10954">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（三）本合同一式</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份，甲乙双方各执</w:t>
      </w:r>
      <w:r>
        <w:rPr>
          <w:rFonts w:hint="eastAsia" w:ascii="宋体" w:hAnsi="宋体" w:eastAsia="宋体" w:cs="宋体"/>
          <w:bCs/>
          <w:color w:val="auto"/>
          <w:sz w:val="24"/>
          <w:szCs w:val="24"/>
          <w:highlight w:val="none"/>
          <w:u w:val="single"/>
        </w:rPr>
        <w:t xml:space="preserve">    </w:t>
      </w:r>
      <w:r>
        <w:rPr>
          <w:rFonts w:hint="eastAsia" w:ascii="宋体" w:hAnsi="宋体" w:eastAsia="宋体" w:cs="宋体"/>
          <w:bCs/>
          <w:color w:val="auto"/>
          <w:sz w:val="24"/>
          <w:szCs w:val="24"/>
          <w:highlight w:val="none"/>
        </w:rPr>
        <w:t>份。</w:t>
      </w:r>
    </w:p>
    <w:p w14:paraId="513CF518">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r>
        <w:rPr>
          <w:rFonts w:hint="eastAsia" w:ascii="宋体" w:hAnsi="宋体" w:eastAsia="宋体" w:cs="宋体"/>
          <w:bCs/>
          <w:color w:val="auto"/>
          <w:sz w:val="24"/>
          <w:szCs w:val="24"/>
          <w:highlight w:val="none"/>
        </w:rPr>
        <w:t>（四）本合同如有未尽事宜，甲、乙双方协商解决。</w:t>
      </w:r>
      <w:bookmarkStart w:id="0" w:name="_GoBack"/>
      <w:bookmarkEnd w:id="0"/>
    </w:p>
    <w:p w14:paraId="563F3217">
      <w:pPr>
        <w:autoSpaceDE w:val="0"/>
        <w:autoSpaceDN w:val="0"/>
        <w:adjustRightInd w:val="0"/>
        <w:snapToGrid w:val="0"/>
        <w:spacing w:line="360" w:lineRule="auto"/>
        <w:ind w:firstLine="480" w:firstLineChars="200"/>
        <w:rPr>
          <w:rFonts w:hint="eastAsia" w:ascii="宋体" w:hAnsi="宋体" w:eastAsia="宋体" w:cs="宋体"/>
          <w:bCs/>
          <w:color w:val="auto"/>
          <w:sz w:val="24"/>
          <w:szCs w:val="24"/>
          <w:highlight w:val="none"/>
        </w:rPr>
      </w:pPr>
    </w:p>
    <w:tbl>
      <w:tblPr>
        <w:tblStyle w:val="8"/>
        <w:tblW w:w="0" w:type="auto"/>
        <w:jc w:val="center"/>
        <w:tblLayout w:type="fixed"/>
        <w:tblCellMar>
          <w:top w:w="0" w:type="dxa"/>
          <w:left w:w="108" w:type="dxa"/>
          <w:bottom w:w="0" w:type="dxa"/>
          <w:right w:w="108" w:type="dxa"/>
        </w:tblCellMar>
      </w:tblPr>
      <w:tblGrid>
        <w:gridCol w:w="4201"/>
        <w:gridCol w:w="4202"/>
      </w:tblGrid>
      <w:tr w14:paraId="1DCC75E4">
        <w:tblPrEx>
          <w:tblCellMar>
            <w:top w:w="0" w:type="dxa"/>
            <w:left w:w="108" w:type="dxa"/>
            <w:bottom w:w="0" w:type="dxa"/>
            <w:right w:w="108" w:type="dxa"/>
          </w:tblCellMar>
        </w:tblPrEx>
        <w:trPr>
          <w:trHeight w:val="567" w:hRule="exact"/>
          <w:jc w:val="center"/>
        </w:trPr>
        <w:tc>
          <w:tcPr>
            <w:tcW w:w="4201" w:type="dxa"/>
            <w:noWrap w:val="0"/>
            <w:vAlign w:val="center"/>
          </w:tcPr>
          <w:p w14:paraId="27B8C106">
            <w:pPr>
              <w:autoSpaceDE w:val="0"/>
              <w:autoSpaceDN w:val="0"/>
              <w:adjustRightInd w:val="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甲  方</w:t>
            </w:r>
          </w:p>
        </w:tc>
        <w:tc>
          <w:tcPr>
            <w:tcW w:w="4202" w:type="dxa"/>
            <w:noWrap w:val="0"/>
            <w:vAlign w:val="center"/>
          </w:tcPr>
          <w:p w14:paraId="55B95E2C">
            <w:pPr>
              <w:autoSpaceDE w:val="0"/>
              <w:autoSpaceDN w:val="0"/>
              <w:adjustRightInd w:val="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乙  方</w:t>
            </w:r>
          </w:p>
        </w:tc>
      </w:tr>
      <w:tr w14:paraId="0AA78319">
        <w:tblPrEx>
          <w:tblCellMar>
            <w:top w:w="0" w:type="dxa"/>
            <w:left w:w="108" w:type="dxa"/>
            <w:bottom w:w="0" w:type="dxa"/>
            <w:right w:w="108" w:type="dxa"/>
          </w:tblCellMar>
        </w:tblPrEx>
        <w:trPr>
          <w:trHeight w:val="567" w:hRule="exact"/>
          <w:jc w:val="center"/>
        </w:trPr>
        <w:tc>
          <w:tcPr>
            <w:tcW w:w="4201" w:type="dxa"/>
            <w:noWrap w:val="0"/>
            <w:vAlign w:val="center"/>
          </w:tcPr>
          <w:p w14:paraId="37704B84">
            <w:pPr>
              <w:autoSpaceDE w:val="0"/>
              <w:autoSpaceDN w:val="0"/>
              <w:adjustRightInd w:val="0"/>
              <w:ind w:firstLine="700" w:firstLineChars="35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c>
          <w:tcPr>
            <w:tcW w:w="4202" w:type="dxa"/>
            <w:noWrap w:val="0"/>
            <w:vAlign w:val="center"/>
          </w:tcPr>
          <w:p w14:paraId="41213803">
            <w:pPr>
              <w:autoSpaceDE w:val="0"/>
              <w:autoSpaceDN w:val="0"/>
              <w:adjustRightInd w:val="0"/>
              <w:ind w:firstLine="800" w:firstLineChars="4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（盖章）</w:t>
            </w:r>
          </w:p>
        </w:tc>
      </w:tr>
      <w:tr w14:paraId="12B9C556">
        <w:tblPrEx>
          <w:tblCellMar>
            <w:top w:w="0" w:type="dxa"/>
            <w:left w:w="108" w:type="dxa"/>
            <w:bottom w:w="0" w:type="dxa"/>
            <w:right w:w="108" w:type="dxa"/>
          </w:tblCellMar>
        </w:tblPrEx>
        <w:trPr>
          <w:trHeight w:val="567" w:hRule="exact"/>
          <w:jc w:val="center"/>
        </w:trPr>
        <w:tc>
          <w:tcPr>
            <w:tcW w:w="4201" w:type="dxa"/>
            <w:noWrap w:val="0"/>
            <w:vAlign w:val="center"/>
          </w:tcPr>
          <w:p w14:paraId="4FEA964E">
            <w:pPr>
              <w:autoSpaceDE w:val="0"/>
              <w:autoSpaceDN w:val="0"/>
              <w:adjustRightInd w:val="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 xml:space="preserve">地址： </w:t>
            </w:r>
          </w:p>
        </w:tc>
        <w:tc>
          <w:tcPr>
            <w:tcW w:w="4202" w:type="dxa"/>
            <w:noWrap w:val="0"/>
            <w:vAlign w:val="center"/>
          </w:tcPr>
          <w:p w14:paraId="4449290E">
            <w:pPr>
              <w:autoSpaceDE w:val="0"/>
              <w:autoSpaceDN w:val="0"/>
              <w:adjustRightInd w:val="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地址：</w:t>
            </w:r>
          </w:p>
        </w:tc>
      </w:tr>
      <w:tr w14:paraId="14083C27">
        <w:tblPrEx>
          <w:tblCellMar>
            <w:top w:w="0" w:type="dxa"/>
            <w:left w:w="108" w:type="dxa"/>
            <w:bottom w:w="0" w:type="dxa"/>
            <w:right w:w="108" w:type="dxa"/>
          </w:tblCellMar>
        </w:tblPrEx>
        <w:trPr>
          <w:trHeight w:val="567" w:hRule="exact"/>
          <w:jc w:val="center"/>
        </w:trPr>
        <w:tc>
          <w:tcPr>
            <w:tcW w:w="4201" w:type="dxa"/>
            <w:noWrap w:val="0"/>
            <w:vAlign w:val="center"/>
          </w:tcPr>
          <w:p w14:paraId="120E4092">
            <w:pPr>
              <w:autoSpaceDE w:val="0"/>
              <w:autoSpaceDN w:val="0"/>
              <w:adjustRightInd w:val="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 xml:space="preserve">法定代表人： </w:t>
            </w:r>
          </w:p>
        </w:tc>
        <w:tc>
          <w:tcPr>
            <w:tcW w:w="4202" w:type="dxa"/>
            <w:noWrap w:val="0"/>
            <w:vAlign w:val="center"/>
          </w:tcPr>
          <w:p w14:paraId="3A43F014">
            <w:pPr>
              <w:autoSpaceDE w:val="0"/>
              <w:autoSpaceDN w:val="0"/>
              <w:adjustRightInd w:val="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法定代表人：</w:t>
            </w:r>
          </w:p>
        </w:tc>
      </w:tr>
      <w:tr w14:paraId="286C214C">
        <w:tblPrEx>
          <w:tblCellMar>
            <w:top w:w="0" w:type="dxa"/>
            <w:left w:w="108" w:type="dxa"/>
            <w:bottom w:w="0" w:type="dxa"/>
            <w:right w:w="108" w:type="dxa"/>
          </w:tblCellMar>
        </w:tblPrEx>
        <w:trPr>
          <w:trHeight w:val="567" w:hRule="exact"/>
          <w:jc w:val="center"/>
        </w:trPr>
        <w:tc>
          <w:tcPr>
            <w:tcW w:w="4201" w:type="dxa"/>
            <w:noWrap w:val="0"/>
            <w:vAlign w:val="center"/>
          </w:tcPr>
          <w:p w14:paraId="3F46491A">
            <w:pPr>
              <w:autoSpaceDE w:val="0"/>
              <w:autoSpaceDN w:val="0"/>
              <w:adjustRightInd w:val="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被授权代表：</w:t>
            </w:r>
          </w:p>
        </w:tc>
        <w:tc>
          <w:tcPr>
            <w:tcW w:w="4202" w:type="dxa"/>
            <w:noWrap w:val="0"/>
            <w:vAlign w:val="center"/>
          </w:tcPr>
          <w:p w14:paraId="7B613DE9">
            <w:pPr>
              <w:autoSpaceDE w:val="0"/>
              <w:autoSpaceDN w:val="0"/>
              <w:adjustRightInd w:val="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被授权代表：</w:t>
            </w:r>
          </w:p>
        </w:tc>
      </w:tr>
      <w:tr w14:paraId="0B6FD2B7">
        <w:tblPrEx>
          <w:tblCellMar>
            <w:top w:w="0" w:type="dxa"/>
            <w:left w:w="108" w:type="dxa"/>
            <w:bottom w:w="0" w:type="dxa"/>
            <w:right w:w="108" w:type="dxa"/>
          </w:tblCellMar>
        </w:tblPrEx>
        <w:trPr>
          <w:trHeight w:val="567" w:hRule="exact"/>
          <w:jc w:val="center"/>
        </w:trPr>
        <w:tc>
          <w:tcPr>
            <w:tcW w:w="4201" w:type="dxa"/>
            <w:noWrap w:val="0"/>
            <w:vAlign w:val="center"/>
          </w:tcPr>
          <w:p w14:paraId="6D7177EC">
            <w:pPr>
              <w:autoSpaceDE w:val="0"/>
              <w:autoSpaceDN w:val="0"/>
              <w:adjustRightInd w:val="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c>
          <w:tcPr>
            <w:tcW w:w="4202" w:type="dxa"/>
            <w:noWrap w:val="0"/>
            <w:vAlign w:val="center"/>
          </w:tcPr>
          <w:p w14:paraId="0E313ADA">
            <w:pPr>
              <w:autoSpaceDE w:val="0"/>
              <w:autoSpaceDN w:val="0"/>
              <w:adjustRightInd w:val="0"/>
              <w:ind w:left="840" w:hanging="600" w:hangingChars="30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电话：</w:t>
            </w:r>
          </w:p>
        </w:tc>
      </w:tr>
      <w:tr w14:paraId="686C8455">
        <w:tblPrEx>
          <w:tblCellMar>
            <w:top w:w="0" w:type="dxa"/>
            <w:left w:w="108" w:type="dxa"/>
            <w:bottom w:w="0" w:type="dxa"/>
            <w:right w:w="108" w:type="dxa"/>
          </w:tblCellMar>
        </w:tblPrEx>
        <w:trPr>
          <w:trHeight w:val="567" w:hRule="exact"/>
          <w:jc w:val="center"/>
        </w:trPr>
        <w:tc>
          <w:tcPr>
            <w:tcW w:w="4201" w:type="dxa"/>
            <w:noWrap w:val="0"/>
            <w:vAlign w:val="center"/>
          </w:tcPr>
          <w:p w14:paraId="1245AE1F">
            <w:pPr>
              <w:autoSpaceDE w:val="0"/>
              <w:autoSpaceDN w:val="0"/>
              <w:adjustRightInd w:val="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c>
          <w:tcPr>
            <w:tcW w:w="4202" w:type="dxa"/>
            <w:noWrap w:val="0"/>
            <w:vAlign w:val="center"/>
          </w:tcPr>
          <w:p w14:paraId="6594BAF8">
            <w:pPr>
              <w:autoSpaceDE w:val="0"/>
              <w:autoSpaceDN w:val="0"/>
              <w:adjustRightInd w:val="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传真：</w:t>
            </w:r>
          </w:p>
        </w:tc>
      </w:tr>
      <w:tr w14:paraId="72A884D2">
        <w:tblPrEx>
          <w:tblCellMar>
            <w:top w:w="0" w:type="dxa"/>
            <w:left w:w="108" w:type="dxa"/>
            <w:bottom w:w="0" w:type="dxa"/>
            <w:right w:w="108" w:type="dxa"/>
          </w:tblCellMar>
        </w:tblPrEx>
        <w:trPr>
          <w:trHeight w:val="567" w:hRule="exact"/>
          <w:jc w:val="center"/>
        </w:trPr>
        <w:tc>
          <w:tcPr>
            <w:tcW w:w="4201" w:type="dxa"/>
            <w:noWrap w:val="0"/>
            <w:vAlign w:val="center"/>
          </w:tcPr>
          <w:p w14:paraId="4C84D3F2">
            <w:pPr>
              <w:autoSpaceDE w:val="0"/>
              <w:autoSpaceDN w:val="0"/>
              <w:adjustRightInd w:val="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c>
          <w:tcPr>
            <w:tcW w:w="4202" w:type="dxa"/>
            <w:noWrap w:val="0"/>
            <w:vAlign w:val="center"/>
          </w:tcPr>
          <w:p w14:paraId="30AE1B86">
            <w:pPr>
              <w:autoSpaceDE w:val="0"/>
              <w:autoSpaceDN w:val="0"/>
              <w:adjustRightInd w:val="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开户银行：</w:t>
            </w:r>
          </w:p>
        </w:tc>
      </w:tr>
      <w:tr w14:paraId="3F2FC483">
        <w:tblPrEx>
          <w:tblCellMar>
            <w:top w:w="0" w:type="dxa"/>
            <w:left w:w="108" w:type="dxa"/>
            <w:bottom w:w="0" w:type="dxa"/>
            <w:right w:w="108" w:type="dxa"/>
          </w:tblCellMar>
        </w:tblPrEx>
        <w:trPr>
          <w:trHeight w:val="567" w:hRule="exact"/>
          <w:jc w:val="center"/>
        </w:trPr>
        <w:tc>
          <w:tcPr>
            <w:tcW w:w="4201" w:type="dxa"/>
            <w:noWrap w:val="0"/>
            <w:vAlign w:val="center"/>
          </w:tcPr>
          <w:p w14:paraId="0804B0F5">
            <w:pPr>
              <w:autoSpaceDE w:val="0"/>
              <w:autoSpaceDN w:val="0"/>
              <w:adjustRightInd w:val="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c>
          <w:tcPr>
            <w:tcW w:w="4202" w:type="dxa"/>
            <w:noWrap w:val="0"/>
            <w:vAlign w:val="center"/>
          </w:tcPr>
          <w:p w14:paraId="29365B4F">
            <w:pPr>
              <w:autoSpaceDE w:val="0"/>
              <w:autoSpaceDN w:val="0"/>
              <w:adjustRightInd w:val="0"/>
              <w:rPr>
                <w:rFonts w:hint="eastAsia" w:ascii="宋体" w:hAnsi="宋体" w:eastAsia="宋体" w:cs="宋体"/>
                <w:color w:val="auto"/>
                <w:spacing w:val="-20"/>
                <w:kern w:val="0"/>
                <w:sz w:val="24"/>
                <w:szCs w:val="24"/>
                <w:highlight w:val="none"/>
              </w:rPr>
            </w:pPr>
            <w:r>
              <w:rPr>
                <w:rFonts w:hint="eastAsia" w:ascii="宋体" w:hAnsi="宋体" w:eastAsia="宋体" w:cs="宋体"/>
                <w:color w:val="auto"/>
                <w:spacing w:val="-20"/>
                <w:kern w:val="0"/>
                <w:sz w:val="24"/>
                <w:szCs w:val="24"/>
                <w:highlight w:val="none"/>
              </w:rPr>
              <w:t>日期：</w:t>
            </w:r>
          </w:p>
        </w:tc>
      </w:tr>
    </w:tbl>
    <w:p w14:paraId="0FD0590F">
      <w:pPr>
        <w:keepNext w:val="0"/>
        <w:keepLines w:val="0"/>
        <w:pageBreakBefore w:val="0"/>
        <w:widowControl w:val="0"/>
        <w:kinsoku/>
        <w:wordWrap/>
        <w:overflowPunct/>
        <w:topLinePunct w:val="0"/>
        <w:bidi w:val="0"/>
        <w:spacing w:line="560" w:lineRule="exact"/>
        <w:ind w:firstLine="420" w:firstLineChars="200"/>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MxNWU5MTM1NDJhMzM3NzZlNjAyMmRiMjcyMmY4OWYifQ=="/>
  </w:docVars>
  <w:rsids>
    <w:rsidRoot w:val="00000000"/>
    <w:rsid w:val="01091F26"/>
    <w:rsid w:val="029C1412"/>
    <w:rsid w:val="047E2BDC"/>
    <w:rsid w:val="04AD7ABA"/>
    <w:rsid w:val="07554228"/>
    <w:rsid w:val="088B0AD2"/>
    <w:rsid w:val="08B82EF3"/>
    <w:rsid w:val="0CA43C19"/>
    <w:rsid w:val="14A9617F"/>
    <w:rsid w:val="14B37887"/>
    <w:rsid w:val="1E8D5F3B"/>
    <w:rsid w:val="20045859"/>
    <w:rsid w:val="22AF0896"/>
    <w:rsid w:val="22FB2867"/>
    <w:rsid w:val="22FE48A1"/>
    <w:rsid w:val="23002CC8"/>
    <w:rsid w:val="29450034"/>
    <w:rsid w:val="29E259F5"/>
    <w:rsid w:val="2CF40789"/>
    <w:rsid w:val="2D23061C"/>
    <w:rsid w:val="2DB155D6"/>
    <w:rsid w:val="2F193C67"/>
    <w:rsid w:val="30332969"/>
    <w:rsid w:val="305425A9"/>
    <w:rsid w:val="32F94991"/>
    <w:rsid w:val="34651AF2"/>
    <w:rsid w:val="34FC549D"/>
    <w:rsid w:val="366E3E9D"/>
    <w:rsid w:val="3A102E54"/>
    <w:rsid w:val="3B6E0E98"/>
    <w:rsid w:val="3DF24001"/>
    <w:rsid w:val="435720D9"/>
    <w:rsid w:val="44E664AF"/>
    <w:rsid w:val="459B04FB"/>
    <w:rsid w:val="46784A78"/>
    <w:rsid w:val="475F17EC"/>
    <w:rsid w:val="4D6132AA"/>
    <w:rsid w:val="4E0B7D9B"/>
    <w:rsid w:val="50CA2930"/>
    <w:rsid w:val="51F233A7"/>
    <w:rsid w:val="58907E91"/>
    <w:rsid w:val="58DF3ACC"/>
    <w:rsid w:val="59C3741A"/>
    <w:rsid w:val="5B1E7567"/>
    <w:rsid w:val="5C440896"/>
    <w:rsid w:val="623C6124"/>
    <w:rsid w:val="680C37D3"/>
    <w:rsid w:val="68FC4253"/>
    <w:rsid w:val="690A53D6"/>
    <w:rsid w:val="6AF83D38"/>
    <w:rsid w:val="6E4E7318"/>
    <w:rsid w:val="70443EED"/>
    <w:rsid w:val="7312139A"/>
    <w:rsid w:val="773B10EA"/>
    <w:rsid w:val="78571E88"/>
    <w:rsid w:val="78F637DD"/>
    <w:rsid w:val="7B864284"/>
    <w:rsid w:val="7BBB198C"/>
    <w:rsid w:val="7CA10B3D"/>
    <w:rsid w:val="7E342B22"/>
    <w:rsid w:val="7EC62364"/>
    <w:rsid w:val="7EE22A0B"/>
    <w:rsid w:val="7EF377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link w:val="11"/>
    <w:qFormat/>
    <w:uiPriority w:val="0"/>
    <w:pPr>
      <w:keepNext/>
      <w:widowControl w:val="0"/>
      <w:jc w:val="center"/>
      <w:outlineLvl w:val="0"/>
    </w:pPr>
    <w:rPr>
      <w:rFonts w:ascii="黑体" w:eastAsia="黑体"/>
      <w:sz w:val="28"/>
    </w:rPr>
  </w:style>
  <w:style w:type="paragraph" w:styleId="3">
    <w:name w:val="heading 2"/>
    <w:basedOn w:val="1"/>
    <w:next w:val="1"/>
    <w:qFormat/>
    <w:uiPriority w:val="0"/>
    <w:pPr>
      <w:keepNext/>
      <w:widowControl w:val="0"/>
      <w:spacing w:line="720" w:lineRule="exact"/>
      <w:outlineLvl w:val="1"/>
    </w:pPr>
    <w:rPr>
      <w:rFonts w:ascii="黑体" w:hAnsi="黑体" w:eastAsia="楷体_GB2312"/>
      <w:sz w:val="28"/>
    </w:rPr>
  </w:style>
  <w:style w:type="paragraph" w:styleId="4">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1"/>
    <w:qFormat/>
    <w:uiPriority w:val="0"/>
    <w:pPr>
      <w:jc w:val="center"/>
    </w:pPr>
  </w:style>
  <w:style w:type="paragraph" w:styleId="7">
    <w:name w:val="footer"/>
    <w:basedOn w:val="1"/>
    <w:qFormat/>
    <w:uiPriority w:val="0"/>
    <w:pPr>
      <w:tabs>
        <w:tab w:val="center" w:pos="4153"/>
        <w:tab w:val="right" w:pos="8306"/>
      </w:tabs>
      <w:snapToGrid w:val="0"/>
      <w:jc w:val="left"/>
    </w:pPr>
    <w:rPr>
      <w:sz w:val="18"/>
    </w:rPr>
  </w:style>
  <w:style w:type="paragraph" w:customStyle="1" w:styleId="10">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character" w:customStyle="1" w:styleId="11">
    <w:name w:val="标题 1 Char"/>
    <w:link w:val="2"/>
    <w:qFormat/>
    <w:uiPriority w:val="0"/>
    <w:rPr>
      <w:rFonts w:ascii="黑体" w:eastAsia="黑体"/>
      <w:sz w:val="28"/>
    </w:rPr>
  </w:style>
  <w:style w:type="paragraph" w:customStyle="1" w:styleId="12">
    <w:name w:val="p0"/>
    <w:basedOn w:val="1"/>
    <w:qFormat/>
    <w:uiPriority w:val="0"/>
    <w:pPr>
      <w:widowControl/>
      <w:jc w:val="left"/>
    </w:pPr>
    <w:rPr>
      <w:rFonts w:ascii="Calibri" w:hAnsi="Calibri"/>
      <w:kern w:val="0"/>
      <w:szCs w:val="21"/>
    </w:rPr>
  </w:style>
  <w:style w:type="paragraph" w:customStyle="1" w:styleId="13">
    <w:name w:val="Default1"/>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3074</Words>
  <Characters>3116</Characters>
  <Lines>0</Lines>
  <Paragraphs>0</Paragraphs>
  <TotalTime>0</TotalTime>
  <ScaleCrop>false</ScaleCrop>
  <LinksUpToDate>false</LinksUpToDate>
  <CharactersWithSpaces>3185</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2023-07-26T09:00:00Z</dcterms:created>
  <dc:creator>hc618</dc:creator>
  <cp:lastModifiedBy>陕西华采招标有限公司</cp:lastModifiedBy>
  <cp:lastPrinted>2025-04-01T07:59:00Z</cp:lastPrinted>
  <dcterms:modified xsi:type="dcterms:W3CDTF">2025-06-26T03:47:30Z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9E724B8E9A8F48279104D4476B7E9153_13</vt:lpwstr>
  </property>
  <property fmtid="{D5CDD505-2E9C-101B-9397-08002B2CF9AE}" pid="4" name="KSOTemplateDocerSaveRecord">
    <vt:lpwstr>eyJoZGlkIjoiZWMxNWU5MTM1NDJhMzM3NzZlNjAyMmRiMjcyMmY4OWYiLCJ1c2VySWQiOiI5MzY1NjA0ODAifQ==</vt:lpwstr>
  </property>
</Properties>
</file>