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版本号：SXHC2025-04520250721001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交通物流降本提质增效交通强国试点创建咨询服务项目(三次)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SXHC2025-045</w:t>
      </w:r>
      <w:r>
        <w:br/>
      </w:r>
      <w:r>
        <w:br/>
      </w:r>
      <w:r>
        <w:br/>
      </w:r>
    </w:p>
    <w:p>
      <w:pPr>
        <w:pStyle w:val="null3"/>
        <w:jc w:val="center"/>
        <w:outlineLvl w:val="2"/>
      </w:pPr>
      <w:r>
        <w:rPr>
          <w:rFonts w:ascii="仿宋_GB2312" w:hAnsi="仿宋_GB2312" w:cs="仿宋_GB2312" w:eastAsia="仿宋_GB2312"/>
          <w:sz w:val="28"/>
          <w:b/>
        </w:rPr>
        <w:t>陕西省交通运输厅机关</w:t>
      </w:r>
    </w:p>
    <w:p>
      <w:pPr>
        <w:pStyle w:val="null3"/>
        <w:jc w:val="center"/>
        <w:outlineLvl w:val="2"/>
      </w:pPr>
      <w:r>
        <w:rPr>
          <w:rFonts w:ascii="仿宋_GB2312" w:hAnsi="仿宋_GB2312" w:cs="仿宋_GB2312" w:eastAsia="仿宋_GB2312"/>
          <w:sz w:val="28"/>
          <w:b/>
        </w:rPr>
        <w:t>陕西华采招标有限公司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2025年07月21日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陕西华采招标有限公司</w:t>
      </w:r>
      <w:r>
        <w:rPr>
          <w:rFonts w:ascii="仿宋_GB2312" w:hAnsi="仿宋_GB2312" w:cs="仿宋_GB2312" w:eastAsia="仿宋_GB2312"/>
        </w:rPr>
        <w:t>（以下简称“代理机构”）受</w:t>
      </w:r>
      <w:r>
        <w:rPr>
          <w:rFonts w:ascii="仿宋_GB2312" w:hAnsi="仿宋_GB2312" w:cs="仿宋_GB2312" w:eastAsia="仿宋_GB2312"/>
        </w:rPr>
        <w:t>陕西省交通运输厅机关</w:t>
      </w:r>
      <w:r>
        <w:rPr>
          <w:rFonts w:ascii="仿宋_GB2312" w:hAnsi="仿宋_GB2312" w:cs="仿宋_GB2312" w:eastAsia="仿宋_GB2312"/>
        </w:rPr>
        <w:t>委托，拟对</w:t>
      </w:r>
      <w:r>
        <w:rPr>
          <w:rFonts w:ascii="仿宋_GB2312" w:hAnsi="仿宋_GB2312" w:cs="仿宋_GB2312" w:eastAsia="仿宋_GB2312"/>
        </w:rPr>
        <w:t>交通物流降本提质增效交通强国试点创建咨询服务项目(三次)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SXHC2025-045</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交通物流降本提质增效交通强国试点创建咨询服务项目(三次)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包含现状调查分析、实施方案编制、创建过程技术支持和咨询服务，经验成果提炼梳理等内容。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1、具有独立承担民事责任能力：企业法人应提供合法有效的标识有统一社会信用代码的营业执照；事业法人应提供事业单位法人证书；其他组织应提供合法登记证明文件,自然人提供身份证。</w:t>
      </w:r>
    </w:p>
    <w:p>
      <w:pPr>
        <w:pStyle w:val="null3"/>
      </w:pPr>
      <w:r>
        <w:rPr>
          <w:rFonts w:ascii="仿宋_GB2312" w:hAnsi="仿宋_GB2312" w:cs="仿宋_GB2312" w:eastAsia="仿宋_GB2312"/>
        </w:rPr>
        <w:t>2、依法缴纳税收和社会保障资金：提供开标截止时间前6个月内任意时段已缴纳的纳税证明或完税证明和已缴存的社会保障资金缴费证明或参保证明。</w:t>
      </w:r>
    </w:p>
    <w:p>
      <w:pPr>
        <w:pStyle w:val="null3"/>
      </w:pPr>
      <w:r>
        <w:rPr>
          <w:rFonts w:ascii="仿宋_GB2312" w:hAnsi="仿宋_GB2312" w:cs="仿宋_GB2312" w:eastAsia="仿宋_GB2312"/>
        </w:rPr>
        <w:t>3、履行本合同所必需的设备和专业技术能力：提供具有履行本合同所必需的设备和专业技术能力的书面声明。</w:t>
      </w:r>
    </w:p>
    <w:p>
      <w:pPr>
        <w:pStyle w:val="null3"/>
      </w:pPr>
      <w:r>
        <w:rPr>
          <w:rFonts w:ascii="仿宋_GB2312" w:hAnsi="仿宋_GB2312" w:cs="仿宋_GB2312" w:eastAsia="仿宋_GB2312"/>
        </w:rPr>
        <w:t>4、无重大违法记录书面声明：提供参加政府采购活动前3年内在经营活动中没有重大违法记录的书面声明。</w:t>
      </w:r>
    </w:p>
    <w:p>
      <w:pPr>
        <w:pStyle w:val="null3"/>
      </w:pPr>
      <w:r>
        <w:rPr>
          <w:rFonts w:ascii="仿宋_GB2312" w:hAnsi="仿宋_GB2312" w:cs="仿宋_GB2312" w:eastAsia="仿宋_GB2312"/>
        </w:rPr>
        <w:t>5、法定代表人身份证明或法定代表人授权委托书：法定代表人直接负责投标的，须在响应文件中提供法定代表人身份证明；法定代表人授权代表负责投标的，须在响应文件中提供法定代表人授权委托书。</w:t>
      </w:r>
    </w:p>
    <w:p>
      <w:pPr>
        <w:pStyle w:val="null3"/>
      </w:pPr>
      <w:r>
        <w:rPr>
          <w:rFonts w:ascii="仿宋_GB2312" w:hAnsi="仿宋_GB2312" w:cs="仿宋_GB2312" w:eastAsia="仿宋_GB2312"/>
        </w:rPr>
        <w:t>6、信誉要求：供应商未列入“失信被执行人”、“重大税收违法案件当事人名单”和“政府采购严重违法失信行为记录名单”。</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陕西省交通运输厅机关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陕西省西安市雁塔区唐延路6号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029-88869197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陕西华采招标有限公司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陕西省西安市高新区锦业路1号绿地领海B座10楼1006室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孙立博、张聪聪</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029-68255920-807</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采购包1：600,000.00元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采购包1保证金金额：12,000.00元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开户名称：陕西华采招标有限公司</w:t>
            </w:r>
          </w:p>
          <w:p>
            <w:pPr>
              <w:pStyle w:val="null3"/>
            </w:pPr>
            <w:r>
              <w:rPr>
                <w:rFonts w:ascii="仿宋_GB2312" w:hAnsi="仿宋_GB2312" w:cs="仿宋_GB2312" w:eastAsia="仿宋_GB2312"/>
              </w:rPr>
              <w:t>开户银行：交通银行陕西自贸试验区西安锦业路支行</w:t>
            </w:r>
          </w:p>
          <w:p>
            <w:pPr>
              <w:pStyle w:val="null3"/>
            </w:pPr>
            <w:r>
              <w:rPr>
                <w:rFonts w:ascii="仿宋_GB2312" w:hAnsi="仿宋_GB2312" w:cs="仿宋_GB2312" w:eastAsia="仿宋_GB2312"/>
              </w:rPr>
              <w:t>银行账号：611301132018010166661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代理服务费收费标准：1、招标代理服务费的计算方法：以成交金额为基数，参照《国家计委关于印发〈招标代理服务收费管理暂行办法〉的通知》（计价格[2002]1980号）规定标准的 90% 收取。2、招标代理服务费可以采取现金、支票、银行汇票、电汇、网银等方式缴纳。3、招标代理服务费缴纳信息：银行户名：陕西华采招标有限公司开户银行：招商银行陕西自贸试验区西安高新科技支行账号：129905942210666联系人：韩工联系电话：029-68255920转802</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陕西省交通运输厅机关</w:t>
      </w:r>
      <w:r>
        <w:rPr>
          <w:rFonts w:ascii="仿宋_GB2312" w:hAnsi="仿宋_GB2312" w:cs="仿宋_GB2312" w:eastAsia="仿宋_GB2312"/>
        </w:rPr>
        <w:t>和</w:t>
      </w:r>
      <w:r>
        <w:rPr>
          <w:rFonts w:ascii="仿宋_GB2312" w:hAnsi="仿宋_GB2312" w:cs="仿宋_GB2312" w:eastAsia="仿宋_GB2312"/>
        </w:rPr>
        <w:t>陕西华采招标有限公司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陕西省交通运输厅机关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陕西华采招标有限公司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陕西省交通运输厅机关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陕西华采招标有限公司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陕西华采招标有限公司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陕西华采招标有限公司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联系人：党娜</w:t>
      </w:r>
    </w:p>
    <w:p>
      <w:pPr>
        <w:pStyle w:val="null3"/>
      </w:pPr>
      <w:r>
        <w:rPr>
          <w:rFonts w:ascii="仿宋_GB2312" w:hAnsi="仿宋_GB2312" w:cs="仿宋_GB2312" w:eastAsia="仿宋_GB2312"/>
        </w:rPr>
        <w:t>联系电话：029-68255920-807</w:t>
      </w:r>
    </w:p>
    <w:p>
      <w:pPr>
        <w:pStyle w:val="null3"/>
      </w:pPr>
      <w:r>
        <w:rPr>
          <w:rFonts w:ascii="仿宋_GB2312" w:hAnsi="仿宋_GB2312" w:cs="仿宋_GB2312" w:eastAsia="仿宋_GB2312"/>
        </w:rPr>
        <w:t>地址：陕西省西安市高新区锦业路1号绿地领海B座10楼1006室</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包含现状调查分析、实施方案编制、创建过程技术支持和咨询服务，经验成果提炼梳理等内容。</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600,000.00</w:t>
      </w:r>
    </w:p>
    <w:p>
      <w:pPr>
        <w:pStyle w:val="null3"/>
      </w:pPr>
      <w:r>
        <w:rPr>
          <w:rFonts w:ascii="仿宋_GB2312" w:hAnsi="仿宋_GB2312" w:cs="仿宋_GB2312" w:eastAsia="仿宋_GB2312"/>
        </w:rPr>
        <w:t>采购包最高限价（元）: 600,000.00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交通物流降本提质增效交通强国试点创建咨询服务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标的名称：交通物流降本提质增效交通强国试点创建咨询服务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8"/>
                <w:b/>
              </w:rPr>
              <w:t>一、项目概况</w:t>
            </w:r>
          </w:p>
          <w:p>
            <w:pPr>
              <w:pStyle w:val="null3"/>
            </w:pPr>
            <w:r>
              <w:rPr>
                <w:rFonts w:ascii="仿宋_GB2312" w:hAnsi="仿宋_GB2312" w:cs="仿宋_GB2312" w:eastAsia="仿宋_GB2312"/>
                <w:sz w:val="28"/>
              </w:rPr>
              <w:t>本项目需供应商深入试点实施主体，充分调研分析新亚欧大陆桥国际运输通道、西煤东运通道涉及我省部分的现状，包括中欧班列西安集结中心建设、参与国际运输通道建设、中欧班列西安运输组织模式等情况，以及煤炭外运通道、区域铁路网络、多式联运发展等情况，在此基础上进一步完善试点实施方案，站在国内国际双循环战略高度为项目提供技术支持和咨询服务，并持续跟踪试点创建情况，提炼梳理经验成果。</w:t>
            </w:r>
          </w:p>
          <w:p>
            <w:pPr>
              <w:pStyle w:val="null3"/>
            </w:pPr>
            <w:r>
              <w:rPr>
                <w:rFonts w:ascii="仿宋_GB2312" w:hAnsi="仿宋_GB2312" w:cs="仿宋_GB2312" w:eastAsia="仿宋_GB2312"/>
                <w:sz w:val="28"/>
                <w:b/>
              </w:rPr>
              <w:t>二、服务内容</w:t>
            </w:r>
          </w:p>
          <w:p>
            <w:pPr>
              <w:pStyle w:val="null3"/>
            </w:pPr>
            <w:r>
              <w:rPr>
                <w:rFonts w:ascii="仿宋_GB2312" w:hAnsi="仿宋_GB2312" w:cs="仿宋_GB2312" w:eastAsia="仿宋_GB2312"/>
                <w:sz w:val="28"/>
              </w:rPr>
              <w:t>围绕新亚欧大陆桥国际运输通道、西煤东运通道试点方向，细化完善我省申报试点实施方案，提供创建过程的技术支持和咨询服务，开展创建过程监测，阶段性总结经验成果，梳理验收相关资料。</w:t>
            </w:r>
          </w:p>
          <w:p>
            <w:pPr>
              <w:pStyle w:val="null3"/>
            </w:pPr>
            <w:r>
              <w:rPr>
                <w:rFonts w:ascii="仿宋_GB2312" w:hAnsi="仿宋_GB2312" w:cs="仿宋_GB2312" w:eastAsia="仿宋_GB2312"/>
                <w:sz w:val="28"/>
                <w:b/>
              </w:rPr>
              <w:t>三、项目成果</w:t>
            </w:r>
          </w:p>
          <w:p>
            <w:pPr>
              <w:pStyle w:val="null3"/>
            </w:pPr>
            <w:r>
              <w:rPr>
                <w:rFonts w:ascii="仿宋_GB2312" w:hAnsi="仿宋_GB2312" w:cs="仿宋_GB2312" w:eastAsia="仿宋_GB2312"/>
                <w:sz w:val="28"/>
              </w:rPr>
              <w:t>1.《陕鲁协同依托新亚欧大陆桥国际运输通道推进降本提质增效交通强国试点实施方案》2025年8月底前</w:t>
            </w:r>
          </w:p>
          <w:p>
            <w:pPr>
              <w:pStyle w:val="null3"/>
            </w:pPr>
            <w:r>
              <w:rPr>
                <w:rFonts w:ascii="仿宋_GB2312" w:hAnsi="仿宋_GB2312" w:cs="仿宋_GB2312" w:eastAsia="仿宋_GB2312"/>
                <w:sz w:val="28"/>
              </w:rPr>
              <w:t>2.《依托“西煤东运”通道推进物流降本提质增效交通强国试点实施方案》2025年8月底前</w:t>
            </w:r>
          </w:p>
          <w:p>
            <w:pPr>
              <w:pStyle w:val="null3"/>
            </w:pPr>
            <w:r>
              <w:rPr>
                <w:rFonts w:ascii="仿宋_GB2312" w:hAnsi="仿宋_GB2312" w:cs="仿宋_GB2312" w:eastAsia="仿宋_GB2312"/>
                <w:sz w:val="28"/>
              </w:rPr>
              <w:t>3.《陕鲁协同依托新亚欧大陆桥国际运输通道推进降本提质增效交通强国试点2025年度工作报告》2025年12月15日前</w:t>
            </w:r>
          </w:p>
          <w:p>
            <w:pPr>
              <w:pStyle w:val="null3"/>
            </w:pPr>
            <w:r>
              <w:rPr>
                <w:rFonts w:ascii="仿宋_GB2312" w:hAnsi="仿宋_GB2312" w:cs="仿宋_GB2312" w:eastAsia="仿宋_GB2312"/>
                <w:sz w:val="28"/>
              </w:rPr>
              <w:t>4.《依托“西煤东运”通道推进物流降本提质增效交通强国试点2025年度工作报告》2025年12月15日前</w:t>
            </w:r>
          </w:p>
          <w:p>
            <w:pPr>
              <w:pStyle w:val="null3"/>
            </w:pPr>
            <w:r>
              <w:rPr>
                <w:rFonts w:ascii="仿宋_GB2312" w:hAnsi="仿宋_GB2312" w:cs="仿宋_GB2312" w:eastAsia="仿宋_GB2312"/>
                <w:sz w:val="28"/>
              </w:rPr>
              <w:t>5.《陕鲁协同依托新亚欧大陆桥国际运输通道推进降本提质增效交通强国试点2026年度工作报告》2026年12月15日前</w:t>
            </w:r>
          </w:p>
          <w:p>
            <w:pPr>
              <w:pStyle w:val="null3"/>
            </w:pPr>
            <w:r>
              <w:rPr>
                <w:rFonts w:ascii="仿宋_GB2312" w:hAnsi="仿宋_GB2312" w:cs="仿宋_GB2312" w:eastAsia="仿宋_GB2312"/>
                <w:sz w:val="28"/>
              </w:rPr>
              <w:t>6.《依托“西煤东运”通道推进物流降本提质增效交通强国试点2026年度工作报告》2026年12月15日前</w:t>
            </w:r>
          </w:p>
          <w:p>
            <w:pPr>
              <w:pStyle w:val="null3"/>
            </w:pPr>
            <w:r>
              <w:rPr>
                <w:rFonts w:ascii="仿宋_GB2312" w:hAnsi="仿宋_GB2312" w:cs="仿宋_GB2312" w:eastAsia="仿宋_GB2312"/>
                <w:sz w:val="28"/>
              </w:rPr>
              <w:t>7.《陕鲁协同依托新亚欧大陆桥国际运输通道推进降本提质增效交通强国试点验收申请报告》2027年2月底前</w:t>
            </w:r>
          </w:p>
          <w:p>
            <w:pPr>
              <w:pStyle w:val="null3"/>
            </w:pPr>
            <w:r>
              <w:rPr>
                <w:rFonts w:ascii="仿宋_GB2312" w:hAnsi="仿宋_GB2312" w:cs="仿宋_GB2312" w:eastAsia="仿宋_GB2312"/>
                <w:sz w:val="28"/>
              </w:rPr>
              <w:t>8.《依托“西煤东运”通道推进物流降本提质增效交通强国试点验收申请报告》2027年2月底前</w:t>
            </w:r>
          </w:p>
          <w:p>
            <w:pPr>
              <w:pStyle w:val="null3"/>
            </w:pPr>
            <w:r>
              <w:rPr>
                <w:rFonts w:ascii="仿宋_GB2312" w:hAnsi="仿宋_GB2312" w:cs="仿宋_GB2312" w:eastAsia="仿宋_GB2312"/>
                <w:sz w:val="28"/>
                <w:b/>
              </w:rPr>
              <w:t>四、商务要求</w:t>
            </w:r>
          </w:p>
          <w:p>
            <w:pPr>
              <w:pStyle w:val="null3"/>
            </w:pPr>
            <w:r>
              <w:rPr>
                <w:rFonts w:ascii="仿宋_GB2312" w:hAnsi="仿宋_GB2312" w:cs="仿宋_GB2312" w:eastAsia="仿宋_GB2312"/>
                <w:sz w:val="28"/>
              </w:rPr>
              <w:t>服务期：自合同签订之日起</w:t>
            </w:r>
            <w:r>
              <w:rPr>
                <w:rFonts w:ascii="仿宋_GB2312" w:hAnsi="仿宋_GB2312" w:cs="仿宋_GB2312" w:eastAsia="仿宋_GB2312"/>
                <w:sz w:val="28"/>
              </w:rPr>
              <w:t>至试点创建结束</w:t>
            </w:r>
            <w:r>
              <w:rPr>
                <w:rFonts w:ascii="仿宋_GB2312" w:hAnsi="仿宋_GB2312" w:cs="仿宋_GB2312" w:eastAsia="仿宋_GB2312"/>
                <w:sz w:val="28"/>
              </w:rPr>
              <w:t>。</w:t>
            </w:r>
          </w:p>
          <w:p>
            <w:pPr>
              <w:pStyle w:val="null3"/>
            </w:pPr>
            <w:r>
              <w:rPr>
                <w:rFonts w:ascii="仿宋_GB2312" w:hAnsi="仿宋_GB2312" w:cs="仿宋_GB2312" w:eastAsia="仿宋_GB2312"/>
                <w:sz w:val="28"/>
                <w:b/>
              </w:rPr>
              <w:t>五、其他要求</w:t>
            </w:r>
          </w:p>
          <w:p>
            <w:pPr>
              <w:pStyle w:val="null3"/>
            </w:pPr>
            <w:r>
              <w:rPr>
                <w:rFonts w:ascii="仿宋_GB2312" w:hAnsi="仿宋_GB2312" w:cs="仿宋_GB2312" w:eastAsia="仿宋_GB2312"/>
                <w:sz w:val="28"/>
              </w:rPr>
              <w:t>配备足够的专业人员，有物流、交通运输领域相关专业背景。在服务周期内能够及时响应甲方需求。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自合同签订之日起至试点创建结束。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西安市范围内，具体以采购人指定地点为准。</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经甲方验收合格后，确定项目完成，验收标准符合国家有关规定、规范。</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自合同生效之日起</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按照磋商文件要求及合同约定执行。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其他补充事宜：1、本项目所属行业为：其他未列明行业。2、成交供应商在领取成交通知书前，须向采购代理机构提供纸质版响应文件3套，且提供的响应文件必须与在陕西省政府采购综合管理平台的项目电子化交易系统中递交的电子响应文件内容一致，纸质版响应文件必须装订成册签字盖章。3、如磋商文件中融资相关内容与新政策要求有出入，按照最新要求执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2023或2024年度经审计的财务报告（成立时间至提交响应文件截止时间不足一年的可提供成立后任意时段的资产负债表），或其开标前六个月内基本开户银行出具的资信证明，或信用担保机构出具的投标担保函（以上三种形式的资料提供任何一种即可）；（提供扫描件并进行电子签章）。分支机构参与投标时，须另提供总公司授权或出具总公司的有关文件或制度等能够证明总公司授权其独立开展业务的证明，但其民事责任由其总公司承担。基本资格条件中可以提供总公司或分支机构经审计的财务报告。</w:t>
            </w:r>
          </w:p>
        </w:tc>
        <w:tc>
          <w:tcPr>
            <w:tcW w:type="dxa" w:w="1661"/>
          </w:tcPr>
          <w:p>
            <w:pPr>
              <w:pStyle w:val="null3"/>
            </w:pPr>
            <w:r>
              <w:rPr>
                <w:rFonts w:ascii="仿宋_GB2312" w:hAnsi="仿宋_GB2312" w:cs="仿宋_GB2312" w:eastAsia="仿宋_GB2312"/>
              </w:rPr>
              <w:t>健全的财务会计制度.docx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企业法人应提供合法有效的标识有统一社会信用代码的营业执照；事业法人应提供事业单位法人证书；其他组织应提供合法登记证明文件,自然人提供身份证。</w:t>
            </w:r>
          </w:p>
        </w:tc>
        <w:tc>
          <w:tcPr>
            <w:tcW w:type="dxa" w:w="1661"/>
          </w:tcPr>
          <w:p>
            <w:pPr>
              <w:pStyle w:val="null3"/>
            </w:pPr>
            <w:r>
              <w:rPr>
                <w:rFonts w:ascii="仿宋_GB2312" w:hAnsi="仿宋_GB2312" w:cs="仿宋_GB2312" w:eastAsia="仿宋_GB2312"/>
              </w:rPr>
              <w:t>具有独立承担民事责任能力.docx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依法缴纳税收和社会保障资金</w:t>
            </w:r>
          </w:p>
        </w:tc>
        <w:tc>
          <w:tcPr>
            <w:tcW w:type="dxa" w:w="3322"/>
          </w:tcPr>
          <w:p>
            <w:pPr>
              <w:pStyle w:val="null3"/>
            </w:pPr>
            <w:r>
              <w:rPr>
                <w:rFonts w:ascii="仿宋_GB2312" w:hAnsi="仿宋_GB2312" w:cs="仿宋_GB2312" w:eastAsia="仿宋_GB2312"/>
              </w:rPr>
              <w:t>提供开标截止时间前6个月内任意时段已缴纳的纳税证明或完税证明和已缴存的社会保障资金缴费证明或参保证明。</w:t>
            </w:r>
          </w:p>
        </w:tc>
        <w:tc>
          <w:tcPr>
            <w:tcW w:type="dxa" w:w="1661"/>
          </w:tcPr>
          <w:p>
            <w:pPr>
              <w:pStyle w:val="null3"/>
            </w:pPr>
            <w:r>
              <w:rPr>
                <w:rFonts w:ascii="仿宋_GB2312" w:hAnsi="仿宋_GB2312" w:cs="仿宋_GB2312" w:eastAsia="仿宋_GB2312"/>
              </w:rPr>
              <w:t>依法缴纳税收和社会保障资金.docx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履行本合同所必需的设备和专业技术能力</w:t>
            </w:r>
          </w:p>
        </w:tc>
        <w:tc>
          <w:tcPr>
            <w:tcW w:type="dxa" w:w="3322"/>
          </w:tcPr>
          <w:p>
            <w:pPr>
              <w:pStyle w:val="null3"/>
            </w:pPr>
            <w:r>
              <w:rPr>
                <w:rFonts w:ascii="仿宋_GB2312" w:hAnsi="仿宋_GB2312" w:cs="仿宋_GB2312" w:eastAsia="仿宋_GB2312"/>
              </w:rPr>
              <w:t>提供具有履行本合同所必需的设备和专业技术能力的书面声明。</w:t>
            </w:r>
          </w:p>
        </w:tc>
        <w:tc>
          <w:tcPr>
            <w:tcW w:type="dxa" w:w="1661"/>
          </w:tcPr>
          <w:p>
            <w:pPr>
              <w:pStyle w:val="null3"/>
            </w:pPr>
            <w:r>
              <w:rPr>
                <w:rFonts w:ascii="仿宋_GB2312" w:hAnsi="仿宋_GB2312" w:cs="仿宋_GB2312" w:eastAsia="仿宋_GB2312"/>
              </w:rPr>
              <w:t>履行本合同所必需的设备和专业技术能力.docx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无重大违法记录书面声明</w:t>
            </w:r>
          </w:p>
        </w:tc>
        <w:tc>
          <w:tcPr>
            <w:tcW w:type="dxa" w:w="3322"/>
          </w:tcPr>
          <w:p>
            <w:pPr>
              <w:pStyle w:val="null3"/>
            </w:pPr>
            <w:r>
              <w:rPr>
                <w:rFonts w:ascii="仿宋_GB2312" w:hAnsi="仿宋_GB2312" w:cs="仿宋_GB2312" w:eastAsia="仿宋_GB2312"/>
              </w:rPr>
              <w:t>提供参加政府采购活动前3年内在经营活动中没有重大违法记录的书面声明。</w:t>
            </w:r>
          </w:p>
        </w:tc>
        <w:tc>
          <w:tcPr>
            <w:tcW w:type="dxa" w:w="1661"/>
          </w:tcPr>
          <w:p>
            <w:pPr>
              <w:pStyle w:val="null3"/>
            </w:pPr>
            <w:r>
              <w:rPr>
                <w:rFonts w:ascii="仿宋_GB2312" w:hAnsi="仿宋_GB2312" w:cs="仿宋_GB2312" w:eastAsia="仿宋_GB2312"/>
              </w:rPr>
              <w:t>无重大违法记录书面声明.docx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法定代表人直接负责投标的，须在响应文件中提供法定代表人身份证明；法定代表人授权代表负责投标的，须在响应文件中提供法定代表人授权委托书。</w:t>
            </w:r>
          </w:p>
        </w:tc>
        <w:tc>
          <w:tcPr>
            <w:tcW w:type="dxa" w:w="1661"/>
          </w:tcPr>
          <w:p>
            <w:pPr>
              <w:pStyle w:val="null3"/>
            </w:pPr>
            <w:r>
              <w:rPr>
                <w:rFonts w:ascii="仿宋_GB2312" w:hAnsi="仿宋_GB2312" w:cs="仿宋_GB2312" w:eastAsia="仿宋_GB2312"/>
              </w:rPr>
              <w:t>法定代表人身份证明或法定代表人授权委托书.docx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供应商未列入“失信被执行人”、“重大税收违法案件当事人名单”和“政府采购严重违法失信行为记录名单”。</w:t>
            </w:r>
          </w:p>
        </w:tc>
        <w:tc>
          <w:tcPr>
            <w:tcW w:type="dxa" w:w="1661"/>
          </w:tcPr>
          <w:p>
            <w:pPr>
              <w:pStyle w:val="null3"/>
            </w:pPr>
            <w:r>
              <w:rPr>
                <w:rFonts w:ascii="仿宋_GB2312" w:hAnsi="仿宋_GB2312" w:cs="仿宋_GB2312" w:eastAsia="仿宋_GB2312"/>
              </w:rPr>
              <w:t>信誉要求.docx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1、报价唯一；2、报价货币符合磋商文件要求;3、未超出采购预算或磋商文件规定的最高限价。</w:t>
            </w:r>
          </w:p>
        </w:tc>
        <w:tc>
          <w:tcPr>
            <w:tcW w:type="dxa" w:w="1661"/>
          </w:tcPr>
          <w:p>
            <w:pPr>
              <w:pStyle w:val="null3"/>
            </w:pPr>
            <w:r>
              <w:rPr>
                <w:rFonts w:ascii="仿宋_GB2312" w:hAnsi="仿宋_GB2312" w:cs="仿宋_GB2312" w:eastAsia="仿宋_GB2312"/>
              </w:rPr>
              <w:t>费用组成明细表.docx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响应文件封面.docx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合同条款响应偏离表.docx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项目背景及需求分析</w:t>
            </w:r>
          </w:p>
        </w:tc>
        <w:tc>
          <w:tcPr>
            <w:tcW w:type="dxa" w:w="2492"/>
          </w:tcPr>
          <w:p>
            <w:pPr>
              <w:pStyle w:val="null3"/>
            </w:pPr>
            <w:r>
              <w:rPr>
                <w:rFonts w:ascii="仿宋_GB2312" w:hAnsi="仿宋_GB2312" w:cs="仿宋_GB2312" w:eastAsia="仿宋_GB2312"/>
              </w:rPr>
              <w:t>内容至少包括 ①项目需求分析；②项目背景分析等。以上内容专门针对本项目且符合本项目实际需求的得6分，每缺一项内容扣3分,若上述内容存在瑕疵，每出现一处瑕疵扣1分，扣完为止。“瑕疵”指内容明显错误，或内容不完整或缺少关键点，或不适用本项目特性、套用其他项目内容或内容不能满 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整体服务方案</w:t>
            </w:r>
          </w:p>
        </w:tc>
        <w:tc>
          <w:tcPr>
            <w:tcW w:type="dxa" w:w="2492"/>
          </w:tcPr>
          <w:p>
            <w:pPr>
              <w:pStyle w:val="null3"/>
            </w:pPr>
            <w:r>
              <w:rPr>
                <w:rFonts w:ascii="仿宋_GB2312" w:hAnsi="仿宋_GB2312" w:cs="仿宋_GB2312" w:eastAsia="仿宋_GB2312"/>
              </w:rPr>
              <w:t>内容至少包括①服务内容；②服务措施；③服务目标等。以上内容专门针对本项目且符合本项目实际需求的得15分，每缺一项内容扣5分，若上述内容存在瑕疵，每出现一处瑕疵扣1分，扣完为止。“瑕疵”指内容明显错误，或 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项目实施进度计划</w:t>
            </w:r>
          </w:p>
        </w:tc>
        <w:tc>
          <w:tcPr>
            <w:tcW w:type="dxa" w:w="2492"/>
          </w:tcPr>
          <w:p>
            <w:pPr>
              <w:pStyle w:val="null3"/>
            </w:pPr>
            <w:r>
              <w:rPr>
                <w:rFonts w:ascii="仿宋_GB2312" w:hAnsi="仿宋_GB2312" w:cs="仿宋_GB2312" w:eastAsia="仿宋_GB2312"/>
              </w:rPr>
              <w:t>内容至少包括①项目实施进度目标分析；②提供合理的工作计划及时间节点；③项目进度保障措施等。以上内容专门针对本项目且 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内容至少包括①质量安全保障方案；②项目进度保障措施；③成果保障措施等。以上内容专门针对本项目且符合本项目实际需求 的得9分，每缺一项内容扣3分， 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内容至少包括①团队组织人员配置明细；②团队人员管理制度；③配置人员工作经验等。以上内容专门针对本项目且符合本项目实际需求的得9分，每缺一项内容扣3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内容至少包括含①应急小组成员及职责；②应急处置流程；③应急处置方案；④应急响应安排等。上述各部分内容全面详细、阐述条理清晰详尽、符合且针对本项目采购需求得8分，每缺一项内容扣2分，评审内容有缺陷的根据情况扣分，扣完为止。“缺陷”是指：内容粗略、逻辑混乱、描述过于简单、与项目特点不匹配、凭空编造、逻辑漏洞、出现常识性错误、存在不适用项目实际情况的情形或只有标题没有实质性内容等。</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内容至少包括①保密管理制度；②保密责任；③具体工作保密措施；④保密承诺等。以上内容专门针对本项目且符合本项目实际 需求的得10分，每缺一项内容扣2.5分，若上述内容存在瑕疵，每出现一处瑕疵扣1分，扣完为止。“瑕疵”指内容明显错误，或内容不完整或缺少关键点，或不适用本项目特性、套用其他项目内容或内容不 能满足本项目实际需求等情形。</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项目重点、难点分析</w:t>
            </w:r>
          </w:p>
        </w:tc>
        <w:tc>
          <w:tcPr>
            <w:tcW w:type="dxa" w:w="2492"/>
          </w:tcPr>
          <w:p>
            <w:pPr>
              <w:pStyle w:val="null3"/>
            </w:pPr>
            <w:r>
              <w:rPr>
                <w:rFonts w:ascii="仿宋_GB2312" w:hAnsi="仿宋_GB2312" w:cs="仿宋_GB2312" w:eastAsia="仿宋_GB2312"/>
              </w:rPr>
              <w:t>内容至少包括 ①重点、难点分析；②应对措施；③重点、难点相关经验等。以上内容专门针对本项目且符合本项目实际需求的得6分，每缺一项内容扣2分，若上述内容存在瑕疵，每出现一处瑕疵扣1分，扣完为止。“瑕疵”指内容明显错误，或内容不完整或缺少关键点，或不适用本项目特性、套用其他项目内容或内容不能 满足本项目实际需求等情形。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内容至少包括①积极配合采购人服务要求；②廉洁从业的承诺；③未能完全履行承诺时愿意接受相关处罚的承诺；④服务期限承诺等。以上内容专门针对本项目且符合本项目实际需求的得8分，每缺一项内容扣2分，若上述内容存在瑕疵，每出现一处瑕疵扣1分，扣完为止。“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服务方案响应说明.docx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供应商具有2022年1月1日至今（以合同签订时间为准）同类项目业绩，响应文件中提供合同复印件加盖供应商公章，每提供一个得2分，最高得10分。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业绩有关证明材料.docx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满足磋商文件内容及技术要求且最终磋商报价最低的价格为评审基准价，其价格分为满分。 其他供应商的价格分统一按照下列公式计算：磋商报价得分=（评审基准价／最终磋商报价）×价格权值×100。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详见附件：响应文件封面.docx</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详见附件：费用组成明细表.docx</w:t>
      </w:r>
    </w:p>
    <w:p>
      <w:pPr>
        <w:pStyle w:val="null3"/>
        <w:ind w:firstLine="960"/>
      </w:pPr>
      <w:r>
        <w:rPr>
          <w:rFonts w:ascii="仿宋_GB2312" w:hAnsi="仿宋_GB2312" w:cs="仿宋_GB2312" w:eastAsia="仿宋_GB2312"/>
        </w:rPr>
        <w:t>详见附件：健全的财务会计制度.docx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详见附件：具有独立承担民事责任能力.docx</w:t>
      </w:r>
    </w:p>
    <w:p>
      <w:pPr>
        <w:pStyle w:val="null3"/>
        <w:ind w:firstLine="960"/>
      </w:pPr>
      <w:r>
        <w:rPr>
          <w:rFonts w:ascii="仿宋_GB2312" w:hAnsi="仿宋_GB2312" w:cs="仿宋_GB2312" w:eastAsia="仿宋_GB2312"/>
        </w:rPr>
        <w:t>详见附件：依法缴纳税收和社会保障资金.docx</w:t>
      </w:r>
    </w:p>
    <w:p>
      <w:pPr>
        <w:pStyle w:val="null3"/>
        <w:ind w:firstLine="960"/>
      </w:pPr>
      <w:r>
        <w:rPr>
          <w:rFonts w:ascii="仿宋_GB2312" w:hAnsi="仿宋_GB2312" w:cs="仿宋_GB2312" w:eastAsia="仿宋_GB2312"/>
        </w:rPr>
        <w:t>详见附件：履行本合同所必需的设备和专业技术能力.docx</w:t>
      </w:r>
    </w:p>
    <w:p>
      <w:pPr>
        <w:pStyle w:val="null3"/>
        <w:ind w:firstLine="960"/>
      </w:pPr>
      <w:r>
        <w:rPr>
          <w:rFonts w:ascii="仿宋_GB2312" w:hAnsi="仿宋_GB2312" w:cs="仿宋_GB2312" w:eastAsia="仿宋_GB2312"/>
        </w:rPr>
        <w:t>详见附件：无重大违法记录书面声明.docx</w:t>
      </w:r>
    </w:p>
    <w:p>
      <w:pPr>
        <w:pStyle w:val="null3"/>
        <w:ind w:firstLine="960"/>
      </w:pPr>
      <w:r>
        <w:rPr>
          <w:rFonts w:ascii="仿宋_GB2312" w:hAnsi="仿宋_GB2312" w:cs="仿宋_GB2312" w:eastAsia="仿宋_GB2312"/>
        </w:rPr>
        <w:t>详见附件：法定代表人身份证明或法定代表人授权委托书.docx</w:t>
      </w:r>
    </w:p>
    <w:p>
      <w:pPr>
        <w:pStyle w:val="null3"/>
        <w:ind w:firstLine="960"/>
      </w:pPr>
      <w:r>
        <w:rPr>
          <w:rFonts w:ascii="仿宋_GB2312" w:hAnsi="仿宋_GB2312" w:cs="仿宋_GB2312" w:eastAsia="仿宋_GB2312"/>
        </w:rPr>
        <w:t>详见附件：信誉要求.docx</w:t>
      </w:r>
    </w:p>
    <w:p>
      <w:pPr>
        <w:pStyle w:val="null3"/>
        <w:ind w:firstLine="960"/>
      </w:pPr>
      <w:r>
        <w:rPr>
          <w:rFonts w:ascii="仿宋_GB2312" w:hAnsi="仿宋_GB2312" w:cs="仿宋_GB2312" w:eastAsia="仿宋_GB2312"/>
        </w:rPr>
        <w:t>详见附件：合同条款响应偏离表.docx</w:t>
      </w:r>
    </w:p>
    <w:p>
      <w:pPr>
        <w:pStyle w:val="null3"/>
        <w:ind w:firstLine="960"/>
      </w:pPr>
      <w:r>
        <w:rPr>
          <w:rFonts w:ascii="仿宋_GB2312" w:hAnsi="仿宋_GB2312" w:cs="仿宋_GB2312" w:eastAsia="仿宋_GB2312"/>
        </w:rPr>
        <w:t>详见附件：服务方案响应说明.docx</w:t>
      </w:r>
    </w:p>
    <w:p>
      <w:pPr>
        <w:pStyle w:val="null3"/>
        <w:ind w:firstLine="960"/>
      </w:pPr>
      <w:r>
        <w:rPr>
          <w:rFonts w:ascii="仿宋_GB2312" w:hAnsi="仿宋_GB2312" w:cs="仿宋_GB2312" w:eastAsia="仿宋_GB2312"/>
        </w:rPr>
        <w:t>详见附件：业绩有关证明材料.docx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{{未填写}}</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