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ED0286">
      <w:pPr>
        <w:jc w:val="left"/>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政府采购合同                        合同编号：</w:t>
      </w:r>
    </w:p>
    <w:p w14:paraId="382021B4">
      <w:pPr>
        <w:pStyle w:val="4"/>
        <w:rPr>
          <w:rFonts w:hint="eastAsia" w:ascii="仿宋" w:hAnsi="仿宋" w:eastAsia="仿宋" w:cs="仿宋"/>
          <w:b/>
          <w:bCs/>
          <w:color w:val="auto"/>
          <w:sz w:val="30"/>
          <w:szCs w:val="30"/>
          <w:highlight w:val="none"/>
        </w:rPr>
      </w:pPr>
    </w:p>
    <w:p w14:paraId="151014D0">
      <w:pPr>
        <w:pStyle w:val="4"/>
        <w:rPr>
          <w:rFonts w:hint="eastAsia" w:ascii="仿宋" w:hAnsi="仿宋" w:eastAsia="仿宋" w:cs="仿宋"/>
          <w:b/>
          <w:bCs/>
          <w:color w:val="auto"/>
          <w:sz w:val="30"/>
          <w:szCs w:val="30"/>
          <w:highlight w:val="none"/>
        </w:rPr>
      </w:pPr>
    </w:p>
    <w:p w14:paraId="2C379D87">
      <w:pPr>
        <w:pStyle w:val="4"/>
        <w:rPr>
          <w:rFonts w:hint="eastAsia" w:ascii="仿宋" w:hAnsi="仿宋" w:eastAsia="仿宋" w:cs="仿宋"/>
          <w:color w:val="auto"/>
          <w:highlight w:val="none"/>
        </w:rPr>
      </w:pPr>
    </w:p>
    <w:p w14:paraId="3EB4A135">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u w:val="single"/>
        </w:rPr>
        <w:t xml:space="preserve">                           </w:t>
      </w:r>
      <w:r>
        <w:rPr>
          <w:rFonts w:hint="eastAsia" w:ascii="仿宋" w:hAnsi="仿宋" w:eastAsia="仿宋" w:cs="仿宋"/>
          <w:b/>
          <w:bCs/>
          <w:color w:val="auto"/>
          <w:sz w:val="44"/>
          <w:szCs w:val="44"/>
          <w:highlight w:val="none"/>
        </w:rPr>
        <w:t>采购项目</w:t>
      </w:r>
    </w:p>
    <w:p w14:paraId="3DBD3088">
      <w:pPr>
        <w:rPr>
          <w:rFonts w:hint="eastAsia" w:ascii="仿宋" w:hAnsi="仿宋" w:eastAsia="仿宋" w:cs="仿宋"/>
          <w:color w:val="auto"/>
          <w:highlight w:val="none"/>
        </w:rPr>
      </w:pPr>
    </w:p>
    <w:p w14:paraId="4B827FBC">
      <w:pPr>
        <w:rPr>
          <w:rFonts w:hint="eastAsia" w:ascii="仿宋" w:hAnsi="仿宋" w:eastAsia="仿宋" w:cs="仿宋"/>
          <w:color w:val="auto"/>
          <w:highlight w:val="none"/>
        </w:rPr>
      </w:pPr>
    </w:p>
    <w:p w14:paraId="36F3A85A">
      <w:pPr>
        <w:pStyle w:val="4"/>
        <w:rPr>
          <w:rFonts w:hint="eastAsia" w:ascii="仿宋" w:hAnsi="仿宋" w:eastAsia="仿宋" w:cs="仿宋"/>
          <w:color w:val="auto"/>
          <w:highlight w:val="none"/>
        </w:rPr>
      </w:pPr>
    </w:p>
    <w:p w14:paraId="6F22F300">
      <w:pPr>
        <w:pStyle w:val="4"/>
        <w:rPr>
          <w:rFonts w:hint="eastAsia" w:ascii="仿宋" w:hAnsi="仿宋" w:eastAsia="仿宋" w:cs="仿宋"/>
          <w:color w:val="auto"/>
          <w:highlight w:val="none"/>
        </w:rPr>
      </w:pPr>
    </w:p>
    <w:p w14:paraId="36B7B3F2">
      <w:pPr>
        <w:rPr>
          <w:rFonts w:hint="eastAsia" w:ascii="仿宋" w:hAnsi="仿宋" w:eastAsia="仿宋" w:cs="仿宋"/>
          <w:color w:val="auto"/>
          <w:highlight w:val="none"/>
        </w:rPr>
      </w:pPr>
    </w:p>
    <w:p w14:paraId="18501778">
      <w:pPr>
        <w:rPr>
          <w:rFonts w:hint="eastAsia" w:ascii="仿宋" w:hAnsi="仿宋" w:eastAsia="仿宋" w:cs="仿宋"/>
          <w:color w:val="auto"/>
          <w:highlight w:val="none"/>
        </w:rPr>
      </w:pPr>
    </w:p>
    <w:p w14:paraId="5B7DE657">
      <w:pPr>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（示范文本仅供参考）</w:t>
      </w:r>
    </w:p>
    <w:p w14:paraId="0098962F">
      <w:pPr>
        <w:jc w:val="center"/>
        <w:rPr>
          <w:rFonts w:hint="eastAsia" w:ascii="仿宋" w:hAnsi="仿宋" w:eastAsia="仿宋" w:cs="仿宋"/>
          <w:b/>
          <w:color w:val="auto"/>
          <w:sz w:val="36"/>
          <w:szCs w:val="36"/>
          <w:highlight w:val="none"/>
        </w:rPr>
      </w:pPr>
    </w:p>
    <w:p w14:paraId="25386A89">
      <w:pPr>
        <w:rPr>
          <w:rFonts w:hint="eastAsia" w:ascii="仿宋" w:hAnsi="仿宋" w:eastAsia="仿宋" w:cs="仿宋"/>
          <w:b/>
          <w:color w:val="auto"/>
          <w:sz w:val="36"/>
          <w:szCs w:val="36"/>
          <w:highlight w:val="none"/>
        </w:rPr>
      </w:pPr>
    </w:p>
    <w:p w14:paraId="2AC912F5">
      <w:pPr>
        <w:jc w:val="center"/>
        <w:rPr>
          <w:rFonts w:hint="eastAsia" w:ascii="仿宋" w:hAnsi="仿宋" w:eastAsia="仿宋" w:cs="仿宋"/>
          <w:b/>
          <w:color w:val="auto"/>
          <w:sz w:val="36"/>
          <w:szCs w:val="36"/>
          <w:highlight w:val="none"/>
        </w:rPr>
      </w:pPr>
    </w:p>
    <w:p w14:paraId="5880CA86">
      <w:pPr>
        <w:spacing w:before="156" w:beforeLines="50" w:line="360" w:lineRule="auto"/>
        <w:ind w:firstLine="1584" w:firstLineChars="493"/>
        <w:jc w:val="left"/>
        <w:rPr>
          <w:rFonts w:hint="eastAsia" w:ascii="仿宋" w:hAnsi="仿宋" w:eastAsia="仿宋" w:cs="仿宋"/>
          <w:color w:val="auto"/>
          <w:sz w:val="32"/>
          <w:szCs w:val="32"/>
          <w:highlight w:val="none"/>
          <w:u w:val="single"/>
        </w:rPr>
      </w:pPr>
      <w:r>
        <w:rPr>
          <w:rFonts w:hint="eastAsia" w:ascii="仿宋" w:hAnsi="仿宋" w:eastAsia="仿宋" w:cs="仿宋"/>
          <w:b/>
          <w:bCs/>
          <w:color w:val="auto"/>
          <w:sz w:val="32"/>
          <w:szCs w:val="32"/>
          <w:highlight w:val="none"/>
        </w:rPr>
        <w:t>采购人：</w:t>
      </w:r>
      <w:r>
        <w:rPr>
          <w:rFonts w:hint="eastAsia" w:ascii="仿宋" w:hAnsi="仿宋" w:eastAsia="仿宋" w:cs="仿宋"/>
          <w:color w:val="auto"/>
          <w:sz w:val="32"/>
          <w:szCs w:val="32"/>
          <w:highlight w:val="none"/>
          <w:u w:val="single"/>
        </w:rPr>
        <w:t xml:space="preserve">                     </w:t>
      </w:r>
    </w:p>
    <w:p w14:paraId="208AA833">
      <w:pPr>
        <w:spacing w:before="156" w:beforeLines="50" w:line="360" w:lineRule="auto"/>
        <w:ind w:firstLine="1584" w:firstLineChars="493"/>
        <w:jc w:val="left"/>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供应商：</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rPr>
        <w:t xml:space="preserve">  </w:t>
      </w:r>
      <w:r>
        <w:rPr>
          <w:rFonts w:hint="eastAsia" w:ascii="仿宋" w:hAnsi="仿宋" w:eastAsia="仿宋" w:cs="仿宋"/>
          <w:b/>
          <w:bCs/>
          <w:color w:val="auto"/>
          <w:sz w:val="32"/>
          <w:szCs w:val="32"/>
          <w:highlight w:val="none"/>
        </w:rPr>
        <w:t xml:space="preserve">        </w:t>
      </w:r>
    </w:p>
    <w:p w14:paraId="4FB27C0E">
      <w:pPr>
        <w:pStyle w:val="4"/>
        <w:jc w:val="center"/>
        <w:rPr>
          <w:rFonts w:hint="eastAsia" w:ascii="仿宋" w:hAnsi="仿宋" w:eastAsia="仿宋" w:cs="仿宋"/>
          <w:color w:val="auto"/>
          <w:highlight w:val="none"/>
        </w:rPr>
      </w:pPr>
      <w:r>
        <w:rPr>
          <w:rFonts w:hint="eastAsia" w:ascii="仿宋" w:hAnsi="仿宋" w:eastAsia="仿宋" w:cs="仿宋"/>
          <w:b/>
          <w:bCs/>
          <w:color w:val="auto"/>
          <w:sz w:val="32"/>
          <w:szCs w:val="32"/>
          <w:highlight w:val="none"/>
        </w:rPr>
        <w:t>二〇二</w:t>
      </w:r>
      <w:r>
        <w:rPr>
          <w:rFonts w:hint="eastAsia" w:ascii="仿宋" w:hAnsi="仿宋" w:eastAsia="仿宋" w:cs="仿宋"/>
          <w:b/>
          <w:bCs/>
          <w:color w:val="auto"/>
          <w:sz w:val="32"/>
          <w:szCs w:val="32"/>
          <w:highlight w:val="none"/>
          <w:lang w:val="en-US" w:eastAsia="zh-CN"/>
        </w:rPr>
        <w:t>五</w:t>
      </w:r>
      <w:r>
        <w:rPr>
          <w:rFonts w:hint="eastAsia" w:ascii="仿宋" w:hAnsi="仿宋" w:eastAsia="仿宋" w:cs="仿宋"/>
          <w:b/>
          <w:bCs/>
          <w:color w:val="auto"/>
          <w:sz w:val="32"/>
          <w:szCs w:val="32"/>
          <w:highlight w:val="none"/>
        </w:rPr>
        <w:t>年  月</w:t>
      </w:r>
    </w:p>
    <w:p w14:paraId="66E89D7A">
      <w:pPr>
        <w:pStyle w:val="4"/>
        <w:rPr>
          <w:rFonts w:hint="eastAsia" w:ascii="仿宋" w:hAnsi="仿宋" w:eastAsia="仿宋" w:cs="仿宋"/>
          <w:color w:val="auto"/>
          <w:highlight w:val="none"/>
        </w:rPr>
      </w:pPr>
    </w:p>
    <w:p w14:paraId="3C762DCE">
      <w:pPr>
        <w:pStyle w:val="4"/>
        <w:rPr>
          <w:rFonts w:hint="eastAsia" w:ascii="仿宋" w:hAnsi="仿宋" w:eastAsia="仿宋" w:cs="仿宋"/>
          <w:color w:val="auto"/>
          <w:highlight w:val="none"/>
        </w:rPr>
      </w:pPr>
    </w:p>
    <w:p w14:paraId="233FA207">
      <w:pPr>
        <w:rPr>
          <w:rFonts w:hint="eastAsia" w:ascii="仿宋" w:hAnsi="仿宋" w:eastAsia="仿宋" w:cs="仿宋"/>
          <w:b/>
          <w:bCs/>
          <w:color w:val="auto"/>
          <w:sz w:val="32"/>
          <w:szCs w:val="40"/>
          <w:highlight w:val="none"/>
        </w:rPr>
      </w:pPr>
      <w:r>
        <w:rPr>
          <w:rFonts w:hint="eastAsia" w:ascii="仿宋" w:hAnsi="仿宋" w:eastAsia="仿宋" w:cs="仿宋"/>
          <w:b/>
          <w:bCs/>
          <w:color w:val="auto"/>
          <w:sz w:val="32"/>
          <w:szCs w:val="40"/>
          <w:highlight w:val="none"/>
        </w:rPr>
        <w:br w:type="page"/>
      </w:r>
    </w:p>
    <w:p w14:paraId="34907838">
      <w:pPr>
        <w:jc w:val="center"/>
        <w:rPr>
          <w:rFonts w:hint="eastAsia" w:ascii="仿宋" w:hAnsi="仿宋" w:eastAsia="仿宋" w:cs="仿宋"/>
          <w:b/>
          <w:bCs/>
          <w:color w:val="auto"/>
          <w:sz w:val="32"/>
          <w:szCs w:val="40"/>
          <w:highlight w:val="none"/>
        </w:rPr>
      </w:pPr>
      <w:r>
        <w:rPr>
          <w:rFonts w:hint="eastAsia" w:ascii="仿宋" w:hAnsi="仿宋" w:eastAsia="仿宋" w:cs="仿宋"/>
          <w:b/>
          <w:bCs/>
          <w:color w:val="auto"/>
          <w:sz w:val="32"/>
          <w:szCs w:val="40"/>
          <w:highlight w:val="none"/>
        </w:rPr>
        <w:t>合同主要条款</w:t>
      </w:r>
    </w:p>
    <w:p w14:paraId="7BE335A6">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采购人（甲方）：</w:t>
      </w:r>
      <w:r>
        <w:rPr>
          <w:rFonts w:hint="eastAsia" w:ascii="仿宋" w:hAnsi="仿宋" w:eastAsia="仿宋" w:cs="仿宋"/>
          <w:b/>
          <w:color w:val="auto"/>
          <w:sz w:val="24"/>
          <w:szCs w:val="24"/>
          <w:highlight w:val="none"/>
          <w:u w:val="single"/>
        </w:rPr>
        <w:t xml:space="preserve">                                      </w:t>
      </w:r>
    </w:p>
    <w:p w14:paraId="26734990">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b/>
          <w:color w:val="auto"/>
          <w:sz w:val="24"/>
          <w:szCs w:val="24"/>
          <w:highlight w:val="none"/>
        </w:rPr>
        <w:t>供应商（乙方）：</w:t>
      </w:r>
      <w:r>
        <w:rPr>
          <w:rFonts w:hint="eastAsia" w:ascii="仿宋" w:hAnsi="仿宋" w:eastAsia="仿宋" w:cs="仿宋"/>
          <w:b/>
          <w:color w:val="auto"/>
          <w:sz w:val="24"/>
          <w:szCs w:val="24"/>
          <w:highlight w:val="none"/>
          <w:u w:val="single"/>
        </w:rPr>
        <w:t xml:space="preserve">                                   </w:t>
      </w:r>
      <w:r>
        <w:rPr>
          <w:rFonts w:hint="eastAsia" w:ascii="仿宋" w:hAnsi="仿宋" w:eastAsia="仿宋" w:cs="仿宋"/>
          <w:color w:val="auto"/>
          <w:sz w:val="24"/>
          <w:szCs w:val="24"/>
          <w:highlight w:val="none"/>
          <w:u w:val="single"/>
        </w:rPr>
        <w:t xml:space="preserve">   </w:t>
      </w:r>
    </w:p>
    <w:p w14:paraId="04D39E4A">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根据《中华人民共和国民法典》及其他有关法律、法规，遵循平等、自愿、公平和诚信的原则，双方就下述项目范围与相关服务事项协商一致，订立本合同。</w:t>
      </w:r>
    </w:p>
    <w:p w14:paraId="0AB4D076">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bookmarkStart w:id="0" w:name="_Toc8253"/>
      <w:bookmarkStart w:id="1" w:name="_Toc24654"/>
      <w:bookmarkStart w:id="2" w:name="_Toc3961"/>
      <w:bookmarkStart w:id="3" w:name="_Toc12273"/>
      <w:r>
        <w:rPr>
          <w:rFonts w:hint="eastAsia" w:ascii="仿宋" w:hAnsi="仿宋" w:eastAsia="仿宋" w:cs="仿宋"/>
          <w:b/>
          <w:color w:val="auto"/>
          <w:sz w:val="24"/>
          <w:szCs w:val="24"/>
          <w:highlight w:val="none"/>
        </w:rPr>
        <w:t>一、项目概况</w:t>
      </w:r>
      <w:bookmarkEnd w:id="0"/>
      <w:bookmarkEnd w:id="1"/>
      <w:bookmarkEnd w:id="2"/>
      <w:bookmarkEnd w:id="3"/>
    </w:p>
    <w:p w14:paraId="6AA35DAC">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1.项目名称：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487741E6">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2.项目地点：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784A5142">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bookmarkStart w:id="4" w:name="_Toc7460"/>
      <w:bookmarkStart w:id="5" w:name="_Toc20644"/>
      <w:bookmarkStart w:id="6" w:name="_Toc24180"/>
      <w:bookmarkStart w:id="7" w:name="_Toc19765"/>
      <w:r>
        <w:rPr>
          <w:rFonts w:hint="eastAsia" w:ascii="仿宋" w:hAnsi="仿宋" w:eastAsia="仿宋" w:cs="仿宋"/>
          <w:b/>
          <w:color w:val="auto"/>
          <w:sz w:val="24"/>
          <w:szCs w:val="24"/>
          <w:highlight w:val="none"/>
        </w:rPr>
        <w:t>二、组成本合同的文件</w:t>
      </w:r>
      <w:bookmarkEnd w:id="4"/>
      <w:bookmarkEnd w:id="5"/>
      <w:bookmarkEnd w:id="6"/>
      <w:bookmarkEnd w:id="7"/>
    </w:p>
    <w:p w14:paraId="1934FBA8">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文件、</w:t>
      </w:r>
      <w:r>
        <w:rPr>
          <w:rFonts w:hint="eastAsia" w:ascii="仿宋" w:hAnsi="仿宋" w:eastAsia="仿宋" w:cs="仿宋"/>
          <w:color w:val="auto"/>
          <w:sz w:val="24"/>
          <w:szCs w:val="24"/>
          <w:highlight w:val="none"/>
          <w:lang w:val="en-US" w:eastAsia="zh-CN"/>
        </w:rPr>
        <w:t>响应文件、</w:t>
      </w:r>
      <w:r>
        <w:rPr>
          <w:rFonts w:hint="eastAsia" w:ascii="仿宋" w:hAnsi="仿宋" w:eastAsia="仿宋" w:cs="仿宋"/>
          <w:color w:val="auto"/>
          <w:sz w:val="24"/>
          <w:szCs w:val="24"/>
          <w:highlight w:val="none"/>
        </w:rPr>
        <w:t>澄清函等文件；</w:t>
      </w:r>
    </w:p>
    <w:p w14:paraId="783E96EA">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2.本合同签订后，双方依法签订的补充协议。</w:t>
      </w:r>
    </w:p>
    <w:p w14:paraId="3E4EB0F8">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bookmarkStart w:id="8" w:name="_Toc15565"/>
      <w:bookmarkStart w:id="9" w:name="_Toc20296"/>
      <w:bookmarkStart w:id="10" w:name="_Toc7040"/>
      <w:bookmarkStart w:id="11" w:name="_Toc6332"/>
      <w:r>
        <w:rPr>
          <w:rFonts w:hint="eastAsia" w:ascii="仿宋" w:hAnsi="仿宋" w:eastAsia="仿宋" w:cs="仿宋"/>
          <w:b/>
          <w:color w:val="auto"/>
          <w:sz w:val="24"/>
          <w:szCs w:val="24"/>
          <w:highlight w:val="none"/>
        </w:rPr>
        <w:t>三、合同金额</w:t>
      </w:r>
      <w:bookmarkEnd w:id="8"/>
      <w:bookmarkEnd w:id="9"/>
      <w:bookmarkEnd w:id="10"/>
      <w:bookmarkEnd w:id="11"/>
    </w:p>
    <w:p w14:paraId="66D8608E">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合同金额（大写）：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元</w:t>
      </w:r>
      <w:r>
        <w:rPr>
          <w:rFonts w:hint="eastAsia" w:ascii="仿宋" w:hAnsi="仿宋" w:eastAsia="仿宋" w:cs="仿宋"/>
          <w:color w:val="auto"/>
          <w:sz w:val="24"/>
          <w:szCs w:val="24"/>
          <w:highlight w:val="none"/>
        </w:rPr>
        <w:t>）。</w:t>
      </w:r>
    </w:p>
    <w:p w14:paraId="0CE2A36D">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合同价格为含税价，供应商提供服务所发生的一切费用等都已包含于合同价款中。</w:t>
      </w:r>
    </w:p>
    <w:p w14:paraId="15967B90">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bookmarkStart w:id="12" w:name="_Toc25097"/>
      <w:bookmarkStart w:id="13" w:name="_Toc15258"/>
      <w:bookmarkStart w:id="14" w:name="_Toc23403"/>
      <w:bookmarkStart w:id="15" w:name="_Toc12205"/>
      <w:r>
        <w:rPr>
          <w:rFonts w:hint="eastAsia" w:ascii="仿宋" w:hAnsi="仿宋" w:eastAsia="仿宋" w:cs="仿宋"/>
          <w:b/>
          <w:color w:val="auto"/>
          <w:sz w:val="24"/>
          <w:szCs w:val="24"/>
          <w:highlight w:val="none"/>
        </w:rPr>
        <w:t>四、付款方式</w:t>
      </w:r>
      <w:bookmarkEnd w:id="12"/>
      <w:bookmarkEnd w:id="13"/>
      <w:bookmarkEnd w:id="14"/>
      <w:bookmarkEnd w:id="15"/>
    </w:p>
    <w:p w14:paraId="7721B9D5">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bookmarkStart w:id="16" w:name="_Toc26843"/>
      <w:bookmarkStart w:id="17" w:name="_Toc24217"/>
      <w:bookmarkStart w:id="18" w:name="_Toc10035"/>
      <w:bookmarkStart w:id="19" w:name="_Toc1205"/>
      <w:r>
        <w:rPr>
          <w:rFonts w:hint="eastAsia" w:ascii="仿宋" w:hAnsi="仿宋" w:eastAsia="仿宋" w:cs="仿宋"/>
          <w:color w:val="auto"/>
          <w:sz w:val="24"/>
          <w:szCs w:val="24"/>
          <w:highlight w:val="none"/>
        </w:rPr>
        <w:t>（1）银行转账。</w:t>
      </w:r>
    </w:p>
    <w:p w14:paraId="77EE0AA7">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支付约定：①合同签订生效后，达到付款条件起 30 日内，支付合同总金额的50.00%；②本项目执行8个月后，达到付款条件起 30 日内，支付合同总金额的40.00%；③乙方完成本合同全部播出要求后，并提供播出证明，经甲方验收并组织专家进行评审通过后,达到付款条件起 30日内，支付合同总金额的10%。</w:t>
      </w:r>
    </w:p>
    <w:p w14:paraId="40C6C8AC">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）合同签订后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甲方付款前供应商必须足额提供相应增值税发票给采购人。</w:t>
      </w:r>
    </w:p>
    <w:p w14:paraId="68090F71">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乙方开户行：</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720ACCD9">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乙方户  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2115D259">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乙方账  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599CBEB2">
      <w:pPr>
        <w:keepNext w:val="0"/>
        <w:keepLines w:val="0"/>
        <w:pageBreakBefore w:val="0"/>
        <w:numPr>
          <w:ilvl w:val="0"/>
          <w:numId w:val="0"/>
        </w:numPr>
        <w:wordWrap/>
        <w:overflowPunct/>
        <w:topLinePunct w:val="0"/>
        <w:bidi w:val="0"/>
        <w:adjustRightInd w:val="0"/>
        <w:snapToGrid w:val="0"/>
        <w:spacing w:line="360" w:lineRule="auto"/>
        <w:ind w:firstLine="482" w:firstLineChars="200"/>
        <w:textAlignment w:val="auto"/>
        <w:rPr>
          <w:rFonts w:hint="default" w:ascii="仿宋" w:hAnsi="仿宋" w:eastAsia="仿宋" w:cs="仿宋"/>
          <w:b/>
          <w:color w:val="auto"/>
          <w:sz w:val="24"/>
          <w:szCs w:val="24"/>
          <w:highlight w:val="none"/>
          <w:lang w:val="en-US" w:eastAsia="zh-CN"/>
        </w:rPr>
      </w:pPr>
      <w:r>
        <w:rPr>
          <w:rFonts w:hint="eastAsia" w:ascii="仿宋" w:hAnsi="仿宋" w:eastAsia="仿宋" w:cs="仿宋"/>
          <w:b/>
          <w:color w:val="auto"/>
          <w:kern w:val="2"/>
          <w:sz w:val="24"/>
          <w:szCs w:val="24"/>
          <w:highlight w:val="none"/>
          <w:lang w:val="en-US" w:eastAsia="zh-CN" w:bidi="ar-SA"/>
        </w:rPr>
        <w:t>五、</w:t>
      </w:r>
      <w:r>
        <w:rPr>
          <w:rFonts w:hint="eastAsia" w:ascii="仿宋" w:hAnsi="仿宋" w:eastAsia="仿宋" w:cs="仿宋"/>
          <w:b/>
          <w:color w:val="auto"/>
          <w:sz w:val="24"/>
          <w:szCs w:val="24"/>
          <w:highlight w:val="none"/>
        </w:rPr>
        <w:t>服务期限</w:t>
      </w:r>
      <w:r>
        <w:rPr>
          <w:rFonts w:hint="eastAsia" w:ascii="仿宋" w:hAnsi="仿宋" w:eastAsia="仿宋" w:cs="仿宋"/>
          <w:b/>
          <w:color w:val="auto"/>
          <w:sz w:val="24"/>
          <w:szCs w:val="24"/>
          <w:highlight w:val="none"/>
          <w:lang w:eastAsia="zh-CN"/>
        </w:rPr>
        <w:t>：2025年8月1日—2026年7月31日</w:t>
      </w:r>
    </w:p>
    <w:bookmarkEnd w:id="16"/>
    <w:bookmarkEnd w:id="17"/>
    <w:bookmarkEnd w:id="18"/>
    <w:bookmarkEnd w:id="19"/>
    <w:p w14:paraId="5B09ECC7">
      <w:pPr>
        <w:keepNext w:val="0"/>
        <w:keepLines w:val="0"/>
        <w:pageBreakBefore w:val="0"/>
        <w:tabs>
          <w:tab w:val="left" w:pos="720"/>
          <w:tab w:val="left" w:pos="3780"/>
          <w:tab w:val="left" w:pos="6480"/>
        </w:tabs>
        <w:wordWrap/>
        <w:overflowPunct/>
        <w:topLinePunct w:val="0"/>
        <w:autoSpaceDE w:val="0"/>
        <w:autoSpaceDN w:val="0"/>
        <w:bidi w:val="0"/>
        <w:adjustRightInd w:val="0"/>
        <w:snapToGrid w:val="0"/>
        <w:spacing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 内容及要求</w:t>
      </w:r>
    </w:p>
    <w:p w14:paraId="0BECCF62">
      <w:pPr>
        <w:pStyle w:val="2"/>
        <w:keepNext w:val="0"/>
        <w:keepLines w:val="0"/>
        <w:pageBreakBefore w:val="0"/>
        <w:numPr>
          <w:ilvl w:val="0"/>
          <w:numId w:val="0"/>
        </w:numPr>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1．</w:t>
      </w:r>
      <w:r>
        <w:rPr>
          <w:rFonts w:hint="eastAsia" w:ascii="仿宋" w:hAnsi="仿宋" w:eastAsia="仿宋" w:cs="仿宋"/>
          <w:color w:val="auto"/>
          <w:sz w:val="24"/>
          <w:szCs w:val="24"/>
          <w:highlight w:val="none"/>
        </w:rPr>
        <w:t>服务人员要求</w:t>
      </w:r>
    </w:p>
    <w:p w14:paraId="69FE33B7">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乙方应配备具有专业能力的服务人员。</w:t>
      </w:r>
    </w:p>
    <w:p w14:paraId="063387C2">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 甲方有权要求乙方更换服务人员，但不能超过3人次。</w:t>
      </w:r>
    </w:p>
    <w:p w14:paraId="2B49EC25">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 服务过程中，乙方有权更换相同级别人员，但不能影响服务质量，且整个服务过程中，更换人次不能超过3人次。</w:t>
      </w:r>
    </w:p>
    <w:p w14:paraId="4C548D86">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2.转委托要求</w:t>
      </w:r>
    </w:p>
    <w:p w14:paraId="118903B9">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未经甲方同意，乙方不得将服务的全部或部分转由第三人承担。</w:t>
      </w:r>
    </w:p>
    <w:p w14:paraId="0230536F">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3.其他要求</w:t>
      </w:r>
    </w:p>
    <w:p w14:paraId="7E528CF3">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 乙方服务应尽量满足项目目的，甲方在履行过程中提出的要求且乙方能够达到的，乙方应予以执行。</w:t>
      </w:r>
    </w:p>
    <w:p w14:paraId="6CC3E27A">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 除双方约定的以外，乙方的服务同时应满足法律法规要求，满足行业操作规范，达到该领域专业企业的水准。</w:t>
      </w:r>
    </w:p>
    <w:p w14:paraId="5118DCE0">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bookmarkStart w:id="20" w:name="_Toc14609"/>
      <w:bookmarkStart w:id="21" w:name="_Toc11798"/>
      <w:bookmarkStart w:id="22" w:name="_Toc11563"/>
      <w:bookmarkStart w:id="23" w:name="_Toc8837"/>
      <w:r>
        <w:rPr>
          <w:rFonts w:hint="eastAsia" w:ascii="仿宋" w:hAnsi="仿宋" w:eastAsia="仿宋" w:cs="仿宋"/>
          <w:b/>
          <w:color w:val="auto"/>
          <w:sz w:val="24"/>
          <w:szCs w:val="24"/>
          <w:highlight w:val="none"/>
        </w:rPr>
        <w:t>七、项目实施地点</w:t>
      </w:r>
      <w:bookmarkEnd w:id="20"/>
      <w:bookmarkEnd w:id="21"/>
      <w:bookmarkEnd w:id="22"/>
      <w:bookmarkEnd w:id="23"/>
    </w:p>
    <w:p w14:paraId="0A330A25">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甲方指定的地点       </w:t>
      </w:r>
    </w:p>
    <w:p w14:paraId="118AD086">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八、双方的责任义务</w:t>
      </w:r>
    </w:p>
    <w:p w14:paraId="2B36EFC2">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1.供应商服务内容应与</w:t>
      </w:r>
      <w:r>
        <w:rPr>
          <w:rFonts w:hint="eastAsia" w:ascii="仿宋" w:hAnsi="仿宋" w:eastAsia="仿宋" w:cs="仿宋"/>
          <w:color w:val="auto"/>
          <w:sz w:val="24"/>
          <w:szCs w:val="24"/>
          <w:highlight w:val="none"/>
          <w:lang w:val="en-US" w:eastAsia="zh-CN"/>
        </w:rPr>
        <w:t>采购文件、响应文件</w:t>
      </w:r>
      <w:r>
        <w:rPr>
          <w:rFonts w:hint="eastAsia" w:ascii="仿宋" w:hAnsi="仿宋" w:eastAsia="仿宋" w:cs="仿宋"/>
          <w:color w:val="auto"/>
          <w:sz w:val="24"/>
          <w:szCs w:val="24"/>
          <w:highlight w:val="none"/>
        </w:rPr>
        <w:t>及本合同所指明的服务内容相一致，确保本项目正常交付使用，并负责后期服务。</w:t>
      </w:r>
    </w:p>
    <w:p w14:paraId="57A20BA8">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2.采购人应按合同约定的付款方式向供应商支付相关费用。</w:t>
      </w:r>
    </w:p>
    <w:p w14:paraId="46C09776">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3.如需乙方提供现场支持服务的，甲方应当尽合理努力为乙方提供办公场所、网络等便利条件。</w:t>
      </w:r>
    </w:p>
    <w:p w14:paraId="3CBB85F6">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4.乙方确认，甲乙双方不建立劳务派遣关系或类似关系，乙方应向其员工承担用人单位的全部责任。乙方应与其员工签署劳动合同，依法缴纳社会保险，对员工承担用人单位的全部法定责任。</w:t>
      </w:r>
    </w:p>
    <w:p w14:paraId="1C40C3FB">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5.甲方不对乙方员工承担任何用人单位或劳务派遣用工单位的责任。无论因任何原因导致甲方向乙方员工或雇员承担任何责任的，甲方有权向乙方追偿。</w:t>
      </w:r>
    </w:p>
    <w:p w14:paraId="29F25926">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6.甲乙双方不构成代理关系，乙方不得以甲方名义对外签署或发布任何文件、制度等。</w:t>
      </w:r>
    </w:p>
    <w:p w14:paraId="72689CBD">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九、验收</w:t>
      </w:r>
    </w:p>
    <w:p w14:paraId="04B10FFC">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（一）项目完工后，</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向</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 xml:space="preserve">提交验收申请。 </w:t>
      </w:r>
    </w:p>
    <w:p w14:paraId="7ABA89AE">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收到验收申请后组织验收，验收时</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应无条件予以配合并提供验收所需的全部资料，若</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不配合或者未按合同要求提供服务的，</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 xml:space="preserve">将拒绝验收。 </w:t>
      </w:r>
    </w:p>
    <w:p w14:paraId="18C23E9C">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（三）验收依据</w:t>
      </w:r>
    </w:p>
    <w:p w14:paraId="4D213BC0">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1、项目考核汇总表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文件、</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文件、澄清表（函）；</w:t>
      </w:r>
    </w:p>
    <w:p w14:paraId="586077FB">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2、本协议及附件文件；</w:t>
      </w:r>
    </w:p>
    <w:p w14:paraId="254CD28D">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3、国家相应的标准、规范。</w:t>
      </w:r>
    </w:p>
    <w:p w14:paraId="0EC6FA82">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bookmarkStart w:id="24" w:name="_Toc2016"/>
      <w:bookmarkStart w:id="25" w:name="_Toc28951"/>
      <w:bookmarkStart w:id="26" w:name="_Toc5502"/>
      <w:bookmarkStart w:id="27" w:name="_Toc10839"/>
      <w:r>
        <w:rPr>
          <w:rFonts w:hint="eastAsia" w:ascii="仿宋" w:hAnsi="仿宋" w:eastAsia="仿宋" w:cs="仿宋"/>
          <w:b/>
          <w:color w:val="auto"/>
          <w:sz w:val="24"/>
          <w:szCs w:val="24"/>
          <w:highlight w:val="none"/>
        </w:rPr>
        <w:t>十、保密</w:t>
      </w:r>
    </w:p>
    <w:p w14:paraId="3958AF17">
      <w:pPr>
        <w:keepNext w:val="0"/>
        <w:keepLines w:val="0"/>
        <w:pageBreakBefore w:val="0"/>
        <w:tabs>
          <w:tab w:val="left" w:pos="1080"/>
        </w:tabs>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对工作中了解到的采购人的技术、机密等进行严格保密，不得向他人泄漏。本合同的解除或终止不免除供应商应承担的保密义务。</w:t>
      </w:r>
    </w:p>
    <w:p w14:paraId="6B5AA4D6">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十一、知识产权</w:t>
      </w:r>
    </w:p>
    <w:p w14:paraId="0DD645F9">
      <w:pPr>
        <w:keepNext w:val="0"/>
        <w:keepLines w:val="0"/>
        <w:pageBreakBefore w:val="0"/>
        <w:tabs>
          <w:tab w:val="left" w:pos="1080"/>
        </w:tabs>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应保证投标服务及货物不会出现因第三方提出侵犯其专利权、商标权或其它知识产权而引发法律或经济纠纷，否则由供应商承担全部责任。任何被供应商用于未经授权的商业目的行为所造成的违约或侵权责任由供应商承但。</w:t>
      </w:r>
    </w:p>
    <w:p w14:paraId="2E4E24E4">
      <w:pPr>
        <w:keepNext w:val="0"/>
        <w:keepLines w:val="0"/>
        <w:pageBreakBefore w:val="0"/>
        <w:tabs>
          <w:tab w:val="left" w:pos="498"/>
        </w:tabs>
        <w:wordWrap/>
        <w:overflowPunct/>
        <w:topLinePunct w:val="0"/>
        <w:bidi w:val="0"/>
        <w:adjustRightInd w:val="0"/>
        <w:snapToGrid w:val="0"/>
        <w:spacing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十二、合同争议的解决</w:t>
      </w:r>
      <w:bookmarkEnd w:id="24"/>
      <w:bookmarkEnd w:id="25"/>
      <w:bookmarkEnd w:id="26"/>
      <w:bookmarkEnd w:id="27"/>
    </w:p>
    <w:p w14:paraId="70D29FC1">
      <w:pPr>
        <w:keepNext w:val="0"/>
        <w:keepLines w:val="0"/>
        <w:pageBreakBefore w:val="0"/>
        <w:tabs>
          <w:tab w:val="left" w:pos="498"/>
        </w:tabs>
        <w:wordWrap/>
        <w:overflowPunct/>
        <w:topLinePunct w:val="0"/>
        <w:bidi w:val="0"/>
        <w:adjustRightInd w:val="0"/>
        <w:snapToGrid w:val="0"/>
        <w:spacing w:line="360" w:lineRule="auto"/>
        <w:ind w:firstLine="480" w:firstLineChars="200"/>
        <w:jc w:val="left"/>
        <w:textAlignment w:val="auto"/>
        <w:rPr>
          <w:rFonts w:hint="eastAsia" w:ascii="仿宋" w:hAnsi="仿宋" w:eastAsia="仿宋" w:cs="仿宋"/>
          <w:color w:val="auto"/>
          <w:sz w:val="24"/>
          <w:szCs w:val="24"/>
          <w:highlight w:val="none"/>
        </w:rPr>
      </w:pPr>
      <w:bookmarkStart w:id="28" w:name="_Toc10407"/>
      <w:bookmarkStart w:id="29" w:name="_Toc23875"/>
      <w:bookmarkStart w:id="30" w:name="_Toc4195"/>
      <w:bookmarkStart w:id="31" w:name="_Toc30951"/>
      <w:r>
        <w:rPr>
          <w:rFonts w:hint="eastAsia" w:ascii="仿宋" w:hAnsi="仿宋" w:eastAsia="仿宋" w:cs="仿宋"/>
          <w:color w:val="auto"/>
          <w:sz w:val="24"/>
          <w:szCs w:val="24"/>
          <w:highlight w:val="none"/>
        </w:rPr>
        <w:t>合同执行中发生争议的，当事人双方应协商解决，协商达不成一致时，可向采购人所在地人民法院提请诉讼。</w:t>
      </w:r>
      <w:bookmarkEnd w:id="28"/>
      <w:bookmarkEnd w:id="29"/>
      <w:bookmarkEnd w:id="30"/>
      <w:bookmarkEnd w:id="31"/>
    </w:p>
    <w:p w14:paraId="591E08BE">
      <w:pPr>
        <w:keepNext w:val="0"/>
        <w:keepLines w:val="0"/>
        <w:pageBreakBefore w:val="0"/>
        <w:tabs>
          <w:tab w:val="left" w:pos="498"/>
        </w:tabs>
        <w:wordWrap/>
        <w:overflowPunct/>
        <w:topLinePunct w:val="0"/>
        <w:bidi w:val="0"/>
        <w:adjustRightInd w:val="0"/>
        <w:snapToGrid w:val="0"/>
        <w:spacing w:line="360" w:lineRule="auto"/>
        <w:ind w:firstLine="482" w:firstLineChars="200"/>
        <w:jc w:val="left"/>
        <w:textAlignment w:val="auto"/>
        <w:rPr>
          <w:rFonts w:hint="eastAsia" w:ascii="仿宋" w:hAnsi="仿宋" w:eastAsia="仿宋" w:cs="仿宋"/>
          <w:b/>
          <w:color w:val="auto"/>
          <w:sz w:val="24"/>
          <w:szCs w:val="24"/>
          <w:highlight w:val="none"/>
        </w:rPr>
      </w:pPr>
      <w:bookmarkStart w:id="32" w:name="_Toc31489"/>
      <w:bookmarkStart w:id="33" w:name="_Toc8978"/>
      <w:bookmarkStart w:id="34" w:name="_Toc9175"/>
      <w:bookmarkStart w:id="35" w:name="_Toc9278"/>
      <w:r>
        <w:rPr>
          <w:rFonts w:hint="eastAsia" w:ascii="仿宋" w:hAnsi="仿宋" w:eastAsia="仿宋" w:cs="仿宋"/>
          <w:b/>
          <w:color w:val="auto"/>
          <w:sz w:val="24"/>
          <w:szCs w:val="24"/>
          <w:highlight w:val="none"/>
        </w:rPr>
        <w:t>十三、不可抗力情况下的免责约定</w:t>
      </w:r>
      <w:bookmarkEnd w:id="32"/>
      <w:bookmarkEnd w:id="33"/>
      <w:bookmarkEnd w:id="34"/>
      <w:bookmarkEnd w:id="35"/>
    </w:p>
    <w:p w14:paraId="0D762007">
      <w:pPr>
        <w:keepNext w:val="0"/>
        <w:keepLines w:val="0"/>
        <w:pageBreakBefore w:val="0"/>
        <w:tabs>
          <w:tab w:val="left" w:pos="498"/>
        </w:tabs>
        <w:wordWrap/>
        <w:overflowPunct/>
        <w:topLinePunct w:val="0"/>
        <w:bidi w:val="0"/>
        <w:adjustRightInd w:val="0"/>
        <w:snapToGrid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双方约定在以下不可抗力情况下互不承担责任，共同协商解决。双方不可预见、不可避免、不可克服的客观情况，但不包括双方的违约或疏忽，这些事件包括但不限于：战争、严重火灾、洪水、台风、地震等。</w:t>
      </w:r>
    </w:p>
    <w:p w14:paraId="3BE09BA1">
      <w:pPr>
        <w:keepNext w:val="0"/>
        <w:keepLines w:val="0"/>
        <w:pageBreakBefore w:val="0"/>
        <w:tabs>
          <w:tab w:val="left" w:pos="498"/>
        </w:tabs>
        <w:wordWrap/>
        <w:overflowPunct/>
        <w:topLinePunct w:val="0"/>
        <w:bidi w:val="0"/>
        <w:adjustRightInd w:val="0"/>
        <w:snapToGrid w:val="0"/>
        <w:spacing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十四、终止合同</w:t>
      </w:r>
    </w:p>
    <w:p w14:paraId="22395A6C">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bookmarkStart w:id="36" w:name="_Toc14819"/>
      <w:bookmarkStart w:id="37" w:name="_Toc5406"/>
      <w:bookmarkStart w:id="38" w:name="_Toc21744"/>
      <w:bookmarkStart w:id="39" w:name="_Toc21549"/>
      <w:r>
        <w:rPr>
          <w:rFonts w:hint="eastAsia" w:ascii="仿宋" w:hAnsi="仿宋" w:eastAsia="仿宋" w:cs="仿宋"/>
          <w:color w:val="auto"/>
          <w:sz w:val="24"/>
          <w:szCs w:val="24"/>
          <w:highlight w:val="none"/>
        </w:rPr>
        <w:t>除本合同约定，合同一经签订，不得擅自变更、中止或者终止合同。对确需变更、调整或者中止、终止合同的，应按规定履行相应的手续。</w:t>
      </w:r>
      <w:bookmarkEnd w:id="36"/>
      <w:bookmarkEnd w:id="37"/>
      <w:bookmarkEnd w:id="38"/>
      <w:bookmarkEnd w:id="39"/>
    </w:p>
    <w:p w14:paraId="642FF6C2">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bookmarkStart w:id="40" w:name="_Toc30688"/>
      <w:bookmarkStart w:id="41" w:name="_Toc9263"/>
      <w:bookmarkStart w:id="42" w:name="_Toc3221"/>
      <w:bookmarkStart w:id="43" w:name="_Toc15052"/>
      <w:r>
        <w:rPr>
          <w:rFonts w:hint="eastAsia" w:ascii="仿宋" w:hAnsi="仿宋" w:eastAsia="仿宋" w:cs="仿宋"/>
          <w:b/>
          <w:color w:val="auto"/>
          <w:sz w:val="24"/>
          <w:szCs w:val="24"/>
          <w:highlight w:val="none"/>
        </w:rPr>
        <w:t>十五、违约责任</w:t>
      </w:r>
      <w:bookmarkEnd w:id="40"/>
      <w:bookmarkEnd w:id="41"/>
      <w:bookmarkEnd w:id="42"/>
      <w:bookmarkEnd w:id="43"/>
    </w:p>
    <w:p w14:paraId="4510ADF9">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bookmarkStart w:id="44" w:name="_Toc11556"/>
      <w:bookmarkStart w:id="45" w:name="_Toc30063"/>
      <w:bookmarkStart w:id="46" w:name="_Toc7557"/>
      <w:bookmarkStart w:id="47" w:name="_Toc22455"/>
      <w:r>
        <w:rPr>
          <w:rFonts w:hint="eastAsia" w:ascii="仿宋" w:hAnsi="仿宋" w:eastAsia="仿宋" w:cs="仿宋"/>
          <w:color w:val="auto"/>
          <w:sz w:val="24"/>
          <w:szCs w:val="24"/>
          <w:highlight w:val="none"/>
        </w:rPr>
        <w:t>1.</w:t>
      </w:r>
      <w:bookmarkEnd w:id="44"/>
      <w:bookmarkEnd w:id="45"/>
      <w:bookmarkEnd w:id="46"/>
      <w:bookmarkEnd w:id="47"/>
      <w:r>
        <w:rPr>
          <w:rFonts w:hint="eastAsia" w:ascii="仿宋" w:hAnsi="仿宋" w:eastAsia="仿宋" w:cs="仿宋"/>
          <w:color w:val="auto"/>
          <w:sz w:val="24"/>
          <w:szCs w:val="24"/>
          <w:highlight w:val="none"/>
        </w:rPr>
        <w:t>按《中华人民共和国民法典》中的相关条款执行。</w:t>
      </w:r>
    </w:p>
    <w:p w14:paraId="485DB039">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成交人未按合同要求提供货物与服务或货物与服务质量不能满足合同要求，且在规定时间内未使采购人满意的，采购人有权在对其支付的货物款项中进行违约扣除，必要时可以终止采购合同并上报同级监管部门。</w:t>
      </w:r>
    </w:p>
    <w:p w14:paraId="400F526D">
      <w:pPr>
        <w:keepNext w:val="0"/>
        <w:keepLines w:val="0"/>
        <w:pageBreakBefore w:val="0"/>
        <w:wordWrap/>
        <w:overflowPunct/>
        <w:topLinePunct w:val="0"/>
        <w:bidi w:val="0"/>
        <w:adjustRightInd w:val="0"/>
        <w:snapToGrid w:val="0"/>
        <w:spacing w:line="360" w:lineRule="auto"/>
        <w:ind w:firstLine="482" w:firstLineChars="200"/>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十六、反商业贿赂</w:t>
      </w:r>
    </w:p>
    <w:p w14:paraId="6B662A71">
      <w:pPr>
        <w:pStyle w:val="7"/>
        <w:keepNext w:val="0"/>
        <w:keepLines w:val="0"/>
        <w:pageBreakBefore w:val="0"/>
        <w:wordWrap/>
        <w:overflowPunct/>
        <w:topLinePunct w:val="0"/>
        <w:bidi w:val="0"/>
        <w:adjustRightInd w:val="0"/>
        <w:snapToGrid w:val="0"/>
        <w:spacing w:before="0" w:beforeLines="0" w:beforeAutospacing="0" w:after="0" w:afterLines="0" w:afterAutospacing="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18B4AE6F">
      <w:pPr>
        <w:keepNext w:val="0"/>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color w:val="auto"/>
          <w:sz w:val="24"/>
          <w:szCs w:val="24"/>
          <w:highlight w:val="none"/>
        </w:rPr>
      </w:pPr>
      <w:bookmarkStart w:id="48" w:name="_Toc30221"/>
      <w:bookmarkStart w:id="49" w:name="_Toc18504"/>
      <w:bookmarkStart w:id="50" w:name="_Toc17133"/>
      <w:bookmarkStart w:id="51" w:name="_Toc22900"/>
      <w:r>
        <w:rPr>
          <w:rFonts w:hint="eastAsia" w:ascii="仿宋" w:hAnsi="仿宋" w:eastAsia="仿宋" w:cs="仿宋"/>
          <w:b/>
          <w:color w:val="auto"/>
          <w:sz w:val="24"/>
          <w:szCs w:val="24"/>
          <w:highlight w:val="none"/>
        </w:rPr>
        <w:t>十七、</w:t>
      </w:r>
      <w:bookmarkEnd w:id="48"/>
      <w:bookmarkEnd w:id="49"/>
      <w:bookmarkEnd w:id="50"/>
      <w:bookmarkEnd w:id="51"/>
      <w:r>
        <w:rPr>
          <w:rFonts w:hint="eastAsia" w:ascii="仿宋" w:hAnsi="仿宋" w:eastAsia="仿宋" w:cs="仿宋"/>
          <w:b/>
          <w:color w:val="auto"/>
          <w:sz w:val="24"/>
          <w:szCs w:val="24"/>
          <w:highlight w:val="none"/>
        </w:rPr>
        <w:t>其他</w:t>
      </w:r>
    </w:p>
    <w:p w14:paraId="03CCDB6B">
      <w:pPr>
        <w:keepNext w:val="0"/>
        <w:keepLines w:val="0"/>
        <w:pageBreakBefore w:val="0"/>
        <w:tabs>
          <w:tab w:val="left" w:pos="980"/>
        </w:tabs>
        <w:kinsoku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份，具有同等法律效力，双方各执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份，监管部门备案壹份、采购代理机构存档壹份。各方签字盖章后生效。</w:t>
      </w:r>
    </w:p>
    <w:p w14:paraId="46156FFF">
      <w:pPr>
        <w:pStyle w:val="4"/>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p>
    <w:p w14:paraId="4FC6DCFA">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采购人（甲方）：</w:t>
      </w:r>
      <w:r>
        <w:rPr>
          <w:rFonts w:hint="eastAsia" w:ascii="仿宋" w:hAnsi="仿宋" w:eastAsia="仿宋" w:cs="仿宋"/>
          <w:color w:val="auto"/>
          <w:sz w:val="24"/>
          <w:szCs w:val="24"/>
          <w:highlight w:val="none"/>
          <w:u w:val="single"/>
        </w:rPr>
        <w:t xml:space="preserve">   （盖章） </w:t>
      </w:r>
      <w:r>
        <w:rPr>
          <w:rFonts w:hint="eastAsia" w:ascii="仿宋" w:hAnsi="仿宋" w:eastAsia="仿宋" w:cs="仿宋"/>
          <w:color w:val="auto"/>
          <w:sz w:val="24"/>
          <w:szCs w:val="24"/>
          <w:highlight w:val="none"/>
        </w:rPr>
        <w:t xml:space="preserve">        供应商（乙方）：</w:t>
      </w:r>
      <w:r>
        <w:rPr>
          <w:rFonts w:hint="eastAsia" w:ascii="仿宋" w:hAnsi="仿宋" w:eastAsia="仿宋" w:cs="仿宋"/>
          <w:color w:val="auto"/>
          <w:sz w:val="24"/>
          <w:szCs w:val="24"/>
          <w:highlight w:val="none"/>
          <w:u w:val="single"/>
        </w:rPr>
        <w:t xml:space="preserve">   （盖章）         </w:t>
      </w:r>
    </w:p>
    <w:p w14:paraId="534D1401">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57BE7F8B">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法定代表人或                        法定代表人或</w:t>
      </w:r>
    </w:p>
    <w:p w14:paraId="3B51445F">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其授权的代理人                      其授权的代理人</w:t>
      </w:r>
    </w:p>
    <w:p w14:paraId="71F9B440">
      <w:pPr>
        <w:keepNext w:val="0"/>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（签字或盖章）：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（签字或盖章）：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38053573">
      <w:pPr>
        <w:pStyle w:val="16"/>
        <w:ind w:firstLine="480" w:firstLineChars="200"/>
        <w:rPr>
          <w:color w:val="auto"/>
          <w:sz w:val="24"/>
          <w:szCs w:val="24"/>
          <w:highlight w:val="none"/>
        </w:rPr>
      </w:pPr>
      <w:r>
        <w:rPr>
          <w:rFonts w:hint="eastAsia" w:ascii="仿宋" w:hAnsi="仿宋" w:eastAsia="仿宋" w:cs="仿宋"/>
          <w:color w:val="auto"/>
          <w:sz w:val="24"/>
          <w:szCs w:val="24"/>
          <w:highlight w:val="none"/>
        </w:rPr>
        <w:t xml:space="preserve">订立时间：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          订立时间：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日 </w:t>
      </w:r>
    </w:p>
    <w:p w14:paraId="0F31E85C">
      <w:pPr>
        <w:pStyle w:val="16"/>
        <w:rPr>
          <w:rFonts w:ascii="仿宋_GB2312" w:hAnsi="仿宋_GB2312" w:eastAsia="仿宋_GB2312" w:cs="仿宋_GB2312"/>
          <w:color w:val="auto"/>
          <w:highlight w:val="none"/>
        </w:rPr>
      </w:pPr>
      <w:r>
        <w:rPr>
          <w:rFonts w:ascii="仿宋_GB2312" w:hAnsi="仿宋_GB2312" w:eastAsia="仿宋_GB2312" w:cs="仿宋_GB2312"/>
          <w:color w:val="auto"/>
          <w:highlight w:val="none"/>
        </w:rPr>
        <w:t xml:space="preserve"> </w:t>
      </w:r>
      <w:r>
        <w:rPr>
          <w:rFonts w:ascii="仿宋_GB2312" w:hAnsi="仿宋_GB2312" w:eastAsia="仿宋_GB2312" w:cs="仿宋_GB2312"/>
          <w:color w:val="auto"/>
          <w:highlight w:val="none"/>
        </w:rPr>
        <w:br w:type="textWrapping"/>
      </w:r>
    </w:p>
    <w:p w14:paraId="085824FC">
      <w:pPr>
        <w:rPr>
          <w:rFonts w:hint="eastAsia" w:ascii="仿宋_GB2312" w:hAnsi="仿宋_GB2312" w:eastAsia="仿宋_GB2312" w:cs="仿宋_GB2312"/>
          <w:color w:val="auto"/>
          <w:sz w:val="24"/>
          <w:szCs w:val="24"/>
          <w:highlight w:val="none"/>
          <w:lang w:val="en-US" w:eastAsia="zh-CN"/>
        </w:rPr>
      </w:pPr>
    </w:p>
    <w:p w14:paraId="04C8C6C8">
      <w:pPr>
        <w:pStyle w:val="4"/>
        <w:rPr>
          <w:rFonts w:hint="default"/>
          <w:lang w:val="en-US" w:eastAsia="zh-CN"/>
        </w:rPr>
      </w:pPr>
      <w:bookmarkStart w:id="52" w:name="_GoBack"/>
      <w:bookmarkEnd w:id="52"/>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1C3A7">
    <w:pPr>
      <w:pStyle w:val="6"/>
      <w:jc w:val="center"/>
      <w:rPr>
        <w:rFonts w:ascii="宋体"/>
        <w:sz w:val="21"/>
        <w:szCs w:val="21"/>
      </w:rPr>
    </w:pPr>
    <w:r>
      <w:rPr>
        <w:rFonts w:hint="eastAsia" w:ascii="宋体" w:hAnsi="宋体" w:cs="宋体"/>
        <w:kern w:val="0"/>
        <w:sz w:val="21"/>
        <w:szCs w:val="21"/>
      </w:rPr>
      <w:t>第</w:t>
    </w:r>
    <w:r>
      <w:rPr>
        <w:rFonts w:ascii="宋体" w:hAnsi="宋体" w:cs="宋体"/>
        <w:kern w:val="0"/>
        <w:sz w:val="21"/>
        <w:szCs w:val="21"/>
      </w:rPr>
      <w:t xml:space="preserve"> </w:t>
    </w:r>
    <w:r>
      <w:rPr>
        <w:rFonts w:ascii="宋体" w:hAnsi="宋体" w:cs="宋体"/>
        <w:kern w:val="0"/>
        <w:sz w:val="21"/>
        <w:szCs w:val="21"/>
      </w:rPr>
      <w:fldChar w:fldCharType="begin"/>
    </w:r>
    <w:r>
      <w:rPr>
        <w:rFonts w:ascii="宋体" w:hAnsi="宋体" w:cs="宋体"/>
        <w:kern w:val="0"/>
        <w:sz w:val="21"/>
        <w:szCs w:val="21"/>
      </w:rPr>
      <w:instrText xml:space="preserve"> PAGE </w:instrText>
    </w:r>
    <w:r>
      <w:rPr>
        <w:rFonts w:ascii="宋体" w:hAnsi="宋体" w:cs="宋体"/>
        <w:kern w:val="0"/>
        <w:sz w:val="21"/>
        <w:szCs w:val="21"/>
      </w:rPr>
      <w:fldChar w:fldCharType="separate"/>
    </w:r>
    <w:r>
      <w:rPr>
        <w:rFonts w:ascii="宋体" w:hAnsi="宋体" w:cs="宋体"/>
        <w:kern w:val="0"/>
        <w:sz w:val="21"/>
        <w:szCs w:val="21"/>
      </w:rPr>
      <w:t>68</w:t>
    </w:r>
    <w:r>
      <w:rPr>
        <w:rFonts w:ascii="宋体" w:hAnsi="宋体" w:cs="宋体"/>
        <w:kern w:val="0"/>
        <w:sz w:val="21"/>
        <w:szCs w:val="21"/>
      </w:rPr>
      <w:fldChar w:fldCharType="end"/>
    </w:r>
    <w:r>
      <w:rPr>
        <w:rFonts w:ascii="宋体" w:hAnsi="宋体" w:cs="宋体"/>
        <w:kern w:val="0"/>
        <w:sz w:val="21"/>
        <w:szCs w:val="21"/>
      </w:rPr>
      <w:t xml:space="preserve"> </w:t>
    </w:r>
    <w:r>
      <w:rPr>
        <w:rFonts w:hint="eastAsia" w:ascii="宋体" w:hAnsi="宋体" w:cs="宋体"/>
        <w:kern w:val="0"/>
        <w:sz w:val="21"/>
        <w:szCs w:val="21"/>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BE2DF7"/>
    <w:rsid w:val="4D6A06BC"/>
    <w:rsid w:val="522D0AC2"/>
    <w:rsid w:val="64307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99"/>
    <w:pPr>
      <w:ind w:firstLine="420"/>
    </w:pPr>
    <w:rPr>
      <w:szCs w:val="20"/>
    </w:r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next w:val="1"/>
    <w:semiHidden/>
    <w:qFormat/>
    <w:uiPriority w:val="0"/>
    <w:rPr>
      <w:rFonts w:ascii="仿宋" w:hAnsi="仿宋" w:eastAsia="仿宋" w:cs="仿宋"/>
      <w:sz w:val="31"/>
      <w:szCs w:val="31"/>
      <w:lang w:eastAsia="en-US"/>
    </w:rPr>
  </w:style>
  <w:style w:type="paragraph" w:styleId="5">
    <w:name w:val="Body Text Indent"/>
    <w:basedOn w:val="1"/>
    <w:next w:val="1"/>
    <w:qFormat/>
    <w:uiPriority w:val="0"/>
    <w:pPr>
      <w:tabs>
        <w:tab w:val="left" w:pos="8640"/>
      </w:tabs>
      <w:ind w:firstLine="420"/>
    </w:pPr>
    <w:rPr>
      <w:rFonts w:ascii="楷体_GB2312" w:eastAsia="楷体_GB2312"/>
      <w:color w:val="000000"/>
      <w:sz w:val="28"/>
    </w:rPr>
  </w:style>
  <w:style w:type="paragraph" w:styleId="6">
    <w:name w:val="footer"/>
    <w:basedOn w:val="1"/>
    <w:next w:val="1"/>
    <w:qFormat/>
    <w:uiPriority w:val="99"/>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paragraph" w:styleId="8">
    <w:name w:val="Body Text First Indent"/>
    <w:basedOn w:val="4"/>
    <w:unhideWhenUsed/>
    <w:qFormat/>
    <w:uiPriority w:val="0"/>
    <w:pPr>
      <w:ind w:firstLine="420" w:firstLineChars="100"/>
    </w:pPr>
    <w:rPr>
      <w:rFonts w:ascii="Calibri" w:hAnsi="Calibri"/>
      <w:sz w:val="18"/>
      <w:szCs w:val="18"/>
    </w:rPr>
  </w:style>
  <w:style w:type="paragraph" w:styleId="9">
    <w:name w:val="Body Text First Indent 2"/>
    <w:basedOn w:val="5"/>
    <w:next w:val="1"/>
    <w:qFormat/>
    <w:uiPriority w:val="0"/>
    <w:pPr>
      <w:ind w:firstLine="20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_Style 2"/>
    <w:basedOn w:val="1"/>
    <w:qFormat/>
    <w:uiPriority w:val="99"/>
    <w:pPr>
      <w:ind w:firstLine="420" w:firstLineChars="200"/>
    </w:pPr>
    <w:rPr>
      <w:szCs w:val="24"/>
    </w:rPr>
  </w:style>
  <w:style w:type="paragraph" w:customStyle="1" w:styleId="14">
    <w:name w:val="列出段落1"/>
    <w:basedOn w:val="1"/>
    <w:qFormat/>
    <w:uiPriority w:val="34"/>
    <w:pPr>
      <w:ind w:firstLine="420" w:firstLineChars="200"/>
    </w:pPr>
  </w:style>
  <w:style w:type="paragraph" w:styleId="15">
    <w:name w:val="List Paragraph"/>
    <w:basedOn w:val="1"/>
    <w:qFormat/>
    <w:uiPriority w:val="34"/>
    <w:pPr>
      <w:ind w:firstLine="420" w:firstLineChars="200"/>
    </w:pPr>
  </w:style>
  <w:style w:type="paragraph" w:customStyle="1" w:styleId="16">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1264</Words>
  <Characters>1275</Characters>
  <Lines>0</Lines>
  <Paragraphs>0</Paragraphs>
  <TotalTime>0</TotalTime>
  <ScaleCrop>false</ScaleCrop>
  <LinksUpToDate>false</LinksUpToDate>
  <CharactersWithSpaces>1887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2025-06-13T09:15:00Z</dcterms:created>
  <dc:creator>DELL</dc:creator>
  <cp:lastModifiedBy>To  encounter</cp:lastModifiedBy>
  <dcterms:modified xsi:type="dcterms:W3CDTF">2025-07-21T08:00:14Z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eyJoZGlkIjoiNmJkNmEwODUxZTlhY2U2ZTM0OTI0ZDY1ZmQzYTAyZjYiLCJ1c2VySWQiOiIxMTk3NzI3MDgzIn0=</vt:lpwstr>
  </property>
  <property fmtid="{D5CDD505-2E9C-101B-9397-08002B2CF9AE}" pid="4" name="ICV">
    <vt:lpwstr>2A7B3C8737ED4C52AF842FA872DEABAC_12</vt:lpwstr>
  </property>
</Properties>
</file>