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版本号：ZC2025-FW-11520250722001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秦创原创新能力提升</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ZC2025-FW-115</w:t>
      </w:r>
      <w:r>
        <w:br/>
      </w:r>
      <w:r>
        <w:br/>
      </w:r>
      <w:r>
        <w:br/>
      </w:r>
    </w:p>
    <w:p>
      <w:pPr>
        <w:pStyle w:val="null3"/>
        <w:jc w:val="center"/>
        <w:outlineLvl w:val="2"/>
      </w:pPr>
      <w:r>
        <w:rPr>
          <w:rFonts w:ascii="仿宋_GB2312" w:hAnsi="仿宋_GB2312" w:cs="仿宋_GB2312" w:eastAsia="仿宋_GB2312"/>
          <w:sz w:val="28"/>
          <w:b/>
        </w:rPr>
        <w:t>陕西省科技资源统筹中心</w:t>
      </w:r>
    </w:p>
    <w:p>
      <w:pPr>
        <w:pStyle w:val="null3"/>
        <w:jc w:val="center"/>
        <w:outlineLvl w:val="2"/>
      </w:pPr>
      <w:r>
        <w:rPr>
          <w:rFonts w:ascii="仿宋_GB2312" w:hAnsi="仿宋_GB2312" w:cs="仿宋_GB2312" w:eastAsia="仿宋_GB2312"/>
          <w:sz w:val="28"/>
          <w:b/>
        </w:rPr>
        <w:t>陕西中采项目管理有限公司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陕西中采项目管理有限公司</w:t>
      </w:r>
      <w:r>
        <w:rPr>
          <w:rFonts w:ascii="仿宋_GB2312" w:hAnsi="仿宋_GB2312" w:cs="仿宋_GB2312" w:eastAsia="仿宋_GB2312"/>
        </w:rPr>
        <w:t>（以下简称“代理机构”）受</w:t>
      </w:r>
      <w:r>
        <w:rPr>
          <w:rFonts w:ascii="仿宋_GB2312" w:hAnsi="仿宋_GB2312" w:cs="仿宋_GB2312" w:eastAsia="仿宋_GB2312"/>
        </w:rPr>
        <w:t>陕西省科技资源统筹中心</w:t>
      </w:r>
      <w:r>
        <w:rPr>
          <w:rFonts w:ascii="仿宋_GB2312" w:hAnsi="仿宋_GB2312" w:cs="仿宋_GB2312" w:eastAsia="仿宋_GB2312"/>
        </w:rPr>
        <w:t>委托，拟对</w:t>
      </w:r>
      <w:r>
        <w:rPr>
          <w:rFonts w:ascii="仿宋_GB2312" w:hAnsi="仿宋_GB2312" w:cs="仿宋_GB2312" w:eastAsia="仿宋_GB2312"/>
        </w:rPr>
        <w:t>秦创原创新能力提升</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ZC2025-FW-115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秦创原创新能力提升</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实地调研走访，了解高校院所成果转化项目实际进展，包括但不限于已转化成果的数量、经济效益、企业落地情况、投融资数据及面临的技术瓶颈等；实地查看企业生产车间、高校实验室，直观感受成果转化条件与环境，一方面对现有的项目信息进行核实，另一方面掌握政府、投资机构和企业、项目在成果对接中的需求与痛点，收集政策建议。同时，联合科研处（院）不断完善现有路演项目筛选机制，广泛收集各方对路演活动的改进建议，对科技成果转化“三项改革”政策进行深度宣贯，围绕“十条措施”、“新20条”帮助项目了解政策、熟悉政策、用好政策。按照以上政策文件要求,组织高校院所系列“三项改革”路演不少于 30 场次。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采购包1（秦创原创新能力提升）：属于专门面向小微企业采购。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其他主体证明资料：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p>
      <w:pPr>
        <w:pStyle w:val="null3"/>
      </w:pPr>
      <w:r>
        <w:rPr>
          <w:rFonts w:ascii="仿宋_GB2312" w:hAnsi="仿宋_GB2312" w:cs="仿宋_GB2312" w:eastAsia="仿宋_GB2312"/>
        </w:rPr>
        <w:t>2、信用证明：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p>
      <w:pPr>
        <w:pStyle w:val="null3"/>
      </w:pPr>
      <w:r>
        <w:rPr>
          <w:rFonts w:ascii="仿宋_GB2312" w:hAnsi="仿宋_GB2312" w:cs="仿宋_GB2312" w:eastAsia="仿宋_GB2312"/>
        </w:rPr>
        <w:t>3、联合体磋商：本项目不接受联合体磋商（注：以响应文件中提供的非联合体磋商的声明为准）。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陕西省科技资源统筹中心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西安市丈八五路10号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029-88857938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西安市高新区高新三路9号新时代大厦西四楼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毛鑫、张艳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029-88856058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开户名称：陕西中采项目管理有限公司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银行账号：129911536210906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规定的服务类标准收取，不足5000.00元按5000.00元收取。由成交供应商在领取成交通知书之前一次性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陕西省科技资源统筹中心</w:t>
      </w:r>
      <w:r>
        <w:rPr>
          <w:rFonts w:ascii="仿宋_GB2312" w:hAnsi="仿宋_GB2312" w:cs="仿宋_GB2312" w:eastAsia="仿宋_GB2312"/>
        </w:rPr>
        <w:t>和</w:t>
      </w:r>
      <w:r>
        <w:rPr>
          <w:rFonts w:ascii="仿宋_GB2312" w:hAnsi="仿宋_GB2312" w:cs="仿宋_GB2312" w:eastAsia="仿宋_GB2312"/>
        </w:rPr>
        <w:t>陕西中采项目管理有限公司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陕西省科技资源统筹中心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陕西省科技资源统筹中心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符合国家及行业质量验收合格标准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联系人：毛鑫、张艳</w:t>
      </w:r>
    </w:p>
    <w:p>
      <w:pPr>
        <w:pStyle w:val="null3"/>
      </w:pPr>
      <w:r>
        <w:rPr>
          <w:rFonts w:ascii="仿宋_GB2312" w:hAnsi="仿宋_GB2312" w:cs="仿宋_GB2312" w:eastAsia="仿宋_GB2312"/>
        </w:rPr>
        <w:t>联系电话：029-88856058</w:t>
      </w:r>
    </w:p>
    <w:p>
      <w:pPr>
        <w:pStyle w:val="null3"/>
      </w:pPr>
      <w:r>
        <w:rPr>
          <w:rFonts w:ascii="仿宋_GB2312" w:hAnsi="仿宋_GB2312" w:cs="仿宋_GB2312" w:eastAsia="仿宋_GB2312"/>
        </w:rPr>
        <w:t>地址：西安市高新区高新三路9号新时代大厦西四楼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实地调研走访，了解高校院所成果转化项目实际进展，包括但不限于已转化成果的数量、经济效益、企业落地情况、投融资数据及面临的技术瓶颈等；实地查看企业生产车间、高校实验室，直观感受成果转化条件与环境，一方面对现有的项目信息进行核实，另一方面掌握政府、投资机构和企业、项目在成果对接中的需求与痛点，收集政策建议。同时，联合科研处（院）不断完善现有路演项目筛选机制，广泛收集各方对路演活动的改进建议，对科技成果转化“三项改革”政策进行深度宣贯，围绕“十条措施”、“新20条”帮助项目了解政策、熟悉政策、用好政策。按照以上政策文件要求,组织高校院所系列“三项改革”路演不少于 30 场次。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科技成果转化与推广服务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标的名称：科技成果转化与推广服务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FF"/>
              </w:rPr>
              <w:t>一、</w:t>
            </w:r>
            <w:r>
              <w:rPr>
                <w:rFonts w:ascii="仿宋_GB2312" w:hAnsi="仿宋_GB2312" w:cs="仿宋_GB2312" w:eastAsia="仿宋_GB2312"/>
                <w:sz w:val="21"/>
                <w:color w:val="0000FF"/>
              </w:rPr>
              <w:t>采购内容及要求</w:t>
            </w:r>
          </w:p>
          <w:p>
            <w:pPr>
              <w:pStyle w:val="null3"/>
              <w:jc w:val="both"/>
            </w:pPr>
            <w:r>
              <w:rPr>
                <w:rFonts w:ascii="仿宋_GB2312" w:hAnsi="仿宋_GB2312" w:cs="仿宋_GB2312" w:eastAsia="仿宋_GB2312"/>
                <w:sz w:val="21"/>
                <w:color w:val="0000FF"/>
              </w:rPr>
              <w:t>1、</w:t>
            </w:r>
            <w:r>
              <w:rPr>
                <w:rFonts w:ascii="仿宋_GB2312" w:hAnsi="仿宋_GB2312" w:cs="仿宋_GB2312" w:eastAsia="仿宋_GB2312"/>
                <w:sz w:val="21"/>
                <w:color w:val="0000FF"/>
              </w:rPr>
              <w:t>开展科技成果转化</w:t>
            </w:r>
            <w:r>
              <w:rPr>
                <w:rFonts w:ascii="仿宋_GB2312" w:hAnsi="仿宋_GB2312" w:cs="仿宋_GB2312" w:eastAsia="仿宋_GB2312"/>
                <w:sz w:val="21"/>
                <w:color w:val="0000FF"/>
              </w:rPr>
              <w:t>“三项改革”系列路演项目实地调研走访</w:t>
            </w:r>
          </w:p>
          <w:p>
            <w:pPr>
              <w:pStyle w:val="null3"/>
              <w:ind w:firstLine="420"/>
              <w:jc w:val="both"/>
            </w:pPr>
            <w:r>
              <w:rPr>
                <w:rFonts w:ascii="仿宋_GB2312" w:hAnsi="仿宋_GB2312" w:cs="仿宋_GB2312" w:eastAsia="仿宋_GB2312"/>
                <w:sz w:val="21"/>
                <w:color w:val="0000FF"/>
              </w:rPr>
              <w:t>通过实地调研走访，了解高校院所成果转化项目实际进展，包括但不限于已转化成果的数量、经济效益、企业落地情况、投融资数据及面临的技术瓶颈等；实地查看企业生产车间、高校实验室，直观感受成果转化条件与环境，一方面对现有的项目信息进行核实，另一方面掌握政府、投资机构和企业、项目在成果对接中的需求与痛点，收集政策建议。同时，联合科研处（院）不断完善现有路演项目筛选机制，广泛收集各方对路演活动的改进建议，对科技成果转化</w:t>
            </w:r>
            <w:r>
              <w:rPr>
                <w:rFonts w:ascii="仿宋_GB2312" w:hAnsi="仿宋_GB2312" w:cs="仿宋_GB2312" w:eastAsia="仿宋_GB2312"/>
                <w:sz w:val="21"/>
                <w:color w:val="0000FF"/>
              </w:rPr>
              <w:t>“三项改革”政策进行深度宣贯，围绕“十条措施”、“新20条”帮助项目了解政策、熟悉政策、用好政策。</w:t>
            </w:r>
          </w:p>
          <w:p>
            <w:pPr>
              <w:pStyle w:val="null3"/>
              <w:jc w:val="both"/>
            </w:pPr>
            <w:r>
              <w:rPr>
                <w:rFonts w:ascii="仿宋_GB2312" w:hAnsi="仿宋_GB2312" w:cs="仿宋_GB2312" w:eastAsia="仿宋_GB2312"/>
                <w:sz w:val="21"/>
                <w:color w:val="0000FF"/>
              </w:rPr>
              <w:t>2、</w:t>
            </w:r>
            <w:r>
              <w:rPr>
                <w:rFonts w:ascii="仿宋_GB2312" w:hAnsi="仿宋_GB2312" w:cs="仿宋_GB2312" w:eastAsia="仿宋_GB2312"/>
                <w:sz w:val="21"/>
                <w:color w:val="0000FF"/>
              </w:rPr>
              <w:t>组织实施科技成果转化</w:t>
            </w:r>
            <w:r>
              <w:rPr>
                <w:rFonts w:ascii="仿宋_GB2312" w:hAnsi="仿宋_GB2312" w:cs="仿宋_GB2312" w:eastAsia="仿宋_GB2312"/>
                <w:sz w:val="21"/>
                <w:color w:val="0000FF"/>
              </w:rPr>
              <w:t>“三项改革”系列路演活动</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2025年度组织“三项改革”系列路演活动30场，重点围绕全省高等学校、科研院所等科研单位优秀科技成果资源供给，搭建创新成果与金融资本对接平台，吸引创投机构、创投基金深度参与，评价并推荐有转化潜力的优质科技成果，促进科技成果转移转化。通过专业的组织执行，为秦创原汇聚创新资源、营造创新氛围、激发创新活力，全面提升其在科技创新领域的竞争力与影响力，助力秦创原成为引领区域创新发展的新高地。</w:t>
            </w:r>
          </w:p>
          <w:p>
            <w:pPr>
              <w:pStyle w:val="null3"/>
              <w:ind w:firstLine="420"/>
              <w:jc w:val="both"/>
            </w:pPr>
            <w:r>
              <w:rPr>
                <w:rFonts w:ascii="仿宋_GB2312" w:hAnsi="仿宋_GB2312" w:cs="仿宋_GB2312" w:eastAsia="仿宋_GB2312"/>
                <w:sz w:val="21"/>
                <w:color w:val="0000FF"/>
              </w:rPr>
              <w:t>（</w:t>
            </w:r>
            <w:r>
              <w:rPr>
                <w:rFonts w:ascii="仿宋_GB2312" w:hAnsi="仿宋_GB2312" w:cs="仿宋_GB2312" w:eastAsia="仿宋_GB2312"/>
                <w:sz w:val="21"/>
                <w:color w:val="0000FF"/>
              </w:rPr>
              <w:t>2</w:t>
            </w:r>
            <w:r>
              <w:rPr>
                <w:rFonts w:ascii="仿宋_GB2312" w:hAnsi="仿宋_GB2312" w:cs="仿宋_GB2312" w:eastAsia="仿宋_GB2312"/>
                <w:sz w:val="21"/>
                <w:color w:val="0000FF"/>
              </w:rPr>
              <w:t>）成立由技术专家、行业领军人物、投资机构代表、政府相关部门人员组成的专业评审委员会，构建科学严谨的科技成果筛选评价体系，从技术创新性、市场前景、产业化可行性、团队实力等多个维度对成果进行量化评分与综合评估，为政府、投资者和企业推荐具有高转化潜力的优质项目。根据评审结果形成优质科技成果</w:t>
            </w:r>
            <w:r>
              <w:rPr>
                <w:rFonts w:ascii="仿宋_GB2312" w:hAnsi="仿宋_GB2312" w:cs="仿宋_GB2312" w:eastAsia="仿宋_GB2312"/>
                <w:sz w:val="21"/>
                <w:color w:val="0000FF"/>
              </w:rPr>
              <w:t>数据库</w:t>
            </w:r>
            <w:r>
              <w:rPr>
                <w:rFonts w:ascii="仿宋_GB2312" w:hAnsi="仿宋_GB2312" w:cs="仿宋_GB2312" w:eastAsia="仿宋_GB2312"/>
                <w:sz w:val="21"/>
                <w:color w:val="0000FF"/>
              </w:rPr>
              <w:t>，为政府制定产业政策、投资者选择投资项目、企业寻求技术合作提供客观、准确、专业的参考依据，加速科技成果向现实生产力转化，促进科技与经济深度融合。</w:t>
            </w:r>
          </w:p>
          <w:p>
            <w:pPr>
              <w:pStyle w:val="null3"/>
              <w:jc w:val="both"/>
            </w:pPr>
            <w:r>
              <w:rPr>
                <w:rFonts w:ascii="仿宋_GB2312" w:hAnsi="仿宋_GB2312" w:cs="仿宋_GB2312" w:eastAsia="仿宋_GB2312"/>
                <w:sz w:val="21"/>
                <w:color w:val="0000FF"/>
              </w:rPr>
              <w:t>3、</w:t>
            </w:r>
            <w:r>
              <w:rPr>
                <w:rFonts w:ascii="仿宋_GB2312" w:hAnsi="仿宋_GB2312" w:cs="仿宋_GB2312" w:eastAsia="仿宋_GB2312"/>
                <w:sz w:val="21"/>
                <w:color w:val="0000FF"/>
              </w:rPr>
              <w:t>加强合作，</w:t>
            </w:r>
            <w:r>
              <w:rPr>
                <w:rFonts w:ascii="仿宋_GB2312" w:hAnsi="仿宋_GB2312" w:cs="仿宋_GB2312" w:eastAsia="仿宋_GB2312"/>
                <w:sz w:val="21"/>
                <w:color w:val="0000FF"/>
              </w:rPr>
              <w:t>形成科技资源合作关系网络</w:t>
            </w:r>
          </w:p>
          <w:p>
            <w:pPr>
              <w:pStyle w:val="null3"/>
              <w:ind w:firstLine="420"/>
              <w:jc w:val="both"/>
            </w:pPr>
            <w:r>
              <w:rPr>
                <w:rFonts w:ascii="仿宋_GB2312" w:hAnsi="仿宋_GB2312" w:cs="仿宋_GB2312" w:eastAsia="仿宋_GB2312"/>
                <w:sz w:val="21"/>
                <w:color w:val="0000FF"/>
              </w:rPr>
              <w:t>路演前期、中期、后期能够持续开展科技成果转化服务，</w:t>
            </w:r>
            <w:r>
              <w:rPr>
                <w:rFonts w:ascii="仿宋_GB2312" w:hAnsi="仿宋_GB2312" w:cs="仿宋_GB2312" w:eastAsia="仿宋_GB2312"/>
                <w:sz w:val="21"/>
                <w:color w:val="0000FF"/>
              </w:rPr>
              <w:t>为高校科研团队与企业、</w:t>
            </w:r>
            <w:r>
              <w:rPr>
                <w:rFonts w:ascii="仿宋_GB2312" w:hAnsi="仿宋_GB2312" w:cs="仿宋_GB2312" w:eastAsia="仿宋_GB2312"/>
                <w:sz w:val="21"/>
                <w:color w:val="0000FF"/>
              </w:rPr>
              <w:t>机构</w:t>
            </w:r>
            <w:r>
              <w:rPr>
                <w:rFonts w:ascii="仿宋_GB2312" w:hAnsi="仿宋_GB2312" w:cs="仿宋_GB2312" w:eastAsia="仿宋_GB2312"/>
                <w:sz w:val="21"/>
                <w:color w:val="0000FF"/>
              </w:rPr>
              <w:t>搭建交流合作平台，推动高校科技成果与企业实际需求精准匹配，促成一批技术开发、技术转让、共建研发平台等合作项目签约落地。同时，建立常态化的沟通协调机制，定期组织开展技术交流、</w:t>
            </w:r>
            <w:r>
              <w:rPr>
                <w:rFonts w:ascii="仿宋_GB2312" w:hAnsi="仿宋_GB2312" w:cs="仿宋_GB2312" w:eastAsia="仿宋_GB2312"/>
                <w:sz w:val="21"/>
                <w:color w:val="0000FF"/>
              </w:rPr>
              <w:t>投融资对接、</w:t>
            </w:r>
            <w:r>
              <w:rPr>
                <w:rFonts w:ascii="仿宋_GB2312" w:hAnsi="仿宋_GB2312" w:cs="仿宋_GB2312" w:eastAsia="仿宋_GB2312"/>
                <w:sz w:val="21"/>
                <w:color w:val="0000FF"/>
              </w:rPr>
              <w:t>项目联合攻关等活动，持续加强合作。此外，依托活动成果，打造科技资源共享服务平台，整合高校科研资源、企业市场资源、产业政策资源等，实现资源的互通共享与优化配置，逐步构建起一个层次分明、功能完善、协同高效的科技资源合作关系网络，为区域科技创新与产业发展提供坚实的资源支撑与合作保障。</w:t>
            </w:r>
          </w:p>
          <w:p>
            <w:pPr>
              <w:pStyle w:val="null3"/>
            </w:pPr>
            <w:r>
              <w:rPr>
                <w:rFonts w:ascii="仿宋_GB2312" w:hAnsi="仿宋_GB2312" w:cs="仿宋_GB2312" w:eastAsia="仿宋_GB2312"/>
                <w:sz w:val="21"/>
                <w:b/>
                <w:color w:val="0000FF"/>
              </w:rPr>
              <w:t>二、</w:t>
            </w:r>
            <w:r>
              <w:rPr>
                <w:rFonts w:ascii="仿宋_GB2312" w:hAnsi="仿宋_GB2312" w:cs="仿宋_GB2312" w:eastAsia="仿宋_GB2312"/>
                <w:sz w:val="21"/>
                <w:b/>
                <w:color w:val="0000FF"/>
              </w:rPr>
              <w:t>商务要求</w:t>
            </w:r>
          </w:p>
          <w:p>
            <w:pPr>
              <w:pStyle w:val="null3"/>
              <w:ind w:firstLine="420"/>
            </w:pPr>
            <w:r>
              <w:rPr>
                <w:rFonts w:ascii="仿宋_GB2312" w:hAnsi="仿宋_GB2312" w:cs="仿宋_GB2312" w:eastAsia="仿宋_GB2312"/>
                <w:sz w:val="21"/>
                <w:color w:val="0000FF"/>
              </w:rPr>
              <w:t>1</w:t>
            </w:r>
            <w:r>
              <w:rPr>
                <w:rFonts w:ascii="仿宋_GB2312" w:hAnsi="仿宋_GB2312" w:cs="仿宋_GB2312" w:eastAsia="仿宋_GB2312"/>
                <w:sz w:val="21"/>
                <w:color w:val="0000FF"/>
              </w:rPr>
              <w:t>、</w:t>
            </w:r>
            <w:r>
              <w:rPr>
                <w:rFonts w:ascii="仿宋_GB2312" w:hAnsi="仿宋_GB2312" w:cs="仿宋_GB2312" w:eastAsia="仿宋_GB2312"/>
                <w:sz w:val="21"/>
                <w:color w:val="0000FF"/>
              </w:rPr>
              <w:t>付款方式：</w:t>
            </w:r>
            <w:r>
              <w:rPr>
                <w:rFonts w:ascii="仿宋_GB2312" w:hAnsi="仿宋_GB2312" w:cs="仿宋_GB2312" w:eastAsia="仿宋_GB2312"/>
                <w:sz w:val="21"/>
                <w:color w:val="0000FF"/>
              </w:rPr>
              <w:t>合同签订后，甲方向乙方支付合同总金额的</w:t>
            </w:r>
            <w:r>
              <w:rPr>
                <w:rFonts w:ascii="仿宋_GB2312" w:hAnsi="仿宋_GB2312" w:cs="仿宋_GB2312" w:eastAsia="仿宋_GB2312"/>
                <w:sz w:val="21"/>
                <w:color w:val="0000FF"/>
              </w:rPr>
              <w:t>70%</w:t>
            </w:r>
            <w:r>
              <w:rPr>
                <w:rFonts w:ascii="仿宋_GB2312" w:hAnsi="仿宋_GB2312" w:cs="仿宋_GB2312" w:eastAsia="仿宋_GB2312"/>
                <w:sz w:val="21"/>
                <w:color w:val="0000FF"/>
              </w:rPr>
              <w:t>价款作为预付款；</w:t>
            </w:r>
            <w:r>
              <w:rPr>
                <w:rFonts w:ascii="仿宋_GB2312" w:hAnsi="仿宋_GB2312" w:cs="仿宋_GB2312" w:eastAsia="仿宋_GB2312"/>
                <w:sz w:val="21"/>
                <w:color w:val="0000FF"/>
              </w:rPr>
              <w:t>待整体项目完成后</w:t>
            </w:r>
            <w:r>
              <w:rPr>
                <w:rFonts w:ascii="仿宋_GB2312" w:hAnsi="仿宋_GB2312" w:cs="仿宋_GB2312" w:eastAsia="仿宋_GB2312"/>
                <w:sz w:val="21"/>
                <w:color w:val="0000FF"/>
              </w:rPr>
              <w:t>甲方在</w:t>
            </w:r>
            <w:r>
              <w:rPr>
                <w:rFonts w:ascii="仿宋_GB2312" w:hAnsi="仿宋_GB2312" w:cs="仿宋_GB2312" w:eastAsia="仿宋_GB2312"/>
                <w:sz w:val="21"/>
                <w:color w:val="0000FF"/>
              </w:rPr>
              <w:t>10个工作日内向乙方一次性支付剩余</w:t>
            </w:r>
            <w:r>
              <w:rPr>
                <w:rFonts w:ascii="仿宋_GB2312" w:hAnsi="仿宋_GB2312" w:cs="仿宋_GB2312" w:eastAsia="仿宋_GB2312"/>
                <w:sz w:val="21"/>
                <w:color w:val="0000FF"/>
              </w:rPr>
              <w:t>30%尾款</w:t>
            </w:r>
            <w:r>
              <w:rPr>
                <w:rFonts w:ascii="仿宋_GB2312" w:hAnsi="仿宋_GB2312" w:cs="仿宋_GB2312" w:eastAsia="仿宋_GB2312"/>
                <w:sz w:val="21"/>
                <w:color w:val="0000FF"/>
              </w:rPr>
              <w:t>。</w:t>
            </w:r>
          </w:p>
          <w:p>
            <w:pPr>
              <w:pStyle w:val="null3"/>
              <w:ind w:firstLine="420"/>
            </w:pPr>
            <w:r>
              <w:rPr>
                <w:rFonts w:ascii="仿宋_GB2312" w:hAnsi="仿宋_GB2312" w:cs="仿宋_GB2312" w:eastAsia="仿宋_GB2312"/>
                <w:sz w:val="21"/>
                <w:color w:val="0000FF"/>
              </w:rPr>
              <w:t>2</w:t>
            </w:r>
            <w:r>
              <w:rPr>
                <w:rFonts w:ascii="仿宋_GB2312" w:hAnsi="仿宋_GB2312" w:cs="仿宋_GB2312" w:eastAsia="仿宋_GB2312"/>
                <w:sz w:val="21"/>
                <w:color w:val="0000FF"/>
              </w:rPr>
              <w:t>、</w:t>
            </w:r>
            <w:r>
              <w:rPr>
                <w:rFonts w:ascii="仿宋_GB2312" w:hAnsi="仿宋_GB2312" w:cs="仿宋_GB2312" w:eastAsia="仿宋_GB2312"/>
                <w:sz w:val="21"/>
                <w:color w:val="0000FF"/>
              </w:rPr>
              <w:t>服务期限：</w:t>
            </w:r>
            <w:r>
              <w:rPr>
                <w:rFonts w:ascii="仿宋_GB2312" w:hAnsi="仿宋_GB2312" w:cs="仿宋_GB2312" w:eastAsia="仿宋_GB2312"/>
                <w:sz w:val="21"/>
                <w:color w:val="0000FF"/>
              </w:rPr>
              <w:t>合同签订后，至完成全部</w:t>
            </w:r>
            <w:r>
              <w:rPr>
                <w:rFonts w:ascii="仿宋_GB2312" w:hAnsi="仿宋_GB2312" w:cs="仿宋_GB2312" w:eastAsia="仿宋_GB2312"/>
                <w:sz w:val="21"/>
                <w:color w:val="0000FF"/>
              </w:rPr>
              <w:t>服务内容</w:t>
            </w:r>
            <w:r>
              <w:rPr>
                <w:rFonts w:ascii="仿宋_GB2312" w:hAnsi="仿宋_GB2312" w:cs="仿宋_GB2312" w:eastAsia="仿宋_GB2312"/>
                <w:sz w:val="21"/>
                <w:color w:val="0000FF"/>
              </w:rPr>
              <w:t>之日止</w:t>
            </w:r>
            <w:r>
              <w:rPr>
                <w:rFonts w:ascii="仿宋_GB2312" w:hAnsi="仿宋_GB2312" w:cs="仿宋_GB2312" w:eastAsia="仿宋_GB2312"/>
                <w:sz w:val="21"/>
                <w:color w:val="0000FF"/>
              </w:rPr>
              <w:t>。</w:t>
            </w:r>
          </w:p>
          <w:p>
            <w:pPr>
              <w:pStyle w:val="null3"/>
              <w:ind w:firstLine="420"/>
            </w:pPr>
            <w:r>
              <w:rPr>
                <w:rFonts w:ascii="仿宋_GB2312" w:hAnsi="仿宋_GB2312" w:cs="仿宋_GB2312" w:eastAsia="仿宋_GB2312"/>
                <w:sz w:val="21"/>
                <w:color w:val="0000FF"/>
              </w:rPr>
              <w:t>3</w:t>
            </w:r>
            <w:r>
              <w:rPr>
                <w:rFonts w:ascii="仿宋_GB2312" w:hAnsi="仿宋_GB2312" w:cs="仿宋_GB2312" w:eastAsia="仿宋_GB2312"/>
                <w:sz w:val="21"/>
                <w:color w:val="0000FF"/>
              </w:rPr>
              <w:t>、</w:t>
            </w:r>
            <w:r>
              <w:rPr>
                <w:rFonts w:ascii="仿宋_GB2312" w:hAnsi="仿宋_GB2312" w:cs="仿宋_GB2312" w:eastAsia="仿宋_GB2312"/>
                <w:sz w:val="21"/>
                <w:color w:val="0000FF"/>
              </w:rPr>
              <w:t>质量标准：符合国家及行业质量验收合格标准。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合同签订后，至完成全部服务内容之日止。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合同签订后，甲方向乙方支付合同总金额的70%价款作为预付款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待整体项目完成后甲方在10个工作日内向乙方一次性支付剩余30%尾款。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提供会计师事务所出具的完整的2024年度审计报告（成立时间至提交磋商响应文件截止时间不足一年的可提供成立后任意时段的资产负债表），或提交磋商响应截止时间前6个月内银行出具的资信证明，或信用担保机构出具的担保函（以上三种形式的资料提供任何一种即可）；其他组织和自然人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小微企业声明函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营业执照或其他主体证明资料</w:t>
            </w:r>
          </w:p>
        </w:tc>
        <w:tc>
          <w:tcPr>
            <w:tcW w:type="dxa" w:w="3322"/>
          </w:tcPr>
          <w:p>
            <w:pPr>
              <w:pStyle w:val="null3"/>
            </w:pPr>
            <w:r>
              <w:rPr>
                <w:rFonts w:ascii="仿宋_GB2312" w:hAnsi="仿宋_GB2312" w:cs="仿宋_GB2312" w:eastAsia="仿宋_GB2312"/>
              </w:rPr>
              <w:t>供应商应为有独立承担民事责任的能力且具备向采购人提供相关服务的企业法人、事业法人、其他组织或自然人，企业法人应提供具有统一社会信用代码的营业执照等证明文件；事业法人应提供事业单位法人证等证明文件；其他组织应提供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名单的供应商；不得为“中国政府采购网”（www.ccgp.gov.cn）政府采购严重违法失信行为记录名单中被财政部门禁止参加政府采购活动的供应商。（注：以响应文件中提供的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本项目不接受联合体磋商（注：以响应文件中提供的非联合体磋商的声明为准）。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明，且与营业执照或其他证明资料上信息一致。法定代表人授权代表参加磋商的，须出具法定代表人授权书及授权代表身份证扫描件；自然人参加磋商的须提供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磋商响应文件签章</w:t>
            </w:r>
          </w:p>
        </w:tc>
        <w:tc>
          <w:tcPr>
            <w:tcW w:type="dxa" w:w="3322"/>
          </w:tcPr>
          <w:p>
            <w:pPr>
              <w:pStyle w:val="null3"/>
            </w:pPr>
            <w:r>
              <w:rPr>
                <w:rFonts w:ascii="仿宋_GB2312" w:hAnsi="仿宋_GB2312" w:cs="仿宋_GB2312" w:eastAsia="仿宋_GB2312"/>
              </w:rPr>
              <w:t>按磋商文件要求签署、加盖印章</w:t>
            </w:r>
          </w:p>
        </w:tc>
        <w:tc>
          <w:tcPr>
            <w:tcW w:type="dxa" w:w="1661"/>
          </w:tcPr>
          <w:p>
            <w:pPr>
              <w:pStyle w:val="null3"/>
            </w:pPr>
            <w:r>
              <w:rPr>
                <w:rFonts w:ascii="仿宋_GB2312" w:hAnsi="仿宋_GB2312" w:cs="仿宋_GB2312" w:eastAsia="仿宋_GB2312"/>
              </w:rPr>
              <w:t>响应文件封面 服务内容及服务邀请应答表 供应商认为需要提供的其他资料.docx 供应商应提交的相关资格证明材料.docx 小微企业声明函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每次报价唯一，且未超过采购包最高限价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合同主要条款响应</w:t>
            </w:r>
          </w:p>
        </w:tc>
        <w:tc>
          <w:tcPr>
            <w:tcW w:type="dxa" w:w="3322"/>
          </w:tcPr>
          <w:p>
            <w:pPr>
              <w:pStyle w:val="null3"/>
            </w:pPr>
            <w:r>
              <w:rPr>
                <w:rFonts w:ascii="仿宋_GB2312" w:hAnsi="仿宋_GB2312" w:cs="仿宋_GB2312" w:eastAsia="仿宋_GB2312"/>
              </w:rPr>
              <w:t>对“服务内容、付款方式”等实质性内容进行响应且未附加采购人难以接受的条件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供应商认为需要提供的其他资料.docx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根据磋商文件内容及要求，列出对项目的理解、总体服务思路、方案。 项目理解准确、总体思路合理、方案详细具体，针对性充足且完全符合项目需求的，计15分； 项目理解无误、总体思路基本合理、方案明确，具有一定针对性且基本符合项目需求的，计10分； 项目理解有误、总体思路不合理、方案含糊或有实质性缺陷，无针对性且无法满足项目需求的，计5分；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重点把握突出、难点分析</w:t>
            </w:r>
          </w:p>
        </w:tc>
        <w:tc>
          <w:tcPr>
            <w:tcW w:type="dxa" w:w="2492"/>
          </w:tcPr>
          <w:p>
            <w:pPr>
              <w:pStyle w:val="null3"/>
            </w:pPr>
            <w:r>
              <w:rPr>
                <w:rFonts w:ascii="仿宋_GB2312" w:hAnsi="仿宋_GB2312" w:cs="仿宋_GB2312" w:eastAsia="仿宋_GB2312"/>
              </w:rPr>
              <w:t>对本项目的重点把握突出、难点分析到位、提出有针对性的解决方案，解决方案合理计15分； 分析不全面、解决方案简单粗略计10分； 无重点、难点分析或解决方案有明显缺陷，不能保证项目正常进行计5分。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为更好的服务于本项目及采购人，供应商对项目做出详尽、全面、有效、合理的服务质量保障措施。 服务质量管理体系健全完善、质量目标明确，保证措施内容详细全面，条理清晰，针对性充足且完全满足项目实施计15分； 服务质量管理体系较完善、质量目标明确，保证措施详细、条理清晰，有针对性计11分； 服务质量管理体系不完善，质量目标及保证措施明确，保证措施内容明确但条理不清晰，有一定针对性，计7分； 服务质量管理体系不完善，质量目标及保证措施内容含糊或有实质性缺陷，调理不清晰，针对性不足计3分；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工作进度计划保障措施</w:t>
            </w:r>
          </w:p>
        </w:tc>
        <w:tc>
          <w:tcPr>
            <w:tcW w:type="dxa" w:w="2492"/>
          </w:tcPr>
          <w:p>
            <w:pPr>
              <w:pStyle w:val="null3"/>
            </w:pPr>
            <w:r>
              <w:rPr>
                <w:rFonts w:ascii="仿宋_GB2312" w:hAnsi="仿宋_GB2312" w:cs="仿宋_GB2312" w:eastAsia="仿宋_GB2312"/>
              </w:rPr>
              <w:t>进度计划组织措施内容全面且详细，条理清晰，针对性充足且完全满足项目实施，计15分； 组织措施措施明确、条理清晰，针对性充足，计11分； 组织措施明确，条理不清晰，针对性不足，能够满足项目实施，计7分； 组织措施内容含糊，条理不清晰或有实质性缺陷，针对性不足，无法满足项目实施，计3分； 未提供计0分；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针对本项目拟配备服务团队人员架构齐全、数量充足、专业经验丰富，配备方案合理高效，逻辑结构清晰且具有针对性计10分； 针对本项目拟配备服务团队人员架构基本齐全、数量基本充足、专业经验丰富，配备方案明确且具有一定合理性，逻辑结构基本清晰且具有一定针对性的计7分 ； 针对本项目拟配备服务团队人员架构明确、数量不足、专业经验不足，配备方案含糊，逻辑结构不清晰且针对性不足计4分。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供应商提供完善的服务承诺及措施。 承诺及措施内容完善符合本项目需求计10分； 承诺及措施内容基本合理计7分； 承诺及措施内容简单粗略计4分。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根据供应商提供的应急预案，应急预案等活动保障措施完善，有明确的承诺，且具体、切实可行，计10分； 应急预案等活动保障措施明确，并有基本的承诺，基本可行，计7分； 应急预案等活动保障措施含糊，承诺缺失，可行性不足，计4分； 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审范围：有效的磋商响应总报价（指经初审合格的供应商的磋商响应总报价）。2.满足磋商文件要求且最后报价最低的供应商的价格为磋商基准价，其价格分为满分。其他供应商的价格分统一按照下列公式计算： 磋商报价得分=（磋商基准价/最后磋商报价）×分值×100。 3.评分分值计算保留小数点后两位，小数点后第三位“四舍五入”。4.对需要落实政府采购政策的供应商详见“采购项目需要落实的政府采购政策”。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详见附件：小微企业声明函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详见附件：供应商认为需要提供的其他资料.docx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