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EAD9D2">
      <w:pP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编号：</w:t>
      </w:r>
    </w:p>
    <w:p w14:paraId="6E33BD32">
      <w:pPr>
        <w:spacing w:line="600" w:lineRule="auto"/>
        <w:jc w:val="center"/>
        <w:rPr>
          <w:rFonts w:hint="eastAsia"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rPr>
        <w:t>陕西中医药大学</w:t>
      </w:r>
    </w:p>
    <w:p w14:paraId="61ABD25F">
      <w:pPr>
        <w:spacing w:line="600" w:lineRule="auto"/>
        <w:jc w:val="center"/>
        <w:outlineLvl w:val="2"/>
        <w:rPr>
          <w:rFonts w:hint="eastAsia" w:ascii="黑体" w:hAnsi="黑体" w:eastAsia="黑体" w:cs="黑体"/>
          <w:b/>
          <w:bCs/>
          <w:color w:val="auto"/>
          <w:sz w:val="44"/>
          <w:szCs w:val="44"/>
          <w:highlight w:val="none"/>
          <w:lang w:eastAsia="zh-CN"/>
        </w:rPr>
      </w:pPr>
      <w:r>
        <w:rPr>
          <w:rFonts w:hint="eastAsia" w:ascii="黑体" w:hAnsi="黑体" w:eastAsia="黑体" w:cs="黑体"/>
          <w:b/>
          <w:bCs/>
          <w:color w:val="auto"/>
          <w:sz w:val="44"/>
          <w:szCs w:val="44"/>
          <w:highlight w:val="none"/>
          <w:lang w:eastAsia="zh-CN"/>
        </w:rPr>
        <w:t>学生公寓监控系统升级改造项目（二次）</w:t>
      </w:r>
    </w:p>
    <w:p w14:paraId="51B5DFFE">
      <w:pPr>
        <w:spacing w:line="600" w:lineRule="auto"/>
        <w:jc w:val="center"/>
        <w:outlineLvl w:val="2"/>
        <w:rPr>
          <w:rFonts w:hint="eastAsia" w:ascii="黑体" w:hAnsi="黑体" w:eastAsia="黑体" w:cs="黑体"/>
          <w:b/>
          <w:bCs/>
          <w:color w:val="auto"/>
          <w:sz w:val="44"/>
          <w:szCs w:val="44"/>
          <w:highlight w:val="none"/>
        </w:rPr>
      </w:pPr>
      <w:r>
        <w:rPr>
          <w:rFonts w:hint="eastAsia" w:ascii="黑体" w:hAnsi="黑体" w:eastAsia="黑体" w:cs="黑体"/>
          <w:b/>
          <w:bCs/>
          <w:color w:val="auto"/>
          <w:sz w:val="44"/>
          <w:szCs w:val="44"/>
          <w:highlight w:val="none"/>
        </w:rPr>
        <w:t>合同</w:t>
      </w:r>
    </w:p>
    <w:p w14:paraId="703CE189">
      <w:pPr>
        <w:jc w:val="center"/>
        <w:rPr>
          <w:rFonts w:hint="eastAsia" w:ascii="仿宋" w:hAnsi="仿宋" w:eastAsia="仿宋" w:cs="仿宋"/>
          <w:b/>
          <w:bCs/>
          <w:color w:val="auto"/>
          <w:sz w:val="52"/>
          <w:szCs w:val="52"/>
          <w:highlight w:val="none"/>
        </w:rPr>
      </w:pPr>
    </w:p>
    <w:p w14:paraId="7F70B82D">
      <w:pPr>
        <w:jc w:val="center"/>
        <w:rPr>
          <w:rFonts w:hint="eastAsia" w:ascii="仿宋" w:hAnsi="仿宋" w:eastAsia="仿宋" w:cs="仿宋"/>
          <w:b/>
          <w:bCs/>
          <w:color w:val="auto"/>
          <w:sz w:val="52"/>
          <w:szCs w:val="52"/>
          <w:highlight w:val="none"/>
        </w:rPr>
      </w:pPr>
    </w:p>
    <w:p w14:paraId="2F38DFB2">
      <w:pPr>
        <w:jc w:val="center"/>
        <w:rPr>
          <w:rFonts w:hint="eastAsia" w:ascii="仿宋" w:hAnsi="仿宋" w:eastAsia="仿宋" w:cs="仿宋"/>
          <w:b/>
          <w:bCs/>
          <w:color w:val="auto"/>
          <w:sz w:val="52"/>
          <w:szCs w:val="52"/>
          <w:highlight w:val="none"/>
        </w:rPr>
      </w:pPr>
    </w:p>
    <w:p w14:paraId="08324665">
      <w:pPr>
        <w:jc w:val="center"/>
        <w:rPr>
          <w:rFonts w:hint="eastAsia" w:ascii="仿宋" w:hAnsi="仿宋" w:eastAsia="仿宋" w:cs="仿宋"/>
          <w:color w:val="auto"/>
          <w:sz w:val="52"/>
          <w:szCs w:val="52"/>
          <w:highlight w:val="none"/>
        </w:rPr>
      </w:pPr>
    </w:p>
    <w:p w14:paraId="21BBC199">
      <w:pPr>
        <w:jc w:val="center"/>
        <w:rPr>
          <w:rFonts w:hint="eastAsia" w:ascii="仿宋" w:hAnsi="仿宋" w:eastAsia="仿宋" w:cs="仿宋"/>
          <w:color w:val="auto"/>
          <w:sz w:val="52"/>
          <w:szCs w:val="52"/>
          <w:highlight w:val="none"/>
        </w:rPr>
      </w:pPr>
    </w:p>
    <w:p w14:paraId="7974EE44">
      <w:pPr>
        <w:jc w:val="center"/>
        <w:rPr>
          <w:rFonts w:hint="eastAsia" w:ascii="仿宋" w:hAnsi="仿宋" w:eastAsia="仿宋" w:cs="仿宋"/>
          <w:color w:val="auto"/>
          <w:sz w:val="52"/>
          <w:szCs w:val="52"/>
          <w:highlight w:val="none"/>
        </w:rPr>
      </w:pPr>
    </w:p>
    <w:p w14:paraId="0CF0CF98">
      <w:pPr>
        <w:rPr>
          <w:rFonts w:hint="eastAsia" w:ascii="仿宋" w:hAnsi="仿宋" w:eastAsia="仿宋" w:cs="仿宋"/>
          <w:color w:val="auto"/>
          <w:sz w:val="52"/>
          <w:szCs w:val="52"/>
          <w:highlight w:val="none"/>
        </w:rPr>
      </w:pPr>
    </w:p>
    <w:p w14:paraId="3FADE10E">
      <w:pPr>
        <w:adjustRightInd w:val="0"/>
        <w:snapToGrid w:val="0"/>
        <w:spacing w:line="480" w:lineRule="auto"/>
        <w:jc w:val="left"/>
        <w:rPr>
          <w:rFonts w:hint="eastAsia" w:ascii="仿宋" w:hAnsi="仿宋" w:eastAsia="仿宋" w:cs="仿宋"/>
          <w:color w:val="auto"/>
          <w:sz w:val="32"/>
          <w:szCs w:val="32"/>
          <w:highlight w:val="none"/>
        </w:rPr>
      </w:pPr>
      <w:r>
        <w:rPr>
          <w:rFonts w:hint="eastAsia" w:ascii="宋体" w:hAnsi="宋体" w:eastAsia="宋体" w:cs="宋体"/>
          <w:b/>
          <w:color w:val="auto"/>
          <w:sz w:val="32"/>
          <w:szCs w:val="32"/>
          <w:highlight w:val="none"/>
        </w:rPr>
        <w:t>委托方（甲方）：</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 xml:space="preserve">                       受托方（乙方）：</w:t>
      </w:r>
      <w:r>
        <w:rPr>
          <w:rFonts w:hint="eastAsia" w:ascii="宋体" w:hAnsi="宋体" w:eastAsia="宋体" w:cs="宋体"/>
          <w:b/>
          <w:color w:val="auto"/>
          <w:sz w:val="32"/>
          <w:szCs w:val="32"/>
          <w:highlight w:val="none"/>
          <w:u w:val="single"/>
        </w:rPr>
        <w:t xml:space="preserve">                       </w:t>
      </w:r>
      <w:r>
        <w:rPr>
          <w:rFonts w:hint="eastAsia" w:ascii="宋体" w:hAnsi="宋体" w:eastAsia="宋体" w:cs="宋体"/>
          <w:b/>
          <w:color w:val="auto"/>
          <w:sz w:val="32"/>
          <w:szCs w:val="32"/>
          <w:highlight w:val="none"/>
        </w:rPr>
        <w:t xml:space="preserve">   </w:t>
      </w:r>
      <w:r>
        <w:rPr>
          <w:rFonts w:hint="eastAsia" w:ascii="仿宋" w:hAnsi="仿宋" w:eastAsia="仿宋" w:cs="仿宋"/>
          <w:b/>
          <w:color w:val="auto"/>
          <w:sz w:val="32"/>
          <w:szCs w:val="32"/>
          <w:highlight w:val="none"/>
        </w:rPr>
        <w:t xml:space="preserve">  </w:t>
      </w:r>
    </w:p>
    <w:p w14:paraId="2CB56944">
      <w:pPr>
        <w:jc w:val="center"/>
        <w:rPr>
          <w:rFonts w:hint="eastAsia" w:ascii="仿宋" w:hAnsi="仿宋" w:eastAsia="仿宋" w:cs="仿宋"/>
          <w:b/>
          <w:bCs/>
          <w:color w:val="auto"/>
          <w:sz w:val="28"/>
          <w:szCs w:val="28"/>
          <w:highlight w:val="none"/>
        </w:rPr>
      </w:pPr>
      <w:r>
        <w:rPr>
          <w:rFonts w:hint="eastAsia" w:ascii="宋体" w:hAnsi="宋体" w:eastAsia="宋体" w:cs="宋体"/>
          <w:b/>
          <w:bCs/>
          <w:color w:val="auto"/>
          <w:sz w:val="28"/>
          <w:szCs w:val="28"/>
          <w:highlight w:val="none"/>
        </w:rPr>
        <w:t>签订时间：二〇二五年  月   日</w:t>
      </w:r>
    </w:p>
    <w:p w14:paraId="2DDFED5F">
      <w:pPr>
        <w:rPr>
          <w:rFonts w:hint="eastAsia" w:ascii="仿宋" w:hAnsi="仿宋" w:eastAsia="仿宋" w:cs="仿宋"/>
          <w:b/>
          <w:bCs/>
          <w:color w:val="auto"/>
          <w:sz w:val="48"/>
          <w:szCs w:val="48"/>
          <w:highlight w:val="none"/>
        </w:rPr>
      </w:pPr>
      <w:r>
        <w:rPr>
          <w:rFonts w:hint="eastAsia" w:ascii="仿宋" w:hAnsi="仿宋" w:eastAsia="仿宋" w:cs="仿宋"/>
          <w:b/>
          <w:bCs/>
          <w:color w:val="auto"/>
          <w:sz w:val="48"/>
          <w:szCs w:val="48"/>
          <w:highlight w:val="none"/>
        </w:rPr>
        <w:br w:type="page"/>
      </w:r>
    </w:p>
    <w:p w14:paraId="17597463">
      <w:pPr>
        <w:jc w:val="center"/>
        <w:rPr>
          <w:rFonts w:hint="eastAsia" w:ascii="仿宋" w:hAnsi="仿宋" w:eastAsia="仿宋" w:cs="仿宋"/>
          <w:b/>
          <w:bCs/>
          <w:color w:val="auto"/>
          <w:sz w:val="40"/>
          <w:szCs w:val="40"/>
          <w:highlight w:val="none"/>
        </w:rPr>
      </w:pPr>
      <w:r>
        <w:rPr>
          <w:rFonts w:hint="eastAsia" w:ascii="仿宋" w:hAnsi="仿宋" w:eastAsia="仿宋" w:cs="仿宋"/>
          <w:b/>
          <w:bCs/>
          <w:color w:val="auto"/>
          <w:sz w:val="40"/>
          <w:szCs w:val="40"/>
          <w:highlight w:val="none"/>
        </w:rPr>
        <w:t>合同协议书</w:t>
      </w:r>
    </w:p>
    <w:p w14:paraId="62E8AB77">
      <w:pPr>
        <w:wordWrap w:val="0"/>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委托方（甲方）：</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 xml:space="preserve">                           </w:t>
      </w:r>
      <w:r>
        <w:rPr>
          <w:rFonts w:hint="eastAsia" w:ascii="仿宋" w:hAnsi="仿宋" w:eastAsia="仿宋" w:cs="仿宋"/>
          <w:color w:val="auto"/>
          <w:szCs w:val="24"/>
          <w:highlight w:val="none"/>
        </w:rPr>
        <w:t xml:space="preserve"> </w:t>
      </w:r>
    </w:p>
    <w:p w14:paraId="1BF2E1E3">
      <w:pPr>
        <w:wordWrap w:val="0"/>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受托方（乙方）：</w:t>
      </w:r>
      <w:r>
        <w:rPr>
          <w:rFonts w:hint="eastAsia" w:ascii="仿宋" w:hAnsi="仿宋" w:eastAsia="仿宋" w:cs="仿宋"/>
          <w:b/>
          <w:color w:val="auto"/>
          <w:szCs w:val="24"/>
          <w:highlight w:val="none"/>
          <w:u w:val="single"/>
        </w:rPr>
        <w:t xml:space="preserve">                       </w:t>
      </w:r>
      <w:r>
        <w:rPr>
          <w:rFonts w:hint="eastAsia" w:ascii="仿宋" w:hAnsi="仿宋" w:eastAsia="仿宋" w:cs="仿宋"/>
          <w:b/>
          <w:color w:val="auto"/>
          <w:szCs w:val="24"/>
          <w:highlight w:val="none"/>
        </w:rPr>
        <w:t xml:space="preserve">                      </w:t>
      </w:r>
    </w:p>
    <w:p w14:paraId="385DDC81">
      <w:pPr>
        <w:adjustRightInd w:val="0"/>
        <w:snapToGrid w:val="0"/>
        <w:spacing w:line="360" w:lineRule="auto"/>
        <w:ind w:firstLine="564"/>
        <w:rPr>
          <w:rFonts w:hint="eastAsia" w:ascii="仿宋" w:hAnsi="仿宋" w:eastAsia="仿宋" w:cs="仿宋"/>
          <w:color w:val="auto"/>
          <w:szCs w:val="24"/>
          <w:highlight w:val="none"/>
        </w:rPr>
      </w:pPr>
      <w:r>
        <w:rPr>
          <w:rFonts w:hint="eastAsia" w:ascii="仿宋" w:hAnsi="仿宋" w:eastAsia="仿宋" w:cs="仿宋"/>
          <w:color w:val="auto"/>
          <w:szCs w:val="24"/>
          <w:highlight w:val="none"/>
        </w:rPr>
        <w:t>根据《中华人民共和国民法典》的规定，合同双方就乙方向甲方提供本合同项下产品供货安装施工等工作，经协商达成一致，确立本合同，以明确双方的权利、义务，确保合同双方共同执行。</w:t>
      </w:r>
    </w:p>
    <w:p w14:paraId="31EECC1C">
      <w:pPr>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【第一条】供货内容</w:t>
      </w:r>
    </w:p>
    <w:p w14:paraId="07462B96">
      <w:pPr>
        <w:numPr>
          <w:ilvl w:val="0"/>
          <w:numId w:val="0"/>
        </w:numPr>
        <w:adjustRightInd w:val="0"/>
        <w:snapToGrid w:val="0"/>
        <w:spacing w:line="360" w:lineRule="auto"/>
        <w:ind w:firstLine="420" w:firstLineChars="200"/>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lang w:val="en-US" w:eastAsia="zh-CN"/>
        </w:rPr>
        <w:t>1.</w:t>
      </w:r>
      <w:r>
        <w:rPr>
          <w:rFonts w:hint="eastAsia" w:ascii="仿宋" w:hAnsi="仿宋" w:eastAsia="仿宋" w:cs="仿宋"/>
          <w:bCs/>
          <w:color w:val="auto"/>
          <w:szCs w:val="24"/>
          <w:highlight w:val="none"/>
        </w:rPr>
        <w:t>采购内容：甲方向乙方购买</w:t>
      </w:r>
      <w:r>
        <w:rPr>
          <w:rFonts w:hint="eastAsia" w:ascii="仿宋" w:hAnsi="仿宋" w:eastAsia="仿宋" w:cs="仿宋"/>
          <w:bCs/>
          <w:color w:val="auto"/>
          <w:szCs w:val="24"/>
          <w:highlight w:val="none"/>
          <w:u w:val="single"/>
        </w:rPr>
        <w:t xml:space="preserve"> 陕西中医药大学</w:t>
      </w:r>
      <w:r>
        <w:rPr>
          <w:rFonts w:hint="eastAsia" w:ascii="仿宋" w:hAnsi="仿宋" w:eastAsia="仿宋" w:cs="仿宋"/>
          <w:bCs/>
          <w:color w:val="auto"/>
          <w:szCs w:val="24"/>
          <w:highlight w:val="none"/>
          <w:u w:val="single"/>
          <w:lang w:eastAsia="zh-CN"/>
        </w:rPr>
        <w:t>学生公寓监控系统升级改造项目（二次）</w:t>
      </w:r>
      <w:r>
        <w:rPr>
          <w:rFonts w:hint="eastAsia" w:ascii="仿宋" w:hAnsi="仿宋" w:eastAsia="仿宋" w:cs="仿宋"/>
          <w:bCs/>
          <w:color w:val="auto"/>
          <w:szCs w:val="24"/>
          <w:highlight w:val="none"/>
          <w:u w:val="single"/>
        </w:rPr>
        <w:t xml:space="preserve"> </w:t>
      </w:r>
      <w:r>
        <w:rPr>
          <w:rFonts w:hint="eastAsia" w:ascii="仿宋" w:hAnsi="仿宋" w:eastAsia="仿宋" w:cs="仿宋"/>
          <w:bCs/>
          <w:color w:val="auto"/>
          <w:szCs w:val="24"/>
          <w:highlight w:val="none"/>
        </w:rPr>
        <w:t>所需货物、安装、施工等，符合本采购内容及要求。</w:t>
      </w:r>
    </w:p>
    <w:p w14:paraId="50EA74D5">
      <w:pPr>
        <w:pStyle w:val="6"/>
        <w:numPr>
          <w:ilvl w:val="0"/>
          <w:numId w:val="0"/>
        </w:numPr>
        <w:spacing w:line="360" w:lineRule="auto"/>
        <w:ind w:firstLine="480" w:firstLineChars="200"/>
        <w:rPr>
          <w:rFonts w:hint="eastAsia" w:ascii="仿宋" w:hAnsi="仿宋" w:eastAsia="仿宋" w:cs="仿宋"/>
          <w:bCs/>
          <w:color w:val="auto"/>
          <w:kern w:val="2"/>
          <w:sz w:val="24"/>
          <w:highlight w:val="none"/>
        </w:rPr>
      </w:pPr>
      <w:r>
        <w:rPr>
          <w:rFonts w:hint="eastAsia" w:ascii="仿宋" w:hAnsi="仿宋" w:eastAsia="仿宋" w:cs="仿宋"/>
          <w:bCs/>
          <w:color w:val="auto"/>
          <w:kern w:val="2"/>
          <w:sz w:val="24"/>
          <w:highlight w:val="none"/>
          <w:lang w:val="en-US" w:eastAsia="zh-CN"/>
        </w:rPr>
        <w:t>2.</w:t>
      </w:r>
      <w:r>
        <w:rPr>
          <w:rFonts w:hint="eastAsia" w:ascii="仿宋" w:hAnsi="仿宋" w:eastAsia="仿宋" w:cs="仿宋"/>
          <w:bCs/>
          <w:color w:val="auto"/>
          <w:kern w:val="2"/>
          <w:sz w:val="24"/>
          <w:highlight w:val="none"/>
        </w:rPr>
        <w:t>采购清单：</w:t>
      </w:r>
    </w:p>
    <w:tbl>
      <w:tblPr>
        <w:tblStyle w:val="4"/>
        <w:tblW w:w="5547" w:type="pct"/>
        <w:jc w:val="center"/>
        <w:tblLayout w:type="autofit"/>
        <w:tblCellMar>
          <w:top w:w="0" w:type="dxa"/>
          <w:left w:w="108" w:type="dxa"/>
          <w:bottom w:w="0" w:type="dxa"/>
          <w:right w:w="108" w:type="dxa"/>
        </w:tblCellMar>
      </w:tblPr>
      <w:tblGrid>
        <w:gridCol w:w="782"/>
        <w:gridCol w:w="1653"/>
        <w:gridCol w:w="753"/>
        <w:gridCol w:w="1063"/>
        <w:gridCol w:w="1208"/>
        <w:gridCol w:w="783"/>
        <w:gridCol w:w="713"/>
        <w:gridCol w:w="1257"/>
        <w:gridCol w:w="1242"/>
      </w:tblGrid>
      <w:tr w14:paraId="35957D79">
        <w:tblPrEx>
          <w:tblCellMar>
            <w:top w:w="0" w:type="dxa"/>
            <w:left w:w="108" w:type="dxa"/>
            <w:bottom w:w="0" w:type="dxa"/>
            <w:right w:w="108" w:type="dxa"/>
          </w:tblCellMar>
        </w:tblPrEx>
        <w:trPr>
          <w:trHeight w:val="606" w:hRule="atLeast"/>
          <w:jc w:val="center"/>
        </w:trPr>
        <w:tc>
          <w:tcPr>
            <w:tcW w:w="414" w:type="pct"/>
            <w:tcBorders>
              <w:top w:val="single" w:color="000000" w:sz="4" w:space="0"/>
              <w:left w:val="single" w:color="000000" w:sz="4" w:space="0"/>
              <w:bottom w:val="single" w:color="000000" w:sz="4" w:space="0"/>
              <w:right w:val="single" w:color="000000" w:sz="4" w:space="0"/>
            </w:tcBorders>
            <w:noWrap w:val="0"/>
            <w:vAlign w:val="center"/>
          </w:tcPr>
          <w:p w14:paraId="052825E2">
            <w:pPr>
              <w:widowControl/>
              <w:adjustRightInd w:val="0"/>
              <w:snapToGrid w:val="0"/>
              <w:spacing w:line="240" w:lineRule="auto"/>
              <w:jc w:val="center"/>
              <w:textAlignment w:val="center"/>
              <w:rPr>
                <w:rFonts w:hint="eastAsia" w:ascii="仿宋" w:hAnsi="仿宋" w:eastAsia="仿宋" w:cs="仿宋"/>
                <w:b/>
                <w:bCs/>
                <w:color w:val="auto"/>
                <w:sz w:val="22"/>
                <w:szCs w:val="22"/>
                <w:highlight w:val="none"/>
              </w:rPr>
            </w:pPr>
            <w:r>
              <w:rPr>
                <w:rFonts w:hint="eastAsia" w:ascii="仿宋" w:hAnsi="仿宋" w:eastAsia="仿宋" w:cs="仿宋"/>
                <w:b/>
                <w:bCs/>
                <w:color w:val="auto"/>
                <w:kern w:val="0"/>
                <w:sz w:val="22"/>
                <w:szCs w:val="22"/>
                <w:highlight w:val="none"/>
                <w:lang w:bidi="ar"/>
              </w:rPr>
              <w:t>序号</w:t>
            </w:r>
          </w:p>
        </w:tc>
        <w:tc>
          <w:tcPr>
            <w:tcW w:w="874" w:type="pct"/>
            <w:tcBorders>
              <w:top w:val="single" w:color="000000" w:sz="4" w:space="0"/>
              <w:left w:val="single" w:color="000000" w:sz="4" w:space="0"/>
              <w:bottom w:val="single" w:color="000000" w:sz="4" w:space="0"/>
              <w:right w:val="single" w:color="000000" w:sz="4" w:space="0"/>
            </w:tcBorders>
            <w:noWrap w:val="0"/>
            <w:vAlign w:val="center"/>
          </w:tcPr>
          <w:p w14:paraId="136D39EB">
            <w:pPr>
              <w:widowControl/>
              <w:adjustRightInd w:val="0"/>
              <w:snapToGrid w:val="0"/>
              <w:spacing w:line="240" w:lineRule="auto"/>
              <w:jc w:val="center"/>
              <w:textAlignment w:val="center"/>
              <w:rPr>
                <w:rFonts w:hint="eastAsia" w:ascii="仿宋" w:hAnsi="仿宋" w:eastAsia="仿宋" w:cs="仿宋"/>
                <w:b/>
                <w:bCs/>
                <w:color w:val="auto"/>
                <w:sz w:val="22"/>
                <w:szCs w:val="22"/>
                <w:highlight w:val="none"/>
              </w:rPr>
            </w:pPr>
            <w:r>
              <w:rPr>
                <w:rFonts w:hint="eastAsia" w:ascii="仿宋" w:hAnsi="仿宋" w:eastAsia="仿宋" w:cs="仿宋"/>
                <w:b/>
                <w:bCs/>
                <w:color w:val="auto"/>
                <w:kern w:val="0"/>
                <w:sz w:val="22"/>
                <w:szCs w:val="22"/>
                <w:highlight w:val="none"/>
                <w:lang w:bidi="ar"/>
              </w:rPr>
              <w:t>名称</w:t>
            </w:r>
          </w:p>
        </w:tc>
        <w:tc>
          <w:tcPr>
            <w:tcW w:w="398" w:type="pct"/>
            <w:tcBorders>
              <w:top w:val="single" w:color="000000" w:sz="4" w:space="0"/>
              <w:left w:val="single" w:color="000000" w:sz="4" w:space="0"/>
              <w:bottom w:val="single" w:color="000000" w:sz="4" w:space="0"/>
              <w:right w:val="single" w:color="000000" w:sz="4" w:space="0"/>
            </w:tcBorders>
            <w:noWrap w:val="0"/>
            <w:vAlign w:val="center"/>
          </w:tcPr>
          <w:p w14:paraId="4B56894C">
            <w:pPr>
              <w:widowControl/>
              <w:adjustRightInd w:val="0"/>
              <w:snapToGrid w:val="0"/>
              <w:spacing w:line="240" w:lineRule="auto"/>
              <w:jc w:val="center"/>
              <w:textAlignment w:val="center"/>
              <w:rPr>
                <w:rFonts w:hint="eastAsia" w:ascii="仿宋" w:hAnsi="仿宋" w:eastAsia="仿宋" w:cs="仿宋"/>
                <w:b/>
                <w:bCs/>
                <w:color w:val="auto"/>
                <w:sz w:val="22"/>
                <w:szCs w:val="22"/>
                <w:highlight w:val="none"/>
              </w:rPr>
            </w:pPr>
            <w:r>
              <w:rPr>
                <w:rFonts w:hint="eastAsia" w:ascii="仿宋" w:hAnsi="仿宋" w:eastAsia="仿宋" w:cs="仿宋"/>
                <w:b/>
                <w:bCs/>
                <w:color w:val="auto"/>
                <w:kern w:val="0"/>
                <w:sz w:val="22"/>
                <w:szCs w:val="22"/>
                <w:highlight w:val="none"/>
                <w:lang w:bidi="ar"/>
              </w:rPr>
              <w:t>品牌</w:t>
            </w:r>
          </w:p>
        </w:tc>
        <w:tc>
          <w:tcPr>
            <w:tcW w:w="562" w:type="pct"/>
            <w:tcBorders>
              <w:top w:val="single" w:color="000000" w:sz="4" w:space="0"/>
              <w:left w:val="single" w:color="000000" w:sz="4" w:space="0"/>
              <w:bottom w:val="single" w:color="000000" w:sz="4" w:space="0"/>
              <w:right w:val="single" w:color="000000" w:sz="4" w:space="0"/>
            </w:tcBorders>
            <w:noWrap w:val="0"/>
            <w:vAlign w:val="center"/>
          </w:tcPr>
          <w:p w14:paraId="042DB3C1">
            <w:pPr>
              <w:widowControl/>
              <w:adjustRightInd w:val="0"/>
              <w:snapToGrid w:val="0"/>
              <w:spacing w:line="240" w:lineRule="auto"/>
              <w:jc w:val="center"/>
              <w:textAlignment w:val="center"/>
              <w:rPr>
                <w:rFonts w:hint="eastAsia" w:ascii="仿宋" w:hAnsi="仿宋" w:eastAsia="仿宋" w:cs="仿宋"/>
                <w:b/>
                <w:bCs/>
                <w:color w:val="auto"/>
                <w:kern w:val="0"/>
                <w:sz w:val="22"/>
                <w:szCs w:val="22"/>
                <w:highlight w:val="none"/>
                <w:lang w:bidi="ar"/>
              </w:rPr>
            </w:pPr>
            <w:r>
              <w:rPr>
                <w:rFonts w:hint="eastAsia" w:ascii="仿宋" w:hAnsi="仿宋" w:eastAsia="仿宋" w:cs="仿宋"/>
                <w:b/>
                <w:bCs/>
                <w:color w:val="auto"/>
                <w:kern w:val="0"/>
                <w:sz w:val="22"/>
                <w:szCs w:val="22"/>
                <w:highlight w:val="none"/>
                <w:lang w:val="en-US" w:eastAsia="zh-CN" w:bidi="ar"/>
              </w:rPr>
              <w:t>规格或</w:t>
            </w:r>
            <w:r>
              <w:rPr>
                <w:rFonts w:hint="eastAsia" w:ascii="仿宋" w:hAnsi="仿宋" w:eastAsia="仿宋" w:cs="仿宋"/>
                <w:b/>
                <w:bCs/>
                <w:color w:val="auto"/>
                <w:kern w:val="0"/>
                <w:sz w:val="22"/>
                <w:szCs w:val="22"/>
                <w:highlight w:val="none"/>
                <w:lang w:bidi="ar"/>
              </w:rPr>
              <w:t>型号</w:t>
            </w:r>
          </w:p>
        </w:tc>
        <w:tc>
          <w:tcPr>
            <w:tcW w:w="639" w:type="pct"/>
            <w:tcBorders>
              <w:top w:val="single" w:color="000000" w:sz="4" w:space="0"/>
              <w:left w:val="single" w:color="000000" w:sz="4" w:space="0"/>
              <w:bottom w:val="single" w:color="000000" w:sz="4" w:space="0"/>
              <w:right w:val="single" w:color="000000" w:sz="4" w:space="0"/>
            </w:tcBorders>
            <w:noWrap w:val="0"/>
            <w:vAlign w:val="center"/>
          </w:tcPr>
          <w:p w14:paraId="16B63EAA">
            <w:pPr>
              <w:widowControl/>
              <w:adjustRightInd w:val="0"/>
              <w:snapToGrid w:val="0"/>
              <w:spacing w:line="240" w:lineRule="auto"/>
              <w:jc w:val="center"/>
              <w:textAlignment w:val="center"/>
              <w:rPr>
                <w:rFonts w:hint="eastAsia" w:ascii="仿宋" w:hAnsi="仿宋" w:eastAsia="仿宋" w:cs="仿宋"/>
                <w:b/>
                <w:bCs/>
                <w:color w:val="auto"/>
                <w:kern w:val="0"/>
                <w:sz w:val="22"/>
                <w:szCs w:val="22"/>
                <w:highlight w:val="none"/>
                <w:lang w:val="en-US" w:eastAsia="zh-CN" w:bidi="ar"/>
              </w:rPr>
            </w:pPr>
            <w:r>
              <w:rPr>
                <w:rFonts w:hint="eastAsia" w:ascii="仿宋" w:hAnsi="仿宋" w:eastAsia="仿宋" w:cs="仿宋"/>
                <w:b/>
                <w:bCs/>
                <w:color w:val="auto"/>
                <w:kern w:val="0"/>
                <w:sz w:val="22"/>
                <w:szCs w:val="22"/>
                <w:highlight w:val="none"/>
                <w:lang w:val="en-US" w:eastAsia="zh-CN" w:bidi="ar"/>
              </w:rPr>
              <w:t>原产地及制造厂名</w:t>
            </w: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7D55E137">
            <w:pPr>
              <w:widowControl/>
              <w:adjustRightInd w:val="0"/>
              <w:snapToGrid w:val="0"/>
              <w:spacing w:line="240" w:lineRule="auto"/>
              <w:jc w:val="center"/>
              <w:textAlignment w:val="center"/>
              <w:rPr>
                <w:rFonts w:hint="eastAsia" w:ascii="仿宋" w:hAnsi="仿宋" w:eastAsia="仿宋" w:cs="仿宋"/>
                <w:b/>
                <w:bCs/>
                <w:color w:val="auto"/>
                <w:sz w:val="22"/>
                <w:szCs w:val="22"/>
                <w:highlight w:val="none"/>
              </w:rPr>
            </w:pPr>
            <w:r>
              <w:rPr>
                <w:rFonts w:hint="eastAsia" w:ascii="仿宋" w:hAnsi="仿宋" w:eastAsia="仿宋" w:cs="仿宋"/>
                <w:b/>
                <w:bCs/>
                <w:color w:val="auto"/>
                <w:kern w:val="0"/>
                <w:sz w:val="22"/>
                <w:szCs w:val="22"/>
                <w:highlight w:val="none"/>
                <w:lang w:bidi="ar"/>
              </w:rPr>
              <w:t>单位</w:t>
            </w: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12B20D30">
            <w:pPr>
              <w:widowControl/>
              <w:adjustRightInd w:val="0"/>
              <w:snapToGrid w:val="0"/>
              <w:spacing w:line="240" w:lineRule="auto"/>
              <w:jc w:val="center"/>
              <w:textAlignment w:val="center"/>
              <w:rPr>
                <w:rFonts w:hint="eastAsia" w:ascii="仿宋" w:hAnsi="仿宋" w:eastAsia="仿宋" w:cs="仿宋"/>
                <w:b/>
                <w:bCs/>
                <w:color w:val="auto"/>
                <w:sz w:val="22"/>
                <w:szCs w:val="22"/>
                <w:highlight w:val="none"/>
              </w:rPr>
            </w:pPr>
            <w:r>
              <w:rPr>
                <w:rFonts w:hint="eastAsia" w:ascii="仿宋" w:hAnsi="仿宋" w:eastAsia="仿宋" w:cs="仿宋"/>
                <w:b/>
                <w:bCs/>
                <w:color w:val="auto"/>
                <w:kern w:val="0"/>
                <w:sz w:val="22"/>
                <w:szCs w:val="22"/>
                <w:highlight w:val="none"/>
                <w:lang w:bidi="ar"/>
              </w:rPr>
              <w:t>数量</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1BA79B1C">
            <w:pPr>
              <w:adjustRightInd w:val="0"/>
              <w:snapToGrid w:val="0"/>
              <w:spacing w:line="240" w:lineRule="auto"/>
              <w:jc w:val="center"/>
              <w:rPr>
                <w:rFonts w:hint="eastAsia" w:ascii="仿宋" w:hAnsi="仿宋" w:eastAsia="仿宋" w:cs="仿宋"/>
                <w:b/>
                <w:bCs/>
                <w:color w:val="auto"/>
                <w:sz w:val="22"/>
                <w:szCs w:val="22"/>
                <w:highlight w:val="none"/>
              </w:rPr>
            </w:pPr>
            <w:r>
              <w:rPr>
                <w:rFonts w:hint="eastAsia" w:ascii="仿宋" w:hAnsi="仿宋" w:eastAsia="仿宋" w:cs="仿宋"/>
                <w:b/>
                <w:color w:val="auto"/>
                <w:kern w:val="0"/>
                <w:sz w:val="22"/>
                <w:szCs w:val="22"/>
                <w:highlight w:val="none"/>
              </w:rPr>
              <w:t>单价（元）</w:t>
            </w:r>
          </w:p>
        </w:tc>
        <w:tc>
          <w:tcPr>
            <w:tcW w:w="655" w:type="pct"/>
            <w:tcBorders>
              <w:top w:val="single" w:color="000000" w:sz="4" w:space="0"/>
              <w:left w:val="single" w:color="000000" w:sz="4" w:space="0"/>
              <w:bottom w:val="single" w:color="000000" w:sz="4" w:space="0"/>
              <w:right w:val="single" w:color="000000" w:sz="4" w:space="0"/>
            </w:tcBorders>
            <w:noWrap w:val="0"/>
            <w:vAlign w:val="center"/>
          </w:tcPr>
          <w:p w14:paraId="4AF288D5">
            <w:pPr>
              <w:adjustRightInd w:val="0"/>
              <w:snapToGrid w:val="0"/>
              <w:spacing w:line="240" w:lineRule="auto"/>
              <w:jc w:val="center"/>
              <w:rPr>
                <w:rFonts w:hint="eastAsia" w:ascii="仿宋" w:hAnsi="仿宋" w:eastAsia="仿宋" w:cs="仿宋"/>
                <w:b/>
                <w:bCs/>
                <w:color w:val="auto"/>
                <w:kern w:val="0"/>
                <w:sz w:val="22"/>
                <w:szCs w:val="22"/>
                <w:highlight w:val="none"/>
                <w:lang w:bidi="ar"/>
              </w:rPr>
            </w:pPr>
            <w:r>
              <w:rPr>
                <w:rFonts w:hint="eastAsia" w:ascii="仿宋" w:hAnsi="仿宋" w:eastAsia="仿宋" w:cs="仿宋"/>
                <w:b/>
                <w:color w:val="auto"/>
                <w:kern w:val="0"/>
                <w:sz w:val="22"/>
                <w:szCs w:val="22"/>
                <w:highlight w:val="none"/>
              </w:rPr>
              <w:t>总价（元）</w:t>
            </w:r>
          </w:p>
        </w:tc>
      </w:tr>
      <w:tr w14:paraId="549E7830">
        <w:tblPrEx>
          <w:tblCellMar>
            <w:top w:w="0" w:type="dxa"/>
            <w:left w:w="108" w:type="dxa"/>
            <w:bottom w:w="0" w:type="dxa"/>
            <w:right w:w="108" w:type="dxa"/>
          </w:tblCellMar>
        </w:tblPrEx>
        <w:trPr>
          <w:trHeight w:val="938" w:hRule="atLeast"/>
          <w:jc w:val="center"/>
        </w:trPr>
        <w:tc>
          <w:tcPr>
            <w:tcW w:w="414" w:type="pct"/>
            <w:tcBorders>
              <w:top w:val="single" w:color="000000" w:sz="4" w:space="0"/>
              <w:left w:val="single" w:color="000000" w:sz="4" w:space="0"/>
              <w:bottom w:val="single" w:color="000000" w:sz="4" w:space="0"/>
              <w:right w:val="single" w:color="000000" w:sz="4" w:space="0"/>
            </w:tcBorders>
            <w:noWrap w:val="0"/>
            <w:vAlign w:val="center"/>
          </w:tcPr>
          <w:p w14:paraId="141AFA7A">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1</w:t>
            </w:r>
          </w:p>
        </w:tc>
        <w:tc>
          <w:tcPr>
            <w:tcW w:w="874" w:type="pct"/>
            <w:tcBorders>
              <w:top w:val="single" w:color="000000" w:sz="4" w:space="0"/>
              <w:left w:val="single" w:color="000000" w:sz="4" w:space="0"/>
              <w:bottom w:val="single" w:color="000000" w:sz="4" w:space="0"/>
              <w:right w:val="single" w:color="000000" w:sz="4" w:space="0"/>
            </w:tcBorders>
            <w:noWrap w:val="0"/>
            <w:vAlign w:val="center"/>
          </w:tcPr>
          <w:p w14:paraId="1D79B0B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400万全彩POE半球型网络摄像机</w:t>
            </w:r>
          </w:p>
        </w:tc>
        <w:tc>
          <w:tcPr>
            <w:tcW w:w="398" w:type="pct"/>
            <w:tcBorders>
              <w:top w:val="single" w:color="000000" w:sz="4" w:space="0"/>
              <w:left w:val="single" w:color="000000" w:sz="4" w:space="0"/>
              <w:bottom w:val="single" w:color="000000" w:sz="4" w:space="0"/>
              <w:right w:val="single" w:color="000000" w:sz="4" w:space="0"/>
            </w:tcBorders>
            <w:noWrap w:val="0"/>
            <w:vAlign w:val="center"/>
          </w:tcPr>
          <w:p w14:paraId="7E1C0E75">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000000" w:sz="4" w:space="0"/>
              <w:left w:val="single" w:color="000000" w:sz="4" w:space="0"/>
              <w:bottom w:val="single" w:color="000000" w:sz="4" w:space="0"/>
              <w:right w:val="single" w:color="000000" w:sz="4" w:space="0"/>
            </w:tcBorders>
            <w:noWrap w:val="0"/>
            <w:vAlign w:val="center"/>
          </w:tcPr>
          <w:p w14:paraId="05998A0F">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000000" w:sz="4" w:space="0"/>
              <w:left w:val="single" w:color="000000" w:sz="4" w:space="0"/>
              <w:bottom w:val="single" w:color="000000" w:sz="4" w:space="0"/>
              <w:right w:val="single" w:color="000000" w:sz="4" w:space="0"/>
            </w:tcBorders>
            <w:noWrap w:val="0"/>
            <w:vAlign w:val="center"/>
          </w:tcPr>
          <w:p w14:paraId="12AF81D9">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55911760">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个</w:t>
            </w: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3D9DBB8F">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200</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46BF5FE2">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tcBorders>
              <w:top w:val="single" w:color="000000" w:sz="4" w:space="0"/>
              <w:left w:val="single" w:color="000000" w:sz="4" w:space="0"/>
              <w:bottom w:val="single" w:color="000000" w:sz="4" w:space="0"/>
              <w:right w:val="single" w:color="000000" w:sz="4" w:space="0"/>
            </w:tcBorders>
            <w:noWrap w:val="0"/>
            <w:vAlign w:val="center"/>
          </w:tcPr>
          <w:p w14:paraId="784518E0">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r>
      <w:tr w14:paraId="5D9E5BCC">
        <w:tblPrEx>
          <w:tblCellMar>
            <w:top w:w="0" w:type="dxa"/>
            <w:left w:w="108" w:type="dxa"/>
            <w:bottom w:w="0" w:type="dxa"/>
            <w:right w:w="108" w:type="dxa"/>
          </w:tblCellMar>
        </w:tblPrEx>
        <w:trPr>
          <w:trHeight w:val="724" w:hRule="atLeast"/>
          <w:jc w:val="center"/>
        </w:trPr>
        <w:tc>
          <w:tcPr>
            <w:tcW w:w="414" w:type="pct"/>
            <w:tcBorders>
              <w:top w:val="single" w:color="000000" w:sz="4" w:space="0"/>
              <w:left w:val="single" w:color="000000" w:sz="4" w:space="0"/>
              <w:bottom w:val="single" w:color="000000" w:sz="4" w:space="0"/>
              <w:right w:val="single" w:color="000000" w:sz="4" w:space="0"/>
            </w:tcBorders>
            <w:noWrap w:val="0"/>
            <w:vAlign w:val="center"/>
          </w:tcPr>
          <w:p w14:paraId="3BA9E5BB">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2</w:t>
            </w:r>
          </w:p>
        </w:tc>
        <w:tc>
          <w:tcPr>
            <w:tcW w:w="874" w:type="pct"/>
            <w:tcBorders>
              <w:top w:val="single" w:color="000000" w:sz="4" w:space="0"/>
              <w:left w:val="single" w:color="000000" w:sz="4" w:space="0"/>
              <w:bottom w:val="single" w:color="000000" w:sz="4" w:space="0"/>
              <w:right w:val="single" w:color="000000" w:sz="4" w:space="0"/>
            </w:tcBorders>
            <w:noWrap w:val="0"/>
            <w:vAlign w:val="center"/>
          </w:tcPr>
          <w:p w14:paraId="0B3822F9">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400万全彩筒型PoE网络摄像机</w:t>
            </w:r>
          </w:p>
        </w:tc>
        <w:tc>
          <w:tcPr>
            <w:tcW w:w="398" w:type="pct"/>
            <w:tcBorders>
              <w:top w:val="single" w:color="000000" w:sz="4" w:space="0"/>
              <w:left w:val="single" w:color="000000" w:sz="4" w:space="0"/>
              <w:bottom w:val="single" w:color="000000" w:sz="4" w:space="0"/>
              <w:right w:val="single" w:color="000000" w:sz="4" w:space="0"/>
            </w:tcBorders>
            <w:noWrap w:val="0"/>
            <w:vAlign w:val="center"/>
          </w:tcPr>
          <w:p w14:paraId="089AB0E9">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000000" w:sz="4" w:space="0"/>
              <w:left w:val="single" w:color="000000" w:sz="4" w:space="0"/>
              <w:bottom w:val="single" w:color="000000" w:sz="4" w:space="0"/>
              <w:right w:val="single" w:color="000000" w:sz="4" w:space="0"/>
            </w:tcBorders>
            <w:noWrap w:val="0"/>
            <w:vAlign w:val="center"/>
          </w:tcPr>
          <w:p w14:paraId="5A2DBAF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000000" w:sz="4" w:space="0"/>
              <w:left w:val="single" w:color="000000" w:sz="4" w:space="0"/>
              <w:bottom w:val="single" w:color="000000" w:sz="4" w:space="0"/>
              <w:right w:val="single" w:color="000000" w:sz="4" w:space="0"/>
            </w:tcBorders>
            <w:noWrap w:val="0"/>
            <w:vAlign w:val="center"/>
          </w:tcPr>
          <w:p w14:paraId="1E7EEBA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275B8D85">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个</w:t>
            </w: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4E4817C0">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82</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3777A1FB">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tcBorders>
              <w:top w:val="single" w:color="000000" w:sz="4" w:space="0"/>
              <w:left w:val="single" w:color="000000" w:sz="4" w:space="0"/>
              <w:bottom w:val="single" w:color="000000" w:sz="4" w:space="0"/>
              <w:right w:val="single" w:color="000000" w:sz="4" w:space="0"/>
            </w:tcBorders>
            <w:noWrap w:val="0"/>
            <w:vAlign w:val="center"/>
          </w:tcPr>
          <w:p w14:paraId="345EBE8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r>
      <w:tr w14:paraId="69EA6ACD">
        <w:tblPrEx>
          <w:tblCellMar>
            <w:top w:w="0" w:type="dxa"/>
            <w:left w:w="108" w:type="dxa"/>
            <w:bottom w:w="0" w:type="dxa"/>
            <w:right w:w="108" w:type="dxa"/>
          </w:tblCellMar>
        </w:tblPrEx>
        <w:trPr>
          <w:trHeight w:val="938" w:hRule="atLeast"/>
          <w:jc w:val="center"/>
        </w:trPr>
        <w:tc>
          <w:tcPr>
            <w:tcW w:w="414" w:type="pct"/>
            <w:tcBorders>
              <w:top w:val="single" w:color="000000" w:sz="4" w:space="0"/>
              <w:left w:val="single" w:color="000000" w:sz="4" w:space="0"/>
              <w:bottom w:val="single" w:color="000000" w:sz="4" w:space="0"/>
              <w:right w:val="single" w:color="000000" w:sz="4" w:space="0"/>
            </w:tcBorders>
            <w:noWrap w:val="0"/>
            <w:vAlign w:val="center"/>
          </w:tcPr>
          <w:p w14:paraId="49296E2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3</w:t>
            </w:r>
          </w:p>
        </w:tc>
        <w:tc>
          <w:tcPr>
            <w:tcW w:w="874" w:type="pct"/>
            <w:tcBorders>
              <w:top w:val="single" w:color="000000" w:sz="4" w:space="0"/>
              <w:left w:val="single" w:color="000000" w:sz="4" w:space="0"/>
              <w:bottom w:val="single" w:color="000000" w:sz="4" w:space="0"/>
              <w:right w:val="single" w:color="000000" w:sz="4" w:space="0"/>
            </w:tcBorders>
            <w:noWrap w:val="0"/>
            <w:vAlign w:val="center"/>
          </w:tcPr>
          <w:p w14:paraId="7185FEC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400万全彩筒型PoE网络摄像机支架</w:t>
            </w:r>
          </w:p>
        </w:tc>
        <w:tc>
          <w:tcPr>
            <w:tcW w:w="398" w:type="pct"/>
            <w:tcBorders>
              <w:top w:val="single" w:color="000000" w:sz="4" w:space="0"/>
              <w:left w:val="single" w:color="000000" w:sz="4" w:space="0"/>
              <w:bottom w:val="single" w:color="000000" w:sz="4" w:space="0"/>
              <w:right w:val="single" w:color="000000" w:sz="4" w:space="0"/>
            </w:tcBorders>
            <w:noWrap w:val="0"/>
            <w:vAlign w:val="center"/>
          </w:tcPr>
          <w:p w14:paraId="67026543">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000000" w:sz="4" w:space="0"/>
              <w:left w:val="single" w:color="000000" w:sz="4" w:space="0"/>
              <w:bottom w:val="single" w:color="000000" w:sz="4" w:space="0"/>
              <w:right w:val="single" w:color="000000" w:sz="4" w:space="0"/>
            </w:tcBorders>
            <w:noWrap w:val="0"/>
            <w:vAlign w:val="center"/>
          </w:tcPr>
          <w:p w14:paraId="48A6AC57">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000000" w:sz="4" w:space="0"/>
              <w:left w:val="single" w:color="000000" w:sz="4" w:space="0"/>
              <w:bottom w:val="single" w:color="000000" w:sz="4" w:space="0"/>
              <w:right w:val="single" w:color="000000" w:sz="4" w:space="0"/>
            </w:tcBorders>
            <w:noWrap w:val="0"/>
            <w:vAlign w:val="center"/>
          </w:tcPr>
          <w:p w14:paraId="794B5630">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74347F9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个</w:t>
            </w: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70EBBDC3">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82</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51A600E1">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tcBorders>
              <w:top w:val="single" w:color="000000" w:sz="4" w:space="0"/>
              <w:left w:val="single" w:color="000000" w:sz="4" w:space="0"/>
              <w:bottom w:val="single" w:color="000000" w:sz="4" w:space="0"/>
              <w:right w:val="single" w:color="000000" w:sz="4" w:space="0"/>
            </w:tcBorders>
            <w:noWrap w:val="0"/>
            <w:vAlign w:val="center"/>
          </w:tcPr>
          <w:p w14:paraId="1EF5664A">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r>
      <w:tr w14:paraId="647BF1DA">
        <w:tblPrEx>
          <w:tblCellMar>
            <w:top w:w="0" w:type="dxa"/>
            <w:left w:w="108" w:type="dxa"/>
            <w:bottom w:w="0" w:type="dxa"/>
            <w:right w:w="108" w:type="dxa"/>
          </w:tblCellMar>
        </w:tblPrEx>
        <w:trPr>
          <w:trHeight w:val="629" w:hRule="atLeast"/>
          <w:jc w:val="center"/>
        </w:trPr>
        <w:tc>
          <w:tcPr>
            <w:tcW w:w="414" w:type="pct"/>
            <w:tcBorders>
              <w:top w:val="single" w:color="000000" w:sz="4" w:space="0"/>
              <w:left w:val="single" w:color="000000" w:sz="4" w:space="0"/>
              <w:bottom w:val="single" w:color="000000" w:sz="4" w:space="0"/>
              <w:right w:val="single" w:color="000000" w:sz="4" w:space="0"/>
            </w:tcBorders>
            <w:noWrap w:val="0"/>
            <w:vAlign w:val="center"/>
          </w:tcPr>
          <w:p w14:paraId="6FA1CAB9">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4</w:t>
            </w:r>
          </w:p>
        </w:tc>
        <w:tc>
          <w:tcPr>
            <w:tcW w:w="874" w:type="pct"/>
            <w:tcBorders>
              <w:top w:val="single" w:color="000000" w:sz="4" w:space="0"/>
              <w:left w:val="single" w:color="000000" w:sz="4" w:space="0"/>
              <w:bottom w:val="single" w:color="000000" w:sz="4" w:space="0"/>
              <w:right w:val="single" w:color="000000" w:sz="4" w:space="0"/>
            </w:tcBorders>
            <w:noWrap w:val="0"/>
            <w:vAlign w:val="center"/>
          </w:tcPr>
          <w:p w14:paraId="574C39EB">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24口千兆POE交换机</w:t>
            </w:r>
          </w:p>
        </w:tc>
        <w:tc>
          <w:tcPr>
            <w:tcW w:w="398" w:type="pct"/>
            <w:tcBorders>
              <w:top w:val="single" w:color="000000" w:sz="4" w:space="0"/>
              <w:left w:val="single" w:color="000000" w:sz="4" w:space="0"/>
              <w:bottom w:val="single" w:color="000000" w:sz="4" w:space="0"/>
              <w:right w:val="single" w:color="000000" w:sz="4" w:space="0"/>
            </w:tcBorders>
            <w:noWrap w:val="0"/>
            <w:vAlign w:val="center"/>
          </w:tcPr>
          <w:p w14:paraId="454D4297">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000000" w:sz="4" w:space="0"/>
              <w:left w:val="single" w:color="000000" w:sz="4" w:space="0"/>
              <w:bottom w:val="single" w:color="000000" w:sz="4" w:space="0"/>
              <w:right w:val="single" w:color="000000" w:sz="4" w:space="0"/>
            </w:tcBorders>
            <w:noWrap w:val="0"/>
            <w:vAlign w:val="center"/>
          </w:tcPr>
          <w:p w14:paraId="5F978390">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000000" w:sz="4" w:space="0"/>
              <w:left w:val="single" w:color="000000" w:sz="4" w:space="0"/>
              <w:bottom w:val="single" w:color="000000" w:sz="4" w:space="0"/>
              <w:right w:val="single" w:color="000000" w:sz="4" w:space="0"/>
            </w:tcBorders>
            <w:noWrap w:val="0"/>
            <w:vAlign w:val="center"/>
          </w:tcPr>
          <w:p w14:paraId="59A666FC">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3481660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个</w:t>
            </w: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2A25A4C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29</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60D7894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tcBorders>
              <w:top w:val="single" w:color="000000" w:sz="4" w:space="0"/>
              <w:left w:val="single" w:color="000000" w:sz="4" w:space="0"/>
              <w:bottom w:val="single" w:color="000000" w:sz="4" w:space="0"/>
              <w:right w:val="single" w:color="000000" w:sz="4" w:space="0"/>
            </w:tcBorders>
            <w:noWrap w:val="0"/>
            <w:vAlign w:val="center"/>
          </w:tcPr>
          <w:p w14:paraId="0397A2B2">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r>
      <w:tr w14:paraId="663A460C">
        <w:tblPrEx>
          <w:tblCellMar>
            <w:top w:w="0" w:type="dxa"/>
            <w:left w:w="108" w:type="dxa"/>
            <w:bottom w:w="0" w:type="dxa"/>
            <w:right w:w="108" w:type="dxa"/>
          </w:tblCellMar>
        </w:tblPrEx>
        <w:trPr>
          <w:trHeight w:val="559" w:hRule="atLeast"/>
          <w:jc w:val="center"/>
        </w:trPr>
        <w:tc>
          <w:tcPr>
            <w:tcW w:w="414" w:type="pct"/>
            <w:tcBorders>
              <w:top w:val="single" w:color="000000" w:sz="4" w:space="0"/>
              <w:left w:val="single" w:color="000000" w:sz="4" w:space="0"/>
              <w:bottom w:val="single" w:color="000000" w:sz="4" w:space="0"/>
              <w:right w:val="single" w:color="000000" w:sz="4" w:space="0"/>
            </w:tcBorders>
            <w:noWrap w:val="0"/>
            <w:vAlign w:val="center"/>
          </w:tcPr>
          <w:p w14:paraId="644C855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5</w:t>
            </w:r>
          </w:p>
        </w:tc>
        <w:tc>
          <w:tcPr>
            <w:tcW w:w="874" w:type="pct"/>
            <w:tcBorders>
              <w:top w:val="single" w:color="000000" w:sz="4" w:space="0"/>
              <w:left w:val="single" w:color="000000" w:sz="4" w:space="0"/>
              <w:bottom w:val="single" w:color="000000" w:sz="4" w:space="0"/>
              <w:right w:val="single" w:color="000000" w:sz="4" w:space="0"/>
            </w:tcBorders>
            <w:noWrap w:val="0"/>
            <w:vAlign w:val="center"/>
          </w:tcPr>
          <w:p w14:paraId="7292D523">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汇聚机柜</w:t>
            </w:r>
          </w:p>
        </w:tc>
        <w:tc>
          <w:tcPr>
            <w:tcW w:w="398" w:type="pct"/>
            <w:tcBorders>
              <w:top w:val="single" w:color="000000" w:sz="4" w:space="0"/>
              <w:left w:val="single" w:color="000000" w:sz="4" w:space="0"/>
              <w:bottom w:val="single" w:color="000000" w:sz="4" w:space="0"/>
              <w:right w:val="single" w:color="000000" w:sz="4" w:space="0"/>
            </w:tcBorders>
            <w:noWrap w:val="0"/>
            <w:vAlign w:val="center"/>
          </w:tcPr>
          <w:p w14:paraId="4C5F9CA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000000" w:sz="4" w:space="0"/>
              <w:left w:val="single" w:color="000000" w:sz="4" w:space="0"/>
              <w:bottom w:val="single" w:color="000000" w:sz="4" w:space="0"/>
              <w:right w:val="single" w:color="000000" w:sz="4" w:space="0"/>
            </w:tcBorders>
            <w:noWrap w:val="0"/>
            <w:vAlign w:val="center"/>
          </w:tcPr>
          <w:p w14:paraId="5C795E5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000000" w:sz="4" w:space="0"/>
              <w:left w:val="single" w:color="000000" w:sz="4" w:space="0"/>
              <w:bottom w:val="single" w:color="000000" w:sz="4" w:space="0"/>
              <w:right w:val="single" w:color="000000" w:sz="4" w:space="0"/>
            </w:tcBorders>
            <w:noWrap w:val="0"/>
            <w:vAlign w:val="center"/>
          </w:tcPr>
          <w:p w14:paraId="7C6F7208">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3A56F63D">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个</w:t>
            </w: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114EA5ED">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29</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3E8D5445">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tcBorders>
              <w:top w:val="single" w:color="000000" w:sz="4" w:space="0"/>
              <w:left w:val="single" w:color="000000" w:sz="4" w:space="0"/>
              <w:bottom w:val="single" w:color="000000" w:sz="4" w:space="0"/>
              <w:right w:val="single" w:color="000000" w:sz="4" w:space="0"/>
            </w:tcBorders>
            <w:noWrap w:val="0"/>
            <w:vAlign w:val="center"/>
          </w:tcPr>
          <w:p w14:paraId="7D11A4E7">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r>
      <w:tr w14:paraId="3C86DB7E">
        <w:tblPrEx>
          <w:tblCellMar>
            <w:top w:w="0" w:type="dxa"/>
            <w:left w:w="108" w:type="dxa"/>
            <w:bottom w:w="0" w:type="dxa"/>
            <w:right w:w="108" w:type="dxa"/>
          </w:tblCellMar>
        </w:tblPrEx>
        <w:trPr>
          <w:trHeight w:val="563" w:hRule="atLeast"/>
          <w:jc w:val="center"/>
        </w:trPr>
        <w:tc>
          <w:tcPr>
            <w:tcW w:w="414" w:type="pct"/>
            <w:tcBorders>
              <w:top w:val="single" w:color="000000" w:sz="4" w:space="0"/>
              <w:left w:val="single" w:color="000000" w:sz="4" w:space="0"/>
              <w:bottom w:val="single" w:color="000000" w:sz="4" w:space="0"/>
              <w:right w:val="single" w:color="000000" w:sz="4" w:space="0"/>
            </w:tcBorders>
            <w:noWrap w:val="0"/>
            <w:vAlign w:val="center"/>
          </w:tcPr>
          <w:p w14:paraId="068E464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6</w:t>
            </w:r>
          </w:p>
        </w:tc>
        <w:tc>
          <w:tcPr>
            <w:tcW w:w="874" w:type="pct"/>
            <w:tcBorders>
              <w:top w:val="single" w:color="000000" w:sz="4" w:space="0"/>
              <w:left w:val="single" w:color="000000" w:sz="4" w:space="0"/>
              <w:bottom w:val="single" w:color="000000" w:sz="4" w:space="0"/>
              <w:right w:val="single" w:color="000000" w:sz="4" w:space="0"/>
            </w:tcBorders>
            <w:noWrap w:val="0"/>
            <w:vAlign w:val="center"/>
          </w:tcPr>
          <w:p w14:paraId="517EAEB0">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硬盘录像机</w:t>
            </w:r>
          </w:p>
        </w:tc>
        <w:tc>
          <w:tcPr>
            <w:tcW w:w="398" w:type="pct"/>
            <w:tcBorders>
              <w:top w:val="single" w:color="000000" w:sz="4" w:space="0"/>
              <w:left w:val="single" w:color="000000" w:sz="4" w:space="0"/>
              <w:bottom w:val="single" w:color="000000" w:sz="4" w:space="0"/>
              <w:right w:val="single" w:color="000000" w:sz="4" w:space="0"/>
            </w:tcBorders>
            <w:noWrap w:val="0"/>
            <w:vAlign w:val="center"/>
          </w:tcPr>
          <w:p w14:paraId="06873949">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000000" w:sz="4" w:space="0"/>
              <w:left w:val="single" w:color="000000" w:sz="4" w:space="0"/>
              <w:bottom w:val="single" w:color="000000" w:sz="4" w:space="0"/>
              <w:right w:val="single" w:color="000000" w:sz="4" w:space="0"/>
            </w:tcBorders>
            <w:noWrap w:val="0"/>
            <w:vAlign w:val="center"/>
          </w:tcPr>
          <w:p w14:paraId="77F8D522">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000000" w:sz="4" w:space="0"/>
              <w:left w:val="single" w:color="000000" w:sz="4" w:space="0"/>
              <w:bottom w:val="single" w:color="000000" w:sz="4" w:space="0"/>
              <w:right w:val="single" w:color="000000" w:sz="4" w:space="0"/>
            </w:tcBorders>
            <w:noWrap w:val="0"/>
            <w:vAlign w:val="center"/>
          </w:tcPr>
          <w:p w14:paraId="4A17934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107D245D">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个</w:t>
            </w: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77CF7B1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14</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1CEDA301">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tcBorders>
              <w:top w:val="single" w:color="000000" w:sz="4" w:space="0"/>
              <w:left w:val="single" w:color="000000" w:sz="4" w:space="0"/>
              <w:bottom w:val="single" w:color="000000" w:sz="4" w:space="0"/>
              <w:right w:val="single" w:color="000000" w:sz="4" w:space="0"/>
            </w:tcBorders>
            <w:noWrap w:val="0"/>
            <w:vAlign w:val="center"/>
          </w:tcPr>
          <w:p w14:paraId="7F86F60F">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r>
      <w:tr w14:paraId="73D6DCE9">
        <w:tblPrEx>
          <w:tblCellMar>
            <w:top w:w="0" w:type="dxa"/>
            <w:left w:w="108" w:type="dxa"/>
            <w:bottom w:w="0" w:type="dxa"/>
            <w:right w:w="108" w:type="dxa"/>
          </w:tblCellMar>
        </w:tblPrEx>
        <w:trPr>
          <w:trHeight w:val="585" w:hRule="atLeast"/>
          <w:jc w:val="center"/>
        </w:trPr>
        <w:tc>
          <w:tcPr>
            <w:tcW w:w="414" w:type="pct"/>
            <w:tcBorders>
              <w:top w:val="single" w:color="000000" w:sz="4" w:space="0"/>
              <w:left w:val="single" w:color="000000" w:sz="4" w:space="0"/>
              <w:bottom w:val="single" w:color="000000" w:sz="4" w:space="0"/>
              <w:right w:val="single" w:color="000000" w:sz="4" w:space="0"/>
            </w:tcBorders>
            <w:noWrap w:val="0"/>
            <w:vAlign w:val="center"/>
          </w:tcPr>
          <w:p w14:paraId="08E31CC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7</w:t>
            </w:r>
          </w:p>
        </w:tc>
        <w:tc>
          <w:tcPr>
            <w:tcW w:w="874" w:type="pct"/>
            <w:tcBorders>
              <w:top w:val="single" w:color="000000" w:sz="4" w:space="0"/>
              <w:left w:val="single" w:color="000000" w:sz="4" w:space="0"/>
              <w:bottom w:val="single" w:color="000000" w:sz="4" w:space="0"/>
              <w:right w:val="single" w:color="000000" w:sz="4" w:space="0"/>
            </w:tcBorders>
            <w:noWrap w:val="0"/>
            <w:vAlign w:val="center"/>
          </w:tcPr>
          <w:p w14:paraId="150F7661">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硬盘</w:t>
            </w:r>
          </w:p>
        </w:tc>
        <w:tc>
          <w:tcPr>
            <w:tcW w:w="398" w:type="pct"/>
            <w:tcBorders>
              <w:top w:val="single" w:color="000000" w:sz="4" w:space="0"/>
              <w:left w:val="single" w:color="000000" w:sz="4" w:space="0"/>
              <w:bottom w:val="single" w:color="000000" w:sz="4" w:space="0"/>
              <w:right w:val="single" w:color="000000" w:sz="4" w:space="0"/>
            </w:tcBorders>
            <w:noWrap w:val="0"/>
            <w:vAlign w:val="center"/>
          </w:tcPr>
          <w:p w14:paraId="5B6B93C2">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000000" w:sz="4" w:space="0"/>
              <w:left w:val="single" w:color="000000" w:sz="4" w:space="0"/>
              <w:bottom w:val="single" w:color="auto" w:sz="4" w:space="0"/>
              <w:right w:val="single" w:color="000000" w:sz="4" w:space="0"/>
            </w:tcBorders>
            <w:noWrap w:val="0"/>
            <w:vAlign w:val="center"/>
          </w:tcPr>
          <w:p w14:paraId="0A1C004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000000" w:sz="4" w:space="0"/>
              <w:left w:val="single" w:color="000000" w:sz="4" w:space="0"/>
              <w:bottom w:val="single" w:color="auto" w:sz="4" w:space="0"/>
              <w:right w:val="single" w:color="000000" w:sz="4" w:space="0"/>
            </w:tcBorders>
            <w:noWrap w:val="0"/>
            <w:vAlign w:val="center"/>
          </w:tcPr>
          <w:p w14:paraId="79DADA3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tcBorders>
              <w:top w:val="single" w:color="000000" w:sz="4" w:space="0"/>
              <w:left w:val="single" w:color="000000" w:sz="4" w:space="0"/>
              <w:bottom w:val="single" w:color="000000" w:sz="4" w:space="0"/>
              <w:right w:val="single" w:color="000000" w:sz="4" w:space="0"/>
            </w:tcBorders>
            <w:noWrap w:val="0"/>
            <w:vAlign w:val="center"/>
          </w:tcPr>
          <w:p w14:paraId="4F0723EC">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个</w:t>
            </w:r>
          </w:p>
        </w:tc>
        <w:tc>
          <w:tcPr>
            <w:tcW w:w="377" w:type="pct"/>
            <w:tcBorders>
              <w:top w:val="single" w:color="000000" w:sz="4" w:space="0"/>
              <w:left w:val="single" w:color="000000" w:sz="4" w:space="0"/>
              <w:bottom w:val="single" w:color="000000" w:sz="4" w:space="0"/>
              <w:right w:val="single" w:color="000000" w:sz="4" w:space="0"/>
            </w:tcBorders>
            <w:noWrap w:val="0"/>
            <w:vAlign w:val="center"/>
          </w:tcPr>
          <w:p w14:paraId="563FB432">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28</w:t>
            </w:r>
          </w:p>
        </w:tc>
        <w:tc>
          <w:tcPr>
            <w:tcW w:w="665" w:type="pct"/>
            <w:tcBorders>
              <w:top w:val="single" w:color="000000" w:sz="4" w:space="0"/>
              <w:left w:val="single" w:color="000000" w:sz="4" w:space="0"/>
              <w:bottom w:val="single" w:color="000000" w:sz="4" w:space="0"/>
              <w:right w:val="single" w:color="000000" w:sz="4" w:space="0"/>
            </w:tcBorders>
            <w:noWrap w:val="0"/>
            <w:vAlign w:val="center"/>
          </w:tcPr>
          <w:p w14:paraId="294754BF">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tcBorders>
              <w:top w:val="single" w:color="000000" w:sz="4" w:space="0"/>
              <w:left w:val="single" w:color="000000" w:sz="4" w:space="0"/>
              <w:bottom w:val="single" w:color="000000" w:sz="4" w:space="0"/>
              <w:right w:val="single" w:color="000000" w:sz="4" w:space="0"/>
            </w:tcBorders>
            <w:noWrap w:val="0"/>
            <w:vAlign w:val="center"/>
          </w:tcPr>
          <w:p w14:paraId="4452C3DB">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r>
      <w:tr w14:paraId="5434E625">
        <w:tblPrEx>
          <w:tblCellMar>
            <w:top w:w="0" w:type="dxa"/>
            <w:left w:w="108" w:type="dxa"/>
            <w:bottom w:w="0" w:type="dxa"/>
            <w:right w:w="108" w:type="dxa"/>
          </w:tblCellMar>
        </w:tblPrEx>
        <w:trPr>
          <w:trHeight w:val="542" w:hRule="atLeast"/>
          <w:jc w:val="center"/>
        </w:trPr>
        <w:tc>
          <w:tcPr>
            <w:tcW w:w="414" w:type="pct"/>
            <w:vMerge w:val="restart"/>
            <w:tcBorders>
              <w:top w:val="single" w:color="000000" w:sz="4" w:space="0"/>
              <w:left w:val="single" w:color="000000" w:sz="4" w:space="0"/>
              <w:right w:val="single" w:color="000000" w:sz="4" w:space="0"/>
            </w:tcBorders>
            <w:noWrap w:val="0"/>
            <w:vAlign w:val="center"/>
          </w:tcPr>
          <w:p w14:paraId="0E54F73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8</w:t>
            </w: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118748B">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6类网线</w:t>
            </w:r>
          </w:p>
        </w:tc>
        <w:tc>
          <w:tcPr>
            <w:tcW w:w="398" w:type="pct"/>
            <w:tcBorders>
              <w:top w:val="single" w:color="000000" w:sz="4" w:space="0"/>
              <w:left w:val="single" w:color="000000" w:sz="4" w:space="0"/>
              <w:bottom w:val="single" w:color="000000" w:sz="4" w:space="0"/>
              <w:right w:val="single" w:color="auto" w:sz="4" w:space="0"/>
            </w:tcBorders>
            <w:noWrap w:val="0"/>
            <w:vAlign w:val="center"/>
          </w:tcPr>
          <w:p w14:paraId="46665C0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auto" w:sz="4" w:space="0"/>
              <w:left w:val="single" w:color="auto" w:sz="4" w:space="0"/>
              <w:bottom w:val="single" w:color="auto" w:sz="4" w:space="0"/>
              <w:right w:val="single" w:color="auto" w:sz="4" w:space="0"/>
            </w:tcBorders>
            <w:noWrap w:val="0"/>
            <w:vAlign w:val="center"/>
          </w:tcPr>
          <w:p w14:paraId="65D7FFB1">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auto" w:sz="4" w:space="0"/>
              <w:left w:val="single" w:color="auto" w:sz="4" w:space="0"/>
              <w:bottom w:val="single" w:color="auto" w:sz="4" w:space="0"/>
              <w:right w:val="single" w:color="auto" w:sz="4" w:space="0"/>
            </w:tcBorders>
            <w:noWrap w:val="0"/>
            <w:vAlign w:val="center"/>
          </w:tcPr>
          <w:p w14:paraId="19524BED">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vMerge w:val="restart"/>
            <w:tcBorders>
              <w:top w:val="single" w:color="000000" w:sz="4" w:space="0"/>
              <w:left w:val="single" w:color="auto" w:sz="4" w:space="0"/>
              <w:right w:val="single" w:color="000000" w:sz="4" w:space="0"/>
            </w:tcBorders>
            <w:noWrap w:val="0"/>
            <w:vAlign w:val="center"/>
          </w:tcPr>
          <w:p w14:paraId="12F36EF7">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项</w:t>
            </w:r>
          </w:p>
        </w:tc>
        <w:tc>
          <w:tcPr>
            <w:tcW w:w="377" w:type="pct"/>
            <w:vMerge w:val="restart"/>
            <w:tcBorders>
              <w:top w:val="single" w:color="000000" w:sz="4" w:space="0"/>
              <w:left w:val="single" w:color="000000" w:sz="4" w:space="0"/>
              <w:right w:val="single" w:color="000000" w:sz="4" w:space="0"/>
            </w:tcBorders>
            <w:noWrap w:val="0"/>
            <w:vAlign w:val="center"/>
          </w:tcPr>
          <w:p w14:paraId="74BEED5C">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1</w:t>
            </w:r>
          </w:p>
        </w:tc>
        <w:tc>
          <w:tcPr>
            <w:tcW w:w="665" w:type="pct"/>
            <w:vMerge w:val="restart"/>
            <w:tcBorders>
              <w:top w:val="single" w:color="000000" w:sz="4" w:space="0"/>
              <w:left w:val="single" w:color="000000" w:sz="4" w:space="0"/>
              <w:right w:val="single" w:color="000000" w:sz="4" w:space="0"/>
            </w:tcBorders>
            <w:noWrap w:val="0"/>
            <w:vAlign w:val="center"/>
          </w:tcPr>
          <w:p w14:paraId="5009A73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vMerge w:val="restart"/>
            <w:tcBorders>
              <w:top w:val="single" w:color="000000" w:sz="4" w:space="0"/>
              <w:left w:val="single" w:color="000000" w:sz="4" w:space="0"/>
              <w:right w:val="single" w:color="000000" w:sz="4" w:space="0"/>
            </w:tcBorders>
            <w:noWrap w:val="0"/>
            <w:vAlign w:val="center"/>
          </w:tcPr>
          <w:p w14:paraId="0ABB0D2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r>
      <w:tr w14:paraId="1213C401">
        <w:tblPrEx>
          <w:tblCellMar>
            <w:top w:w="0" w:type="dxa"/>
            <w:left w:w="108" w:type="dxa"/>
            <w:bottom w:w="0" w:type="dxa"/>
            <w:right w:w="108" w:type="dxa"/>
          </w:tblCellMar>
        </w:tblPrEx>
        <w:trPr>
          <w:trHeight w:val="576" w:hRule="atLeast"/>
          <w:jc w:val="center"/>
        </w:trPr>
        <w:tc>
          <w:tcPr>
            <w:tcW w:w="414" w:type="pct"/>
            <w:vMerge w:val="continue"/>
            <w:tcBorders>
              <w:left w:val="single" w:color="000000" w:sz="4" w:space="0"/>
              <w:right w:val="single" w:color="000000" w:sz="4" w:space="0"/>
            </w:tcBorders>
            <w:noWrap w:val="0"/>
            <w:vAlign w:val="center"/>
          </w:tcPr>
          <w:p w14:paraId="4380065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3983EA1B">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电源线</w:t>
            </w:r>
          </w:p>
        </w:tc>
        <w:tc>
          <w:tcPr>
            <w:tcW w:w="398" w:type="pct"/>
            <w:tcBorders>
              <w:top w:val="single" w:color="000000" w:sz="4" w:space="0"/>
              <w:left w:val="single" w:color="000000" w:sz="4" w:space="0"/>
              <w:bottom w:val="single" w:color="000000" w:sz="4" w:space="0"/>
              <w:right w:val="single" w:color="auto" w:sz="4" w:space="0"/>
            </w:tcBorders>
            <w:noWrap w:val="0"/>
            <w:vAlign w:val="center"/>
          </w:tcPr>
          <w:p w14:paraId="4EE6AB4D">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auto" w:sz="4" w:space="0"/>
              <w:left w:val="single" w:color="auto" w:sz="4" w:space="0"/>
              <w:bottom w:val="single" w:color="auto" w:sz="4" w:space="0"/>
              <w:right w:val="single" w:color="auto" w:sz="4" w:space="0"/>
            </w:tcBorders>
            <w:noWrap w:val="0"/>
            <w:vAlign w:val="center"/>
          </w:tcPr>
          <w:p w14:paraId="3E366BFC">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auto" w:sz="4" w:space="0"/>
              <w:left w:val="single" w:color="auto" w:sz="4" w:space="0"/>
              <w:bottom w:val="single" w:color="auto" w:sz="4" w:space="0"/>
              <w:right w:val="single" w:color="auto" w:sz="4" w:space="0"/>
            </w:tcBorders>
            <w:noWrap w:val="0"/>
            <w:vAlign w:val="center"/>
          </w:tcPr>
          <w:p w14:paraId="519DE3D3">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vMerge w:val="continue"/>
            <w:tcBorders>
              <w:left w:val="single" w:color="auto" w:sz="4" w:space="0"/>
              <w:right w:val="single" w:color="000000" w:sz="4" w:space="0"/>
            </w:tcBorders>
            <w:noWrap w:val="0"/>
            <w:vAlign w:val="center"/>
          </w:tcPr>
          <w:p w14:paraId="3695E16A">
            <w:pPr>
              <w:widowControl/>
              <w:adjustRightInd w:val="0"/>
              <w:snapToGrid w:val="0"/>
              <w:spacing w:line="360" w:lineRule="auto"/>
              <w:jc w:val="center"/>
              <w:textAlignment w:val="center"/>
              <w:rPr>
                <w:rFonts w:hint="eastAsia" w:ascii="仿宋" w:hAnsi="仿宋" w:eastAsia="仿宋" w:cs="仿宋"/>
                <w:i w:val="0"/>
                <w:iCs w:val="0"/>
                <w:color w:val="auto"/>
                <w:kern w:val="0"/>
                <w:sz w:val="18"/>
                <w:szCs w:val="18"/>
                <w:highlight w:val="none"/>
                <w:u w:val="none"/>
                <w:lang w:val="en-US" w:eastAsia="zh-CN" w:bidi="ar"/>
              </w:rPr>
            </w:pPr>
          </w:p>
        </w:tc>
        <w:tc>
          <w:tcPr>
            <w:tcW w:w="377" w:type="pct"/>
            <w:vMerge w:val="continue"/>
            <w:tcBorders>
              <w:left w:val="single" w:color="000000" w:sz="4" w:space="0"/>
              <w:right w:val="single" w:color="000000" w:sz="4" w:space="0"/>
            </w:tcBorders>
            <w:noWrap w:val="0"/>
            <w:vAlign w:val="center"/>
          </w:tcPr>
          <w:p w14:paraId="256CDFB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65" w:type="pct"/>
            <w:vMerge w:val="continue"/>
            <w:tcBorders>
              <w:left w:val="single" w:color="000000" w:sz="4" w:space="0"/>
              <w:right w:val="single" w:color="000000" w:sz="4" w:space="0"/>
            </w:tcBorders>
            <w:noWrap w:val="0"/>
            <w:vAlign w:val="center"/>
          </w:tcPr>
          <w:p w14:paraId="450A07E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vMerge w:val="continue"/>
            <w:tcBorders>
              <w:left w:val="single" w:color="000000" w:sz="4" w:space="0"/>
              <w:right w:val="single" w:color="000000" w:sz="4" w:space="0"/>
            </w:tcBorders>
            <w:noWrap w:val="0"/>
            <w:vAlign w:val="center"/>
          </w:tcPr>
          <w:p w14:paraId="681693E6">
            <w:pPr>
              <w:widowControl/>
              <w:adjustRightInd w:val="0"/>
              <w:snapToGrid w:val="0"/>
              <w:spacing w:line="360" w:lineRule="auto"/>
              <w:jc w:val="center"/>
              <w:textAlignment w:val="center"/>
              <w:rPr>
                <w:rFonts w:hint="eastAsia" w:ascii="仿宋" w:hAnsi="仿宋" w:eastAsia="仿宋" w:cs="仿宋"/>
                <w:b/>
                <w:bCs/>
                <w:color w:val="auto"/>
                <w:kern w:val="0"/>
                <w:sz w:val="24"/>
                <w:szCs w:val="24"/>
                <w:highlight w:val="none"/>
                <w:lang w:bidi="ar"/>
              </w:rPr>
            </w:pPr>
          </w:p>
        </w:tc>
      </w:tr>
      <w:tr w14:paraId="13C531C5">
        <w:tblPrEx>
          <w:tblCellMar>
            <w:top w:w="0" w:type="dxa"/>
            <w:left w:w="108" w:type="dxa"/>
            <w:bottom w:w="0" w:type="dxa"/>
            <w:right w:w="108" w:type="dxa"/>
          </w:tblCellMar>
        </w:tblPrEx>
        <w:trPr>
          <w:trHeight w:val="550" w:hRule="atLeast"/>
          <w:jc w:val="center"/>
        </w:trPr>
        <w:tc>
          <w:tcPr>
            <w:tcW w:w="414" w:type="pct"/>
            <w:vMerge w:val="continue"/>
            <w:tcBorders>
              <w:left w:val="single" w:color="000000" w:sz="4" w:space="0"/>
              <w:right w:val="single" w:color="000000" w:sz="4" w:space="0"/>
            </w:tcBorders>
            <w:noWrap w:val="0"/>
            <w:vAlign w:val="center"/>
          </w:tcPr>
          <w:p w14:paraId="56E93082">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07E2EE4D">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PVC管线</w:t>
            </w:r>
          </w:p>
        </w:tc>
        <w:tc>
          <w:tcPr>
            <w:tcW w:w="398" w:type="pct"/>
            <w:tcBorders>
              <w:top w:val="single" w:color="000000" w:sz="4" w:space="0"/>
              <w:left w:val="single" w:color="000000" w:sz="4" w:space="0"/>
              <w:bottom w:val="single" w:color="000000" w:sz="4" w:space="0"/>
              <w:right w:val="single" w:color="auto" w:sz="4" w:space="0"/>
            </w:tcBorders>
            <w:noWrap w:val="0"/>
            <w:vAlign w:val="center"/>
          </w:tcPr>
          <w:p w14:paraId="41785165">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auto" w:sz="4" w:space="0"/>
              <w:left w:val="single" w:color="auto" w:sz="4" w:space="0"/>
              <w:bottom w:val="single" w:color="auto" w:sz="4" w:space="0"/>
              <w:right w:val="single" w:color="auto" w:sz="4" w:space="0"/>
            </w:tcBorders>
            <w:noWrap w:val="0"/>
            <w:vAlign w:val="center"/>
          </w:tcPr>
          <w:p w14:paraId="20E0C95C">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auto" w:sz="4" w:space="0"/>
              <w:left w:val="single" w:color="auto" w:sz="4" w:space="0"/>
              <w:bottom w:val="single" w:color="auto" w:sz="4" w:space="0"/>
              <w:right w:val="single" w:color="auto" w:sz="4" w:space="0"/>
            </w:tcBorders>
            <w:noWrap w:val="0"/>
            <w:vAlign w:val="center"/>
          </w:tcPr>
          <w:p w14:paraId="7472FF29">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vMerge w:val="continue"/>
            <w:tcBorders>
              <w:left w:val="single" w:color="auto" w:sz="4" w:space="0"/>
              <w:right w:val="single" w:color="000000" w:sz="4" w:space="0"/>
            </w:tcBorders>
            <w:noWrap w:val="0"/>
            <w:vAlign w:val="center"/>
          </w:tcPr>
          <w:p w14:paraId="3801944D">
            <w:pPr>
              <w:widowControl/>
              <w:adjustRightInd w:val="0"/>
              <w:snapToGrid w:val="0"/>
              <w:spacing w:line="360" w:lineRule="auto"/>
              <w:jc w:val="center"/>
              <w:textAlignment w:val="center"/>
              <w:rPr>
                <w:rFonts w:hint="eastAsia" w:ascii="仿宋" w:hAnsi="仿宋" w:eastAsia="仿宋" w:cs="仿宋"/>
                <w:i w:val="0"/>
                <w:iCs w:val="0"/>
                <w:color w:val="auto"/>
                <w:kern w:val="0"/>
                <w:sz w:val="18"/>
                <w:szCs w:val="18"/>
                <w:highlight w:val="none"/>
                <w:u w:val="none"/>
                <w:lang w:val="en-US" w:eastAsia="zh-CN" w:bidi="ar"/>
              </w:rPr>
            </w:pPr>
          </w:p>
        </w:tc>
        <w:tc>
          <w:tcPr>
            <w:tcW w:w="377" w:type="pct"/>
            <w:vMerge w:val="continue"/>
            <w:tcBorders>
              <w:left w:val="single" w:color="000000" w:sz="4" w:space="0"/>
              <w:right w:val="single" w:color="000000" w:sz="4" w:space="0"/>
            </w:tcBorders>
            <w:noWrap w:val="0"/>
            <w:vAlign w:val="center"/>
          </w:tcPr>
          <w:p w14:paraId="24B8439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65" w:type="pct"/>
            <w:vMerge w:val="continue"/>
            <w:tcBorders>
              <w:left w:val="single" w:color="000000" w:sz="4" w:space="0"/>
              <w:right w:val="single" w:color="000000" w:sz="4" w:space="0"/>
            </w:tcBorders>
            <w:noWrap w:val="0"/>
            <w:vAlign w:val="center"/>
          </w:tcPr>
          <w:p w14:paraId="769834E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vMerge w:val="continue"/>
            <w:tcBorders>
              <w:left w:val="single" w:color="000000" w:sz="4" w:space="0"/>
              <w:right w:val="single" w:color="000000" w:sz="4" w:space="0"/>
            </w:tcBorders>
            <w:noWrap w:val="0"/>
            <w:vAlign w:val="center"/>
          </w:tcPr>
          <w:p w14:paraId="185BA0BC">
            <w:pPr>
              <w:widowControl/>
              <w:adjustRightInd w:val="0"/>
              <w:snapToGrid w:val="0"/>
              <w:spacing w:line="360" w:lineRule="auto"/>
              <w:jc w:val="center"/>
              <w:textAlignment w:val="center"/>
              <w:rPr>
                <w:rFonts w:hint="eastAsia" w:ascii="仿宋" w:hAnsi="仿宋" w:eastAsia="仿宋" w:cs="仿宋"/>
                <w:b/>
                <w:bCs/>
                <w:color w:val="auto"/>
                <w:kern w:val="0"/>
                <w:sz w:val="24"/>
                <w:szCs w:val="24"/>
                <w:highlight w:val="none"/>
                <w:lang w:bidi="ar"/>
              </w:rPr>
            </w:pPr>
          </w:p>
        </w:tc>
      </w:tr>
      <w:tr w14:paraId="7F3E7D34">
        <w:tblPrEx>
          <w:tblCellMar>
            <w:top w:w="0" w:type="dxa"/>
            <w:left w:w="108" w:type="dxa"/>
            <w:bottom w:w="0" w:type="dxa"/>
            <w:right w:w="108" w:type="dxa"/>
          </w:tblCellMar>
        </w:tblPrEx>
        <w:trPr>
          <w:trHeight w:val="525" w:hRule="atLeast"/>
          <w:jc w:val="center"/>
        </w:trPr>
        <w:tc>
          <w:tcPr>
            <w:tcW w:w="414" w:type="pct"/>
            <w:vMerge w:val="continue"/>
            <w:tcBorders>
              <w:left w:val="single" w:color="000000" w:sz="4" w:space="0"/>
              <w:right w:val="single" w:color="000000" w:sz="4" w:space="0"/>
            </w:tcBorders>
            <w:noWrap w:val="0"/>
            <w:vAlign w:val="center"/>
          </w:tcPr>
          <w:p w14:paraId="5E28EEE9">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1C0DE7D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辅材</w:t>
            </w:r>
          </w:p>
        </w:tc>
        <w:tc>
          <w:tcPr>
            <w:tcW w:w="398" w:type="pct"/>
            <w:tcBorders>
              <w:top w:val="single" w:color="000000" w:sz="4" w:space="0"/>
              <w:left w:val="single" w:color="000000" w:sz="4" w:space="0"/>
              <w:bottom w:val="single" w:color="000000" w:sz="4" w:space="0"/>
              <w:right w:val="single" w:color="auto" w:sz="4" w:space="0"/>
            </w:tcBorders>
            <w:noWrap w:val="0"/>
            <w:vAlign w:val="center"/>
          </w:tcPr>
          <w:p w14:paraId="17CA9BC0">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562" w:type="pct"/>
            <w:tcBorders>
              <w:top w:val="single" w:color="auto" w:sz="4" w:space="0"/>
              <w:left w:val="single" w:color="auto" w:sz="4" w:space="0"/>
              <w:bottom w:val="single" w:color="auto" w:sz="4" w:space="0"/>
              <w:right w:val="single" w:color="auto" w:sz="4" w:space="0"/>
            </w:tcBorders>
            <w:noWrap w:val="0"/>
            <w:vAlign w:val="center"/>
          </w:tcPr>
          <w:p w14:paraId="565170E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39" w:type="pct"/>
            <w:tcBorders>
              <w:top w:val="single" w:color="auto" w:sz="4" w:space="0"/>
              <w:left w:val="single" w:color="auto" w:sz="4" w:space="0"/>
              <w:bottom w:val="single" w:color="auto" w:sz="4" w:space="0"/>
              <w:right w:val="single" w:color="auto" w:sz="4" w:space="0"/>
            </w:tcBorders>
            <w:noWrap w:val="0"/>
            <w:vAlign w:val="center"/>
          </w:tcPr>
          <w:p w14:paraId="413BE56E">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414" w:type="pct"/>
            <w:vMerge w:val="continue"/>
            <w:tcBorders>
              <w:left w:val="single" w:color="auto" w:sz="4" w:space="0"/>
              <w:right w:val="single" w:color="000000" w:sz="4" w:space="0"/>
            </w:tcBorders>
            <w:noWrap w:val="0"/>
            <w:vAlign w:val="center"/>
          </w:tcPr>
          <w:p w14:paraId="7E2D71C1">
            <w:pPr>
              <w:widowControl/>
              <w:adjustRightInd w:val="0"/>
              <w:snapToGrid w:val="0"/>
              <w:spacing w:line="360" w:lineRule="auto"/>
              <w:jc w:val="center"/>
              <w:textAlignment w:val="center"/>
              <w:rPr>
                <w:rFonts w:hint="eastAsia" w:ascii="仿宋" w:hAnsi="仿宋" w:eastAsia="仿宋" w:cs="仿宋"/>
                <w:i w:val="0"/>
                <w:iCs w:val="0"/>
                <w:color w:val="auto"/>
                <w:kern w:val="0"/>
                <w:sz w:val="18"/>
                <w:szCs w:val="18"/>
                <w:highlight w:val="none"/>
                <w:u w:val="none"/>
                <w:lang w:val="en-US" w:eastAsia="zh-CN" w:bidi="ar"/>
              </w:rPr>
            </w:pPr>
          </w:p>
        </w:tc>
        <w:tc>
          <w:tcPr>
            <w:tcW w:w="377" w:type="pct"/>
            <w:vMerge w:val="continue"/>
            <w:tcBorders>
              <w:left w:val="single" w:color="000000" w:sz="4" w:space="0"/>
              <w:right w:val="single" w:color="000000" w:sz="4" w:space="0"/>
            </w:tcBorders>
            <w:noWrap w:val="0"/>
            <w:vAlign w:val="center"/>
          </w:tcPr>
          <w:p w14:paraId="6C9E7702">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65" w:type="pct"/>
            <w:vMerge w:val="continue"/>
            <w:tcBorders>
              <w:left w:val="single" w:color="000000" w:sz="4" w:space="0"/>
              <w:right w:val="single" w:color="000000" w:sz="4" w:space="0"/>
            </w:tcBorders>
            <w:noWrap w:val="0"/>
            <w:vAlign w:val="center"/>
          </w:tcPr>
          <w:p w14:paraId="1E8C709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vMerge w:val="continue"/>
            <w:tcBorders>
              <w:left w:val="single" w:color="000000" w:sz="4" w:space="0"/>
              <w:right w:val="single" w:color="000000" w:sz="4" w:space="0"/>
            </w:tcBorders>
            <w:noWrap w:val="0"/>
            <w:vAlign w:val="center"/>
          </w:tcPr>
          <w:p w14:paraId="7D3B322E">
            <w:pPr>
              <w:widowControl/>
              <w:adjustRightInd w:val="0"/>
              <w:snapToGrid w:val="0"/>
              <w:spacing w:line="360" w:lineRule="auto"/>
              <w:jc w:val="center"/>
              <w:textAlignment w:val="center"/>
              <w:rPr>
                <w:rFonts w:hint="eastAsia" w:ascii="仿宋" w:hAnsi="仿宋" w:eastAsia="仿宋" w:cs="仿宋"/>
                <w:b/>
                <w:bCs/>
                <w:color w:val="auto"/>
                <w:kern w:val="0"/>
                <w:sz w:val="24"/>
                <w:szCs w:val="24"/>
                <w:highlight w:val="none"/>
                <w:lang w:bidi="ar"/>
              </w:rPr>
            </w:pPr>
          </w:p>
        </w:tc>
      </w:tr>
      <w:tr w14:paraId="5544461E">
        <w:tblPrEx>
          <w:tblCellMar>
            <w:top w:w="0" w:type="dxa"/>
            <w:left w:w="108" w:type="dxa"/>
            <w:bottom w:w="0" w:type="dxa"/>
            <w:right w:w="108" w:type="dxa"/>
          </w:tblCellMar>
        </w:tblPrEx>
        <w:trPr>
          <w:trHeight w:val="581" w:hRule="atLeast"/>
          <w:jc w:val="center"/>
        </w:trPr>
        <w:tc>
          <w:tcPr>
            <w:tcW w:w="414" w:type="pct"/>
            <w:vMerge w:val="continue"/>
            <w:tcBorders>
              <w:left w:val="single" w:color="000000" w:sz="4" w:space="0"/>
              <w:bottom w:val="single" w:color="000000" w:sz="4" w:space="0"/>
              <w:right w:val="single" w:color="000000" w:sz="4" w:space="0"/>
            </w:tcBorders>
            <w:noWrap w:val="0"/>
            <w:vAlign w:val="center"/>
          </w:tcPr>
          <w:p w14:paraId="66FFEB71">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874" w:type="pct"/>
            <w:tcBorders>
              <w:top w:val="single" w:color="000000" w:sz="4" w:space="0"/>
              <w:left w:val="single" w:color="000000" w:sz="4" w:space="0"/>
              <w:bottom w:val="single" w:color="000000" w:sz="4" w:space="0"/>
              <w:right w:val="single" w:color="000000" w:sz="4" w:space="0"/>
            </w:tcBorders>
            <w:shd w:val="clear" w:color="auto" w:fill="auto"/>
            <w:noWrap w:val="0"/>
            <w:vAlign w:val="center"/>
          </w:tcPr>
          <w:p w14:paraId="6E0435C9">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利旧检查核实</w:t>
            </w:r>
          </w:p>
        </w:tc>
        <w:tc>
          <w:tcPr>
            <w:tcW w:w="398" w:type="pct"/>
            <w:tcBorders>
              <w:top w:val="single" w:color="000000" w:sz="4" w:space="0"/>
              <w:left w:val="single" w:color="000000" w:sz="4" w:space="0"/>
              <w:bottom w:val="single" w:color="000000" w:sz="4" w:space="0"/>
              <w:right w:val="single" w:color="auto" w:sz="4" w:space="0"/>
            </w:tcBorders>
            <w:noWrap w:val="0"/>
            <w:vAlign w:val="center"/>
          </w:tcPr>
          <w:p w14:paraId="713A3A6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w:t>
            </w:r>
          </w:p>
        </w:tc>
        <w:tc>
          <w:tcPr>
            <w:tcW w:w="562" w:type="pct"/>
            <w:tcBorders>
              <w:top w:val="single" w:color="auto" w:sz="4" w:space="0"/>
              <w:left w:val="single" w:color="auto" w:sz="4" w:space="0"/>
              <w:bottom w:val="single" w:color="auto" w:sz="4" w:space="0"/>
              <w:right w:val="single" w:color="auto" w:sz="4" w:space="0"/>
            </w:tcBorders>
            <w:noWrap w:val="0"/>
            <w:vAlign w:val="center"/>
          </w:tcPr>
          <w:p w14:paraId="4085B3B8">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w:t>
            </w:r>
          </w:p>
        </w:tc>
        <w:tc>
          <w:tcPr>
            <w:tcW w:w="639" w:type="pct"/>
            <w:tcBorders>
              <w:top w:val="single" w:color="auto" w:sz="4" w:space="0"/>
              <w:left w:val="single" w:color="auto" w:sz="4" w:space="0"/>
              <w:bottom w:val="single" w:color="auto" w:sz="4" w:space="0"/>
              <w:right w:val="single" w:color="auto" w:sz="4" w:space="0"/>
            </w:tcBorders>
            <w:noWrap w:val="0"/>
            <w:vAlign w:val="center"/>
          </w:tcPr>
          <w:p w14:paraId="047CDD2C">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r>
              <w:rPr>
                <w:rFonts w:hint="eastAsia" w:ascii="仿宋" w:hAnsi="仿宋" w:eastAsia="仿宋" w:cs="仿宋"/>
                <w:i w:val="0"/>
                <w:iCs w:val="0"/>
                <w:color w:val="auto"/>
                <w:kern w:val="0"/>
                <w:sz w:val="22"/>
                <w:szCs w:val="22"/>
                <w:highlight w:val="none"/>
                <w:u w:val="none"/>
                <w:lang w:val="en-US" w:eastAsia="zh-CN" w:bidi="ar"/>
              </w:rPr>
              <w:t>/</w:t>
            </w:r>
          </w:p>
        </w:tc>
        <w:tc>
          <w:tcPr>
            <w:tcW w:w="414" w:type="pct"/>
            <w:vMerge w:val="continue"/>
            <w:tcBorders>
              <w:left w:val="single" w:color="auto" w:sz="4" w:space="0"/>
              <w:bottom w:val="single" w:color="000000" w:sz="4" w:space="0"/>
              <w:right w:val="single" w:color="000000" w:sz="4" w:space="0"/>
            </w:tcBorders>
            <w:noWrap w:val="0"/>
            <w:vAlign w:val="center"/>
          </w:tcPr>
          <w:p w14:paraId="4B6BAD5A">
            <w:pPr>
              <w:widowControl/>
              <w:adjustRightInd w:val="0"/>
              <w:snapToGrid w:val="0"/>
              <w:spacing w:line="360" w:lineRule="auto"/>
              <w:jc w:val="center"/>
              <w:textAlignment w:val="center"/>
              <w:rPr>
                <w:rFonts w:hint="eastAsia" w:ascii="仿宋" w:hAnsi="仿宋" w:eastAsia="仿宋" w:cs="仿宋"/>
                <w:i w:val="0"/>
                <w:iCs w:val="0"/>
                <w:color w:val="auto"/>
                <w:kern w:val="0"/>
                <w:sz w:val="18"/>
                <w:szCs w:val="18"/>
                <w:highlight w:val="none"/>
                <w:u w:val="none"/>
                <w:lang w:val="en-US" w:eastAsia="zh-CN" w:bidi="ar"/>
              </w:rPr>
            </w:pPr>
          </w:p>
        </w:tc>
        <w:tc>
          <w:tcPr>
            <w:tcW w:w="377" w:type="pct"/>
            <w:vMerge w:val="continue"/>
            <w:tcBorders>
              <w:left w:val="single" w:color="000000" w:sz="4" w:space="0"/>
              <w:bottom w:val="single" w:color="000000" w:sz="4" w:space="0"/>
              <w:right w:val="single" w:color="000000" w:sz="4" w:space="0"/>
            </w:tcBorders>
            <w:noWrap w:val="0"/>
            <w:vAlign w:val="center"/>
          </w:tcPr>
          <w:p w14:paraId="77DE5684">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65" w:type="pct"/>
            <w:vMerge w:val="continue"/>
            <w:tcBorders>
              <w:left w:val="single" w:color="000000" w:sz="4" w:space="0"/>
              <w:bottom w:val="single" w:color="000000" w:sz="4" w:space="0"/>
              <w:right w:val="single" w:color="000000" w:sz="4" w:space="0"/>
            </w:tcBorders>
            <w:noWrap w:val="0"/>
            <w:vAlign w:val="center"/>
          </w:tcPr>
          <w:p w14:paraId="024759D6">
            <w:pPr>
              <w:keepNext w:val="0"/>
              <w:keepLines w:val="0"/>
              <w:widowControl/>
              <w:suppressLineNumbers w:val="0"/>
              <w:jc w:val="center"/>
              <w:textAlignment w:val="center"/>
              <w:rPr>
                <w:rFonts w:hint="eastAsia" w:ascii="仿宋" w:hAnsi="仿宋" w:eastAsia="仿宋" w:cs="仿宋"/>
                <w:i w:val="0"/>
                <w:iCs w:val="0"/>
                <w:color w:val="auto"/>
                <w:kern w:val="0"/>
                <w:sz w:val="22"/>
                <w:szCs w:val="22"/>
                <w:highlight w:val="none"/>
                <w:u w:val="none"/>
                <w:lang w:val="en-US" w:eastAsia="zh-CN" w:bidi="ar"/>
              </w:rPr>
            </w:pPr>
          </w:p>
        </w:tc>
        <w:tc>
          <w:tcPr>
            <w:tcW w:w="655" w:type="pct"/>
            <w:vMerge w:val="continue"/>
            <w:tcBorders>
              <w:left w:val="single" w:color="000000" w:sz="4" w:space="0"/>
              <w:bottom w:val="single" w:color="000000" w:sz="4" w:space="0"/>
              <w:right w:val="single" w:color="000000" w:sz="4" w:space="0"/>
            </w:tcBorders>
            <w:noWrap w:val="0"/>
            <w:vAlign w:val="center"/>
          </w:tcPr>
          <w:p w14:paraId="2DE84736">
            <w:pPr>
              <w:widowControl/>
              <w:adjustRightInd w:val="0"/>
              <w:snapToGrid w:val="0"/>
              <w:spacing w:line="360" w:lineRule="auto"/>
              <w:jc w:val="center"/>
              <w:textAlignment w:val="center"/>
              <w:rPr>
                <w:rFonts w:hint="eastAsia" w:ascii="仿宋" w:hAnsi="仿宋" w:eastAsia="仿宋" w:cs="仿宋"/>
                <w:b/>
                <w:bCs/>
                <w:color w:val="auto"/>
                <w:kern w:val="0"/>
                <w:sz w:val="24"/>
                <w:szCs w:val="24"/>
                <w:highlight w:val="none"/>
                <w:lang w:bidi="ar"/>
              </w:rPr>
            </w:pPr>
          </w:p>
        </w:tc>
      </w:tr>
      <w:tr w14:paraId="6F3BE7B5">
        <w:tblPrEx>
          <w:tblCellMar>
            <w:top w:w="0" w:type="dxa"/>
            <w:left w:w="108" w:type="dxa"/>
            <w:bottom w:w="0" w:type="dxa"/>
            <w:right w:w="108" w:type="dxa"/>
          </w:tblCellMar>
        </w:tblPrEx>
        <w:trPr>
          <w:trHeight w:val="642" w:hRule="atLeast"/>
          <w:jc w:val="center"/>
        </w:trPr>
        <w:tc>
          <w:tcPr>
            <w:tcW w:w="5000" w:type="pct"/>
            <w:gridSpan w:val="9"/>
            <w:tcBorders>
              <w:top w:val="single" w:color="000000" w:sz="4" w:space="0"/>
              <w:left w:val="single" w:color="000000" w:sz="4" w:space="0"/>
              <w:bottom w:val="single" w:color="000000" w:sz="4" w:space="0"/>
              <w:right w:val="single" w:color="000000" w:sz="4" w:space="0"/>
            </w:tcBorders>
            <w:noWrap w:val="0"/>
            <w:vAlign w:val="center"/>
          </w:tcPr>
          <w:p w14:paraId="4E65091C">
            <w:pPr>
              <w:adjustRightInd w:val="0"/>
              <w:snapToGrid w:val="0"/>
              <w:spacing w:line="240" w:lineRule="auto"/>
              <w:jc w:val="center"/>
              <w:rPr>
                <w:rFonts w:hint="eastAsia" w:ascii="仿宋" w:hAnsi="仿宋" w:eastAsia="仿宋" w:cs="仿宋"/>
                <w:b/>
                <w:color w:val="auto"/>
                <w:kern w:val="0"/>
                <w:sz w:val="24"/>
                <w:szCs w:val="24"/>
                <w:highlight w:val="none"/>
              </w:rPr>
            </w:pPr>
            <w:r>
              <w:rPr>
                <w:rFonts w:hint="eastAsia" w:ascii="仿宋" w:hAnsi="仿宋" w:eastAsia="仿宋" w:cs="仿宋"/>
                <w:b/>
                <w:color w:val="auto"/>
                <w:kern w:val="0"/>
                <w:sz w:val="24"/>
                <w:szCs w:val="24"/>
                <w:highlight w:val="none"/>
              </w:rPr>
              <w:t>金额合计</w:t>
            </w:r>
            <w:r>
              <w:rPr>
                <w:rFonts w:hint="eastAsia" w:ascii="仿宋" w:hAnsi="仿宋" w:eastAsia="仿宋" w:cs="仿宋"/>
                <w:b/>
                <w:color w:val="auto"/>
                <w:kern w:val="0"/>
                <w:sz w:val="24"/>
                <w:szCs w:val="24"/>
                <w:highlight w:val="none"/>
                <w:lang w:eastAsia="zh-CN"/>
              </w:rPr>
              <w:t>：</w:t>
            </w:r>
            <w:r>
              <w:rPr>
                <w:rFonts w:hint="eastAsia" w:ascii="仿宋" w:hAnsi="仿宋" w:eastAsia="仿宋" w:cs="仿宋"/>
                <w:b/>
                <w:color w:val="auto"/>
                <w:kern w:val="0"/>
                <w:sz w:val="24"/>
                <w:szCs w:val="24"/>
                <w:highlight w:val="none"/>
              </w:rPr>
              <w:t>小写</w:t>
            </w:r>
            <w:r>
              <w:rPr>
                <w:rFonts w:hint="eastAsia" w:ascii="仿宋" w:hAnsi="仿宋" w:eastAsia="仿宋" w:cs="仿宋"/>
                <w:b/>
                <w:color w:val="auto"/>
                <w:kern w:val="0"/>
                <w:sz w:val="24"/>
                <w:szCs w:val="24"/>
                <w:highlight w:val="none"/>
                <w:lang w:eastAsia="zh-CN"/>
              </w:rPr>
              <w:t>￥</w:t>
            </w:r>
            <w:r>
              <w:rPr>
                <w:rFonts w:hint="eastAsia" w:ascii="仿宋" w:hAnsi="仿宋" w:eastAsia="仿宋" w:cs="仿宋"/>
                <w:b/>
                <w:color w:val="auto"/>
                <w:kern w:val="0"/>
                <w:sz w:val="24"/>
                <w:szCs w:val="24"/>
                <w:highlight w:val="none"/>
                <w:u w:val="single"/>
                <w:lang w:val="en-US" w:eastAsia="zh-CN"/>
              </w:rPr>
              <w:t xml:space="preserve">              </w:t>
            </w:r>
            <w:r>
              <w:rPr>
                <w:rFonts w:hint="eastAsia" w:ascii="仿宋" w:hAnsi="仿宋" w:eastAsia="仿宋" w:cs="仿宋"/>
                <w:b/>
                <w:color w:val="auto"/>
                <w:kern w:val="0"/>
                <w:sz w:val="24"/>
                <w:szCs w:val="24"/>
                <w:highlight w:val="none"/>
              </w:rPr>
              <w:t>大写</w:t>
            </w:r>
            <w:r>
              <w:rPr>
                <w:rFonts w:hint="eastAsia" w:ascii="仿宋" w:hAnsi="仿宋" w:eastAsia="仿宋" w:cs="仿宋"/>
                <w:b/>
                <w:color w:val="auto"/>
                <w:kern w:val="0"/>
                <w:sz w:val="24"/>
                <w:szCs w:val="24"/>
                <w:highlight w:val="none"/>
                <w:u w:val="single"/>
                <w:lang w:val="en-US" w:eastAsia="zh-CN"/>
              </w:rPr>
              <w:t xml:space="preserve">               </w:t>
            </w:r>
          </w:p>
        </w:tc>
      </w:tr>
    </w:tbl>
    <w:p w14:paraId="0D7085C5">
      <w:pPr>
        <w:adjustRightInd w:val="0"/>
        <w:snapToGrid w:val="0"/>
        <w:spacing w:line="360" w:lineRule="auto"/>
        <w:ind w:firstLine="424" w:firstLineChars="202"/>
        <w:jc w:val="left"/>
        <w:rPr>
          <w:rFonts w:hint="eastAsia" w:ascii="仿宋" w:hAnsi="仿宋" w:eastAsia="仿宋" w:cs="仿宋"/>
          <w:bCs/>
          <w:color w:val="auto"/>
          <w:szCs w:val="24"/>
          <w:highlight w:val="none"/>
        </w:rPr>
      </w:pPr>
      <w:r>
        <w:rPr>
          <w:rFonts w:hint="eastAsia" w:ascii="仿宋" w:hAnsi="仿宋" w:eastAsia="仿宋" w:cs="仿宋"/>
          <w:bCs/>
          <w:color w:val="auto"/>
          <w:szCs w:val="24"/>
          <w:highlight w:val="none"/>
        </w:rPr>
        <w:t>3.合同总价款为人民币（大写）</w:t>
      </w:r>
      <w:r>
        <w:rPr>
          <w:rFonts w:hint="eastAsia" w:ascii="仿宋" w:hAnsi="仿宋" w:eastAsia="仿宋" w:cs="仿宋"/>
          <w:bCs/>
          <w:color w:val="auto"/>
          <w:szCs w:val="24"/>
          <w:highlight w:val="none"/>
          <w:u w:val="single"/>
        </w:rPr>
        <w:t xml:space="preserve">                 </w:t>
      </w:r>
      <w:r>
        <w:rPr>
          <w:rFonts w:hint="eastAsia" w:ascii="仿宋" w:hAnsi="仿宋" w:eastAsia="仿宋" w:cs="仿宋"/>
          <w:bCs/>
          <w:color w:val="auto"/>
          <w:szCs w:val="24"/>
          <w:highlight w:val="none"/>
        </w:rPr>
        <w:t>￥</w:t>
      </w:r>
      <w:r>
        <w:rPr>
          <w:rFonts w:hint="eastAsia" w:ascii="仿宋" w:hAnsi="仿宋" w:eastAsia="仿宋" w:cs="仿宋"/>
          <w:bCs/>
          <w:color w:val="auto"/>
          <w:szCs w:val="24"/>
          <w:highlight w:val="none"/>
          <w:u w:val="single"/>
        </w:rPr>
        <w:t xml:space="preserve">            </w:t>
      </w:r>
      <w:r>
        <w:rPr>
          <w:rFonts w:hint="eastAsia" w:ascii="仿宋" w:hAnsi="仿宋" w:eastAsia="仿宋" w:cs="仿宋"/>
          <w:bCs/>
          <w:color w:val="auto"/>
          <w:szCs w:val="24"/>
          <w:highlight w:val="none"/>
        </w:rPr>
        <w:t>）。</w:t>
      </w:r>
    </w:p>
    <w:p w14:paraId="28E04205">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bCs/>
          <w:color w:val="auto"/>
          <w:szCs w:val="24"/>
          <w:highlight w:val="none"/>
        </w:rPr>
        <w:t>4.合</w:t>
      </w:r>
      <w:r>
        <w:rPr>
          <w:rFonts w:hint="eastAsia" w:ascii="仿宋" w:hAnsi="仿宋" w:eastAsia="仿宋" w:cs="仿宋"/>
          <w:color w:val="auto"/>
          <w:szCs w:val="24"/>
          <w:highlight w:val="none"/>
        </w:rPr>
        <w:t>同总价包括：设备费、</w:t>
      </w:r>
      <w:r>
        <w:rPr>
          <w:rFonts w:hint="eastAsia" w:ascii="仿宋" w:hAnsi="仿宋" w:eastAsia="仿宋" w:cs="仿宋"/>
          <w:color w:val="auto"/>
          <w:szCs w:val="24"/>
          <w:highlight w:val="none"/>
          <w:lang w:val="zh-CN"/>
        </w:rPr>
        <w:t>人工费、</w:t>
      </w:r>
      <w:r>
        <w:rPr>
          <w:rFonts w:hint="eastAsia" w:ascii="仿宋" w:hAnsi="仿宋" w:eastAsia="仿宋" w:cs="仿宋"/>
          <w:color w:val="auto"/>
          <w:szCs w:val="24"/>
          <w:highlight w:val="none"/>
        </w:rPr>
        <w:t>安装费、调试费、施工费、辅材</w:t>
      </w:r>
      <w:r>
        <w:rPr>
          <w:rFonts w:hint="eastAsia" w:ascii="仿宋" w:hAnsi="仿宋" w:eastAsia="仿宋" w:cs="仿宋"/>
          <w:color w:val="auto"/>
          <w:szCs w:val="24"/>
          <w:highlight w:val="none"/>
          <w:lang w:val="zh-CN"/>
        </w:rPr>
        <w:t>费、运输费、管理费、利润、税金等</w:t>
      </w:r>
      <w:r>
        <w:rPr>
          <w:rFonts w:hint="eastAsia" w:ascii="仿宋" w:hAnsi="仿宋" w:eastAsia="仿宋" w:cs="仿宋"/>
          <w:color w:val="auto"/>
          <w:szCs w:val="24"/>
          <w:highlight w:val="none"/>
        </w:rPr>
        <w:t>完成采购安装施工要求的一切费用。</w:t>
      </w:r>
    </w:p>
    <w:p w14:paraId="3F6B70B6">
      <w:pPr>
        <w:pStyle w:val="7"/>
        <w:spacing w:line="360" w:lineRule="auto"/>
        <w:rPr>
          <w:rFonts w:hint="eastAsia" w:ascii="仿宋" w:hAnsi="仿宋" w:eastAsia="仿宋" w:cs="仿宋"/>
          <w:b/>
          <w:color w:val="auto"/>
          <w:sz w:val="24"/>
          <w:szCs w:val="24"/>
          <w:highlight w:val="none"/>
        </w:rPr>
      </w:pP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第二条</w:t>
      </w:r>
      <w:r>
        <w:rPr>
          <w:rFonts w:hint="eastAsia" w:ascii="仿宋" w:hAnsi="仿宋" w:eastAsia="仿宋" w:cs="仿宋"/>
          <w:b/>
          <w:color w:val="auto"/>
          <w:sz w:val="24"/>
          <w:szCs w:val="24"/>
          <w:highlight w:val="none"/>
        </w:rPr>
        <w:t>】</w:t>
      </w:r>
      <w:r>
        <w:rPr>
          <w:rFonts w:hint="eastAsia" w:ascii="仿宋" w:hAnsi="仿宋" w:eastAsia="仿宋" w:cs="仿宋"/>
          <w:b/>
          <w:color w:val="auto"/>
          <w:sz w:val="24"/>
          <w:szCs w:val="24"/>
          <w:highlight w:val="none"/>
          <w:lang w:eastAsia="zh-CN"/>
        </w:rPr>
        <w:t>技术要求</w:t>
      </w:r>
    </w:p>
    <w:p w14:paraId="7BFD073B">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项目是对南北校区14栋学生公寓监控系统的升级改造。实施内容:对各公寓楼内各楼层走廊、楼梯间、开水房、洗衣房等公共区域的监控设备采购安装调试，包括新购及可利旧设备的安装调试、不可利旧现有设备的拆除、北校区1号学生公寓的监控线路排查整改、南校区13栋学生公寓现有老旧线路的拆除更换，确保公共区域监控全覆盖，视频存储时长不少于30天，满足安防管理规范及日常监管需求。</w:t>
      </w:r>
    </w:p>
    <w:p w14:paraId="3B861C4E">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1.新建监控系统施工内容包括监控设备线路敷设与点位安装调试，各公寓楼内硬盘录像机、网络交换机等设备的汇聚接入施工，需确保监控画面清晰稳定、系统运行可靠。</w:t>
      </w:r>
      <w:r>
        <w:rPr>
          <w:rFonts w:hint="eastAsia" w:ascii="仿宋" w:hAnsi="仿宋" w:eastAsia="仿宋" w:cs="仿宋"/>
          <w:color w:val="auto"/>
          <w:szCs w:val="24"/>
          <w:highlight w:val="none"/>
        </w:rPr>
        <w:br w:type="textWrapping"/>
      </w: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rPr>
        <w:t>2.项目实施期内，利旧监控设备和原有线路由</w:t>
      </w:r>
      <w:r>
        <w:rPr>
          <w:rFonts w:hint="eastAsia" w:ascii="仿宋" w:hAnsi="仿宋" w:eastAsia="仿宋" w:cs="仿宋"/>
          <w:color w:val="auto"/>
          <w:szCs w:val="24"/>
          <w:highlight w:val="none"/>
          <w:lang w:val="en-US" w:eastAsia="zh-CN"/>
        </w:rPr>
        <w:t>成交</w:t>
      </w:r>
      <w:r>
        <w:rPr>
          <w:rFonts w:hint="eastAsia" w:ascii="仿宋" w:hAnsi="仿宋" w:eastAsia="仿宋" w:cs="仿宋"/>
          <w:color w:val="auto"/>
          <w:szCs w:val="24"/>
          <w:highlight w:val="none"/>
        </w:rPr>
        <w:t>单位负责排查、迁移、安装以及更换，经采购人与</w:t>
      </w:r>
      <w:r>
        <w:rPr>
          <w:rFonts w:hint="eastAsia" w:ascii="仿宋" w:hAnsi="仿宋" w:eastAsia="仿宋" w:cs="仿宋"/>
          <w:color w:val="auto"/>
          <w:szCs w:val="24"/>
          <w:highlight w:val="none"/>
          <w:lang w:val="en-US" w:eastAsia="zh-CN"/>
        </w:rPr>
        <w:t>成交</w:t>
      </w:r>
      <w:r>
        <w:rPr>
          <w:rFonts w:hint="eastAsia" w:ascii="仿宋" w:hAnsi="仿宋" w:eastAsia="仿宋" w:cs="仿宋"/>
          <w:color w:val="auto"/>
          <w:szCs w:val="24"/>
          <w:highlight w:val="none"/>
        </w:rPr>
        <w:t>单位共同确认无法使用的利旧监控设备由采购人重新购置，购置费用按照</w:t>
      </w:r>
      <w:r>
        <w:rPr>
          <w:rFonts w:hint="eastAsia" w:ascii="仿宋" w:hAnsi="仿宋" w:eastAsia="仿宋" w:cs="仿宋"/>
          <w:color w:val="auto"/>
          <w:szCs w:val="24"/>
          <w:highlight w:val="none"/>
          <w:lang w:val="en-US" w:eastAsia="zh-CN"/>
        </w:rPr>
        <w:t>成交</w:t>
      </w:r>
      <w:r>
        <w:rPr>
          <w:rFonts w:hint="eastAsia" w:ascii="仿宋" w:hAnsi="仿宋" w:eastAsia="仿宋" w:cs="仿宋"/>
          <w:color w:val="auto"/>
          <w:szCs w:val="24"/>
          <w:highlight w:val="none"/>
        </w:rPr>
        <w:t>单位</w:t>
      </w:r>
      <w:r>
        <w:rPr>
          <w:rFonts w:hint="eastAsia" w:ascii="仿宋" w:hAnsi="仿宋" w:eastAsia="仿宋" w:cs="仿宋"/>
          <w:color w:val="auto"/>
          <w:szCs w:val="24"/>
          <w:highlight w:val="none"/>
          <w:lang w:val="en-US" w:eastAsia="zh-CN"/>
        </w:rPr>
        <w:t>响应</w:t>
      </w:r>
      <w:r>
        <w:rPr>
          <w:rFonts w:hint="eastAsia" w:ascii="仿宋" w:hAnsi="仿宋" w:eastAsia="仿宋" w:cs="仿宋"/>
          <w:color w:val="auto"/>
          <w:szCs w:val="24"/>
          <w:highlight w:val="none"/>
        </w:rPr>
        <w:t>文件中对应设备报价金额据实结算，其他费用(包括人工费用、材料费用及服务费)均包含在本项目内，不再另行支付，质保期内更换的设备需与项目实施设备一致。</w:t>
      </w:r>
      <w:r>
        <w:rPr>
          <w:rFonts w:hint="eastAsia" w:ascii="仿宋" w:hAnsi="仿宋" w:eastAsia="仿宋" w:cs="仿宋"/>
          <w:color w:val="auto"/>
          <w:szCs w:val="24"/>
          <w:highlight w:val="none"/>
        </w:rPr>
        <w:br w:type="textWrapping"/>
      </w:r>
      <w:r>
        <w:rPr>
          <w:rFonts w:hint="eastAsia" w:ascii="仿宋" w:hAnsi="仿宋" w:eastAsia="仿宋" w:cs="仿宋"/>
          <w:color w:val="auto"/>
          <w:szCs w:val="24"/>
          <w:highlight w:val="none"/>
          <w:lang w:val="en-US" w:eastAsia="zh-CN"/>
        </w:rPr>
        <w:t xml:space="preserve">    </w:t>
      </w:r>
      <w:r>
        <w:rPr>
          <w:rFonts w:hint="eastAsia" w:ascii="仿宋" w:hAnsi="仿宋" w:eastAsia="仿宋" w:cs="仿宋"/>
          <w:color w:val="auto"/>
          <w:szCs w:val="24"/>
          <w:highlight w:val="none"/>
        </w:rPr>
        <w:t>3.设备清单只是陕西中医药大学提出的最低采购安装要求，并非详尽的要求，</w:t>
      </w:r>
      <w:r>
        <w:rPr>
          <w:rFonts w:hint="eastAsia" w:ascii="仿宋" w:hAnsi="仿宋" w:eastAsia="仿宋" w:cs="仿宋"/>
          <w:color w:val="auto"/>
          <w:szCs w:val="24"/>
          <w:highlight w:val="none"/>
          <w:lang w:val="en-US" w:eastAsia="zh-CN"/>
        </w:rPr>
        <w:t>乙方</w:t>
      </w:r>
      <w:r>
        <w:rPr>
          <w:rFonts w:hint="eastAsia" w:ascii="仿宋" w:hAnsi="仿宋" w:eastAsia="仿宋" w:cs="仿宋"/>
          <w:color w:val="auto"/>
          <w:szCs w:val="24"/>
          <w:highlight w:val="none"/>
        </w:rPr>
        <w:t>需根据学校施工要求进行现场勘察，并根据现场实际勘测点位向</w:t>
      </w:r>
      <w:r>
        <w:rPr>
          <w:rFonts w:hint="eastAsia" w:ascii="仿宋" w:hAnsi="仿宋" w:eastAsia="仿宋" w:cs="仿宋"/>
          <w:color w:val="auto"/>
          <w:szCs w:val="24"/>
          <w:highlight w:val="none"/>
          <w:lang w:val="en-US" w:eastAsia="zh-CN"/>
        </w:rPr>
        <w:t>采购人</w:t>
      </w:r>
      <w:r>
        <w:rPr>
          <w:rFonts w:hint="eastAsia" w:ascii="仿宋" w:hAnsi="仿宋" w:eastAsia="仿宋" w:cs="仿宋"/>
          <w:color w:val="auto"/>
          <w:szCs w:val="24"/>
          <w:highlight w:val="none"/>
        </w:rPr>
        <w:t>提供具体实施方案以及设备清单明细，</w:t>
      </w:r>
      <w:r>
        <w:rPr>
          <w:rFonts w:hint="eastAsia" w:ascii="仿宋" w:hAnsi="仿宋" w:eastAsia="仿宋" w:cs="仿宋"/>
          <w:color w:val="auto"/>
          <w:szCs w:val="24"/>
          <w:highlight w:val="none"/>
          <w:lang w:val="en-US" w:eastAsia="zh-CN"/>
        </w:rPr>
        <w:t>甲方</w:t>
      </w:r>
      <w:r>
        <w:rPr>
          <w:rFonts w:hint="eastAsia" w:ascii="仿宋" w:hAnsi="仿宋" w:eastAsia="仿宋" w:cs="仿宋"/>
          <w:color w:val="auto"/>
          <w:szCs w:val="24"/>
          <w:highlight w:val="none"/>
        </w:rPr>
        <w:t>审核确认后方可进行施工。如果施工后仍无法满足</w:t>
      </w:r>
      <w:r>
        <w:rPr>
          <w:rFonts w:hint="eastAsia" w:ascii="仿宋" w:hAnsi="仿宋" w:eastAsia="仿宋" w:cs="仿宋"/>
          <w:color w:val="auto"/>
          <w:szCs w:val="24"/>
          <w:highlight w:val="none"/>
          <w:lang w:val="en-US" w:eastAsia="zh-CN"/>
        </w:rPr>
        <w:t>甲方</w:t>
      </w:r>
      <w:r>
        <w:rPr>
          <w:rFonts w:hint="eastAsia" w:ascii="仿宋" w:hAnsi="仿宋" w:eastAsia="仿宋" w:cs="仿宋"/>
          <w:color w:val="auto"/>
          <w:szCs w:val="24"/>
          <w:highlight w:val="none"/>
        </w:rPr>
        <w:t>要求或者无法实现其功能，则</w:t>
      </w:r>
      <w:r>
        <w:rPr>
          <w:rFonts w:hint="eastAsia" w:ascii="仿宋" w:hAnsi="仿宋" w:eastAsia="仿宋" w:cs="仿宋"/>
          <w:color w:val="auto"/>
          <w:szCs w:val="24"/>
          <w:highlight w:val="none"/>
          <w:lang w:val="en-US" w:eastAsia="zh-CN"/>
        </w:rPr>
        <w:t>乙方</w:t>
      </w:r>
      <w:r>
        <w:rPr>
          <w:rFonts w:hint="eastAsia" w:ascii="仿宋" w:hAnsi="仿宋" w:eastAsia="仿宋" w:cs="仿宋"/>
          <w:color w:val="auto"/>
          <w:szCs w:val="24"/>
          <w:highlight w:val="none"/>
        </w:rPr>
        <w:t>无条件按照</w:t>
      </w:r>
      <w:r>
        <w:rPr>
          <w:rFonts w:hint="eastAsia" w:ascii="仿宋" w:hAnsi="仿宋" w:eastAsia="仿宋" w:cs="仿宋"/>
          <w:color w:val="auto"/>
          <w:szCs w:val="24"/>
          <w:highlight w:val="none"/>
          <w:lang w:val="en-US" w:eastAsia="zh-CN"/>
        </w:rPr>
        <w:t>甲方</w:t>
      </w:r>
      <w:r>
        <w:rPr>
          <w:rFonts w:hint="eastAsia" w:ascii="仿宋" w:hAnsi="仿宋" w:eastAsia="仿宋" w:cs="仿宋"/>
          <w:color w:val="auto"/>
          <w:szCs w:val="24"/>
          <w:highlight w:val="none"/>
        </w:rPr>
        <w:t>要求进行改进，直至符合要求为止。因此</w:t>
      </w:r>
      <w:r>
        <w:rPr>
          <w:rFonts w:hint="eastAsia" w:ascii="仿宋" w:hAnsi="仿宋" w:eastAsia="仿宋" w:cs="仿宋"/>
          <w:color w:val="auto"/>
          <w:szCs w:val="24"/>
          <w:highlight w:val="none"/>
          <w:lang w:val="en-US" w:eastAsia="zh-CN"/>
        </w:rPr>
        <w:t>乙方</w:t>
      </w:r>
      <w:r>
        <w:rPr>
          <w:rFonts w:hint="eastAsia" w:ascii="仿宋" w:hAnsi="仿宋" w:eastAsia="仿宋" w:cs="仿宋"/>
          <w:color w:val="auto"/>
          <w:szCs w:val="24"/>
          <w:highlight w:val="none"/>
        </w:rPr>
        <w:t>应针对</w:t>
      </w:r>
      <w:r>
        <w:rPr>
          <w:rFonts w:hint="eastAsia" w:ascii="仿宋" w:hAnsi="仿宋" w:eastAsia="仿宋" w:cs="仿宋"/>
          <w:color w:val="auto"/>
          <w:szCs w:val="24"/>
          <w:highlight w:val="none"/>
          <w:lang w:val="en-US" w:eastAsia="zh-CN"/>
        </w:rPr>
        <w:t>甲方</w:t>
      </w:r>
      <w:r>
        <w:rPr>
          <w:rFonts w:hint="eastAsia" w:ascii="仿宋" w:hAnsi="仿宋" w:eastAsia="仿宋" w:cs="仿宋"/>
          <w:color w:val="auto"/>
          <w:szCs w:val="24"/>
          <w:highlight w:val="none"/>
        </w:rPr>
        <w:t>需求有责任完善基于实现目标的详尽方案并予以实施，确保项目整体效果。此建设项目的主要设备及材料，细化方案、实际工程量和详细分项由</w:t>
      </w:r>
      <w:r>
        <w:rPr>
          <w:rFonts w:hint="eastAsia" w:ascii="仿宋" w:hAnsi="仿宋" w:eastAsia="仿宋" w:cs="仿宋"/>
          <w:color w:val="auto"/>
          <w:szCs w:val="24"/>
          <w:highlight w:val="none"/>
          <w:lang w:val="en-US" w:eastAsia="zh-CN"/>
        </w:rPr>
        <w:t>成交单位</w:t>
      </w:r>
      <w:r>
        <w:rPr>
          <w:rFonts w:hint="eastAsia" w:ascii="仿宋" w:hAnsi="仿宋" w:eastAsia="仿宋" w:cs="仿宋"/>
          <w:color w:val="auto"/>
          <w:szCs w:val="24"/>
          <w:highlight w:val="none"/>
        </w:rPr>
        <w:t>实地勘测后，自行设计制作。如有以上清单未列出的必须材料，请自行添加，后期追加的辅材（网线、电源线、管材等）费用均由</w:t>
      </w:r>
      <w:r>
        <w:rPr>
          <w:rFonts w:hint="eastAsia" w:ascii="仿宋" w:hAnsi="仿宋" w:eastAsia="仿宋" w:cs="仿宋"/>
          <w:color w:val="auto"/>
          <w:szCs w:val="24"/>
          <w:highlight w:val="none"/>
          <w:lang w:val="en-US" w:eastAsia="zh-CN"/>
        </w:rPr>
        <w:t>乙方</w:t>
      </w:r>
      <w:r>
        <w:rPr>
          <w:rFonts w:hint="eastAsia" w:ascii="仿宋" w:hAnsi="仿宋" w:eastAsia="仿宋" w:cs="仿宋"/>
          <w:color w:val="auto"/>
          <w:szCs w:val="24"/>
          <w:highlight w:val="none"/>
        </w:rPr>
        <w:t>承担，质保期内更换的设备需与项目实施设备一致。 </w:t>
      </w:r>
    </w:p>
    <w:p w14:paraId="630CE2D8">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4</w:t>
      </w:r>
      <w:r>
        <w:rPr>
          <w:rFonts w:hint="eastAsia" w:ascii="仿宋" w:hAnsi="仿宋" w:eastAsia="仿宋" w:cs="仿宋"/>
          <w:color w:val="auto"/>
          <w:szCs w:val="24"/>
          <w:highlight w:val="none"/>
        </w:rPr>
        <w:t>.本项目实施设过程中，应结合学校实际，全面符合消防法规及技术标准要求。</w:t>
      </w:r>
    </w:p>
    <w:p w14:paraId="4822A73A">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【第三条】商务要求</w:t>
      </w:r>
    </w:p>
    <w:p w14:paraId="3761881D">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1.时间:合同签订后30个日历日完成供货、安装及调试。</w:t>
      </w:r>
    </w:p>
    <w:p w14:paraId="55A96D03">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lang w:eastAsia="zh-CN"/>
        </w:rPr>
      </w:pPr>
      <w:r>
        <w:rPr>
          <w:rFonts w:hint="eastAsia" w:ascii="仿宋" w:hAnsi="仿宋" w:eastAsia="仿宋" w:cs="仿宋"/>
          <w:color w:val="auto"/>
          <w:szCs w:val="24"/>
          <w:highlight w:val="none"/>
        </w:rPr>
        <w:t>2.地点:陕西中医药大学南校区13栋学生公寓楼、北校区1号学生公寓楼</w:t>
      </w:r>
      <w:r>
        <w:rPr>
          <w:rFonts w:hint="eastAsia" w:ascii="仿宋" w:hAnsi="仿宋" w:eastAsia="仿宋" w:cs="仿宋"/>
          <w:color w:val="auto"/>
          <w:szCs w:val="24"/>
          <w:highlight w:val="none"/>
          <w:lang w:eastAsia="zh-CN"/>
        </w:rPr>
        <w:t>。</w:t>
      </w:r>
    </w:p>
    <w:p w14:paraId="0539744D">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3.质保期:完成安装调试并通过验收后五年。质保期内乙方需定期（每半年</w:t>
      </w:r>
      <w:r>
        <w:rPr>
          <w:rFonts w:hint="eastAsia" w:ascii="仿宋" w:hAnsi="仿宋" w:eastAsia="仿宋" w:cs="仿宋"/>
          <w:color w:val="auto"/>
          <w:szCs w:val="24"/>
          <w:highlight w:val="none"/>
          <w:lang w:val="en-US" w:eastAsia="zh-CN"/>
        </w:rPr>
        <w:t>1</w:t>
      </w:r>
      <w:r>
        <w:rPr>
          <w:rFonts w:hint="eastAsia" w:ascii="仿宋" w:hAnsi="仿宋" w:eastAsia="仿宋" w:cs="仿宋"/>
          <w:color w:val="auto"/>
          <w:szCs w:val="24"/>
          <w:highlight w:val="none"/>
        </w:rPr>
        <w:t>次）检测并进行运营维护，其中利旧后出现的原有设备或线路损坏由乙方负责维修、更换，更换的利旧设备费用由</w:t>
      </w:r>
      <w:r>
        <w:rPr>
          <w:rFonts w:hint="eastAsia" w:ascii="仿宋" w:hAnsi="仿宋" w:eastAsia="仿宋" w:cs="仿宋"/>
          <w:color w:val="auto"/>
          <w:szCs w:val="24"/>
          <w:highlight w:val="none"/>
          <w:lang w:val="en-US" w:eastAsia="zh-CN"/>
        </w:rPr>
        <w:t>甲方</w:t>
      </w:r>
      <w:r>
        <w:rPr>
          <w:rFonts w:hint="eastAsia" w:ascii="仿宋" w:hAnsi="仿宋" w:eastAsia="仿宋" w:cs="仿宋"/>
          <w:color w:val="auto"/>
          <w:szCs w:val="24"/>
          <w:highlight w:val="none"/>
        </w:rPr>
        <w:t>承担，费用按照乙方</w:t>
      </w:r>
      <w:r>
        <w:rPr>
          <w:rFonts w:hint="eastAsia" w:ascii="仿宋" w:hAnsi="仿宋" w:eastAsia="仿宋" w:cs="仿宋"/>
          <w:color w:val="auto"/>
          <w:szCs w:val="24"/>
          <w:highlight w:val="none"/>
          <w:lang w:val="en-US" w:eastAsia="zh-CN"/>
        </w:rPr>
        <w:t>响应</w:t>
      </w:r>
      <w:r>
        <w:rPr>
          <w:rFonts w:hint="eastAsia" w:ascii="仿宋" w:hAnsi="仿宋" w:eastAsia="仿宋" w:cs="仿宋"/>
          <w:color w:val="auto"/>
          <w:szCs w:val="24"/>
          <w:highlight w:val="none"/>
        </w:rPr>
        <w:t xml:space="preserve">文件中对应设备报价金额据实结算，其他费用(包括人工费用、材料费用及服务费)均包含在本项目内，不再另行支付，质保期内更换的设备需与项目实施设备一致。  </w:t>
      </w:r>
    </w:p>
    <w:p w14:paraId="53DB48E0">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4.质保金的缴纳与退还:留合同总价的10%，作为质量保证金，从终验验收合格之日起，质保期满后一次付清(无息)。</w:t>
      </w:r>
    </w:p>
    <w:p w14:paraId="64CAB441">
      <w:pPr>
        <w:adjustRightInd w:val="0"/>
        <w:snapToGrid w:val="0"/>
        <w:spacing w:line="360" w:lineRule="auto"/>
        <w:rPr>
          <w:rFonts w:hint="eastAsia" w:ascii="仿宋" w:hAnsi="仿宋" w:eastAsia="仿宋" w:cs="仿宋"/>
          <w:color w:val="auto"/>
          <w:highlight w:val="none"/>
        </w:rPr>
      </w:pPr>
      <w:r>
        <w:rPr>
          <w:rFonts w:hint="eastAsia" w:ascii="仿宋" w:hAnsi="仿宋" w:eastAsia="仿宋" w:cs="仿宋"/>
          <w:b/>
          <w:color w:val="auto"/>
          <w:szCs w:val="24"/>
          <w:highlight w:val="none"/>
        </w:rPr>
        <w:t>【第四条】质量保证</w:t>
      </w:r>
    </w:p>
    <w:p w14:paraId="43A0FFD6">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乙方必须执行下列条款：</w:t>
      </w:r>
    </w:p>
    <w:p w14:paraId="408BEFE8">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1.设备到位后，工程师应立即进行安装、调试，同时对操作人员进行严格的规范化培训。</w:t>
      </w:r>
    </w:p>
    <w:p w14:paraId="67350D5C">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2.保证技术指标先进、质量性能可靠、进货渠道合规，配置合理，全面满足合同要求。</w:t>
      </w:r>
    </w:p>
    <w:p w14:paraId="4B2F99DF">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3.符合国家有关规范要求，确保达到最佳运行状态。</w:t>
      </w:r>
    </w:p>
    <w:p w14:paraId="1B221F9E">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4.具有良好的外观，适合安装场所的使用。</w:t>
      </w:r>
    </w:p>
    <w:p w14:paraId="19C6E8F4">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5.自安装、调试正常运行并验收合格之日起：整体免费质保、维保60个月，免费质保、维保期内，同一主要部件出现质量问题经过两次维修后仍无法正常使用，可以更换同型号、同规格的产品，服务响应时间不超过2小时，24小时内工程师到位，对问题较大短期内暂不能解决的，为不影响</w:t>
      </w:r>
      <w:r>
        <w:rPr>
          <w:rFonts w:hint="eastAsia" w:ascii="仿宋" w:hAnsi="仿宋" w:eastAsia="仿宋" w:cs="仿宋"/>
          <w:color w:val="auto"/>
          <w:szCs w:val="24"/>
          <w:highlight w:val="none"/>
          <w:lang w:val="en-US" w:eastAsia="zh-CN"/>
        </w:rPr>
        <w:t>甲方</w:t>
      </w:r>
      <w:r>
        <w:rPr>
          <w:rFonts w:hint="eastAsia" w:ascii="仿宋" w:hAnsi="仿宋" w:eastAsia="仿宋" w:cs="仿宋"/>
          <w:color w:val="auto"/>
          <w:szCs w:val="24"/>
          <w:highlight w:val="none"/>
        </w:rPr>
        <w:t>正常工作，乙方在2日内免费提供替代产品，确保正常运行。</w:t>
      </w:r>
    </w:p>
    <w:p w14:paraId="313F289C">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6.乙方应保证</w:t>
      </w:r>
      <w:r>
        <w:rPr>
          <w:rFonts w:hint="eastAsia" w:ascii="仿宋" w:hAnsi="仿宋" w:eastAsia="仿宋" w:cs="仿宋"/>
          <w:color w:val="auto"/>
          <w:szCs w:val="24"/>
          <w:highlight w:val="none"/>
          <w:lang w:val="en-US" w:eastAsia="zh-CN"/>
        </w:rPr>
        <w:t>甲方</w:t>
      </w:r>
      <w:r>
        <w:rPr>
          <w:rFonts w:hint="eastAsia" w:ascii="仿宋" w:hAnsi="仿宋" w:eastAsia="仿宋" w:cs="仿宋"/>
          <w:color w:val="auto"/>
          <w:szCs w:val="24"/>
          <w:highlight w:val="none"/>
        </w:rPr>
        <w:t>在使用该货物或其任何一部分时免受第三方提出侵犯其专利权、商标权或设计权的起诉。</w:t>
      </w:r>
    </w:p>
    <w:p w14:paraId="071D8DB7">
      <w:pPr>
        <w:widowControl/>
        <w:adjustRightInd w:val="0"/>
        <w:snapToGrid w:val="0"/>
        <w:spacing w:line="360" w:lineRule="auto"/>
        <w:ind w:firstLine="420" w:firstLineChars="200"/>
        <w:textAlignment w:val="baseline"/>
        <w:rPr>
          <w:rFonts w:hint="eastAsia" w:ascii="仿宋" w:hAnsi="仿宋" w:eastAsia="仿宋" w:cs="仿宋"/>
          <w:color w:val="auto"/>
          <w:szCs w:val="24"/>
          <w:highlight w:val="none"/>
        </w:rPr>
      </w:pPr>
      <w:r>
        <w:rPr>
          <w:rFonts w:hint="eastAsia" w:ascii="仿宋" w:hAnsi="仿宋" w:eastAsia="仿宋" w:cs="仿宋"/>
          <w:color w:val="auto"/>
          <w:szCs w:val="24"/>
          <w:highlight w:val="none"/>
        </w:rPr>
        <w:t>7.乙方应保证</w:t>
      </w:r>
      <w:r>
        <w:rPr>
          <w:rFonts w:hint="eastAsia" w:ascii="仿宋" w:hAnsi="仿宋" w:eastAsia="仿宋" w:cs="仿宋"/>
          <w:color w:val="auto"/>
          <w:szCs w:val="24"/>
          <w:highlight w:val="none"/>
          <w:lang w:val="en-US" w:eastAsia="zh-CN"/>
        </w:rPr>
        <w:t>甲方</w:t>
      </w:r>
      <w:r>
        <w:rPr>
          <w:rFonts w:hint="eastAsia" w:ascii="仿宋" w:hAnsi="仿宋" w:eastAsia="仿宋" w:cs="仿宋"/>
          <w:color w:val="auto"/>
          <w:szCs w:val="24"/>
          <w:highlight w:val="none"/>
        </w:rPr>
        <w:t>在使用其提供的软件时免受第三方提出侵犯其专利权、商标权、设计权或使用权等所有权益的起诉。</w:t>
      </w:r>
      <w:r>
        <w:rPr>
          <w:rFonts w:hint="eastAsia" w:ascii="仿宋" w:hAnsi="仿宋" w:eastAsia="仿宋" w:cs="仿宋"/>
          <w:color w:val="auto"/>
          <w:szCs w:val="24"/>
          <w:highlight w:val="none"/>
        </w:rPr>
        <w:br w:type="textWrapping"/>
      </w:r>
      <w:r>
        <w:rPr>
          <w:rFonts w:hint="eastAsia" w:ascii="仿宋" w:hAnsi="仿宋" w:eastAsia="仿宋" w:cs="仿宋"/>
          <w:b/>
          <w:color w:val="auto"/>
          <w:szCs w:val="24"/>
          <w:highlight w:val="none"/>
        </w:rPr>
        <w:t>【第五条】验收</w:t>
      </w:r>
    </w:p>
    <w:p w14:paraId="0A86D8CF">
      <w:pPr>
        <w:adjustRightInd w:val="0"/>
        <w:snapToGrid w:val="0"/>
        <w:spacing w:line="360" w:lineRule="auto"/>
        <w:ind w:firstLine="420" w:firstLineChars="200"/>
        <w:jc w:val="left"/>
        <w:rPr>
          <w:rFonts w:hint="eastAsia" w:ascii="仿宋" w:hAnsi="仿宋" w:eastAsia="仿宋" w:cs="仿宋"/>
          <w:color w:val="auto"/>
          <w:kern w:val="2"/>
          <w:szCs w:val="24"/>
          <w:highlight w:val="none"/>
        </w:rPr>
      </w:pPr>
      <w:r>
        <w:rPr>
          <w:rFonts w:hint="eastAsia" w:ascii="仿宋" w:hAnsi="仿宋" w:eastAsia="仿宋" w:cs="仿宋"/>
          <w:color w:val="auto"/>
          <w:kern w:val="2"/>
          <w:szCs w:val="24"/>
          <w:highlight w:val="none"/>
        </w:rPr>
        <w:t>1.产品到达</w:t>
      </w:r>
      <w:bookmarkStart w:id="0" w:name="OLE_LINK2"/>
      <w:r>
        <w:rPr>
          <w:rFonts w:hint="eastAsia" w:ascii="仿宋" w:hAnsi="仿宋" w:eastAsia="仿宋" w:cs="仿宋"/>
          <w:color w:val="auto"/>
          <w:kern w:val="2"/>
          <w:szCs w:val="24"/>
          <w:highlight w:val="none"/>
        </w:rPr>
        <w:t>甲方</w:t>
      </w:r>
      <w:bookmarkEnd w:id="0"/>
      <w:r>
        <w:rPr>
          <w:rFonts w:hint="eastAsia" w:ascii="仿宋" w:hAnsi="仿宋" w:eastAsia="仿宋" w:cs="仿宋"/>
          <w:color w:val="auto"/>
          <w:kern w:val="2"/>
          <w:szCs w:val="24"/>
          <w:highlight w:val="none"/>
        </w:rPr>
        <w:t>指定交付地点并安装完毕后，甲、乙双方共同进行验收。</w:t>
      </w:r>
    </w:p>
    <w:p w14:paraId="10CBE73A">
      <w:pPr>
        <w:adjustRightInd w:val="0"/>
        <w:snapToGrid w:val="0"/>
        <w:spacing w:line="360" w:lineRule="auto"/>
        <w:ind w:firstLine="420" w:firstLineChars="200"/>
        <w:jc w:val="left"/>
        <w:rPr>
          <w:rFonts w:hint="eastAsia" w:ascii="仿宋" w:hAnsi="仿宋" w:eastAsia="仿宋" w:cs="仿宋"/>
          <w:color w:val="auto"/>
          <w:kern w:val="2"/>
          <w:szCs w:val="24"/>
          <w:highlight w:val="none"/>
        </w:rPr>
      </w:pPr>
      <w:r>
        <w:rPr>
          <w:rFonts w:hint="eastAsia" w:ascii="仿宋" w:hAnsi="仿宋" w:eastAsia="仿宋" w:cs="仿宋"/>
          <w:color w:val="auto"/>
          <w:kern w:val="2"/>
          <w:szCs w:val="24"/>
          <w:highlight w:val="none"/>
        </w:rPr>
        <w:t>2.项目验收分初验和终验：（1）初验：完成安装调试，由甲方有关部门按照合同、</w:t>
      </w:r>
      <w:r>
        <w:rPr>
          <w:rFonts w:hint="eastAsia" w:ascii="仿宋" w:hAnsi="仿宋" w:eastAsia="仿宋" w:cs="仿宋"/>
          <w:color w:val="auto"/>
          <w:kern w:val="2"/>
          <w:szCs w:val="24"/>
          <w:highlight w:val="none"/>
          <w:lang w:val="en-US" w:eastAsia="zh-CN"/>
        </w:rPr>
        <w:t>谈判</w:t>
      </w:r>
      <w:r>
        <w:rPr>
          <w:rFonts w:hint="eastAsia" w:ascii="仿宋" w:hAnsi="仿宋" w:eastAsia="仿宋" w:cs="仿宋"/>
          <w:color w:val="auto"/>
          <w:kern w:val="2"/>
          <w:szCs w:val="24"/>
          <w:highlight w:val="none"/>
        </w:rPr>
        <w:t>文件、</w:t>
      </w:r>
      <w:r>
        <w:rPr>
          <w:rFonts w:hint="eastAsia" w:ascii="仿宋" w:hAnsi="仿宋" w:eastAsia="仿宋" w:cs="仿宋"/>
          <w:color w:val="auto"/>
          <w:kern w:val="2"/>
          <w:szCs w:val="24"/>
          <w:highlight w:val="none"/>
          <w:lang w:val="en-US" w:eastAsia="zh-CN"/>
        </w:rPr>
        <w:t>响应</w:t>
      </w:r>
      <w:r>
        <w:rPr>
          <w:rFonts w:hint="eastAsia" w:ascii="仿宋" w:hAnsi="仿宋" w:eastAsia="仿宋" w:cs="仿宋"/>
          <w:color w:val="auto"/>
          <w:kern w:val="2"/>
          <w:szCs w:val="24"/>
          <w:highlight w:val="none"/>
        </w:rPr>
        <w:t>文件等资料要求，进行验收。（2）终验：项目正常运行</w:t>
      </w:r>
      <w:r>
        <w:rPr>
          <w:rFonts w:hint="eastAsia" w:ascii="仿宋" w:hAnsi="仿宋" w:eastAsia="仿宋" w:cs="仿宋"/>
          <w:color w:val="auto"/>
          <w:kern w:val="2"/>
          <w:szCs w:val="24"/>
          <w:highlight w:val="none"/>
          <w:lang w:val="en-US" w:eastAsia="zh-CN"/>
        </w:rPr>
        <w:t>1个月</w:t>
      </w:r>
      <w:r>
        <w:rPr>
          <w:rFonts w:hint="eastAsia" w:ascii="仿宋" w:hAnsi="仿宋" w:eastAsia="仿宋" w:cs="仿宋"/>
          <w:color w:val="auto"/>
          <w:kern w:val="2"/>
          <w:szCs w:val="24"/>
          <w:highlight w:val="none"/>
        </w:rPr>
        <w:t>后，组织终验，若验收时系统运行状态稳定，各项功能均符合要求，则判定为验收通过</w:t>
      </w:r>
      <w:r>
        <w:rPr>
          <w:rFonts w:hint="eastAsia" w:ascii="仿宋" w:hAnsi="仿宋" w:eastAsia="仿宋" w:cs="仿宋"/>
          <w:color w:val="auto"/>
          <w:kern w:val="2"/>
          <w:szCs w:val="24"/>
          <w:highlight w:val="none"/>
          <w:lang w:eastAsia="zh-CN"/>
        </w:rPr>
        <w:t>，</w:t>
      </w:r>
      <w:r>
        <w:rPr>
          <w:rFonts w:hint="eastAsia" w:ascii="仿宋" w:hAnsi="仿宋" w:eastAsia="仿宋" w:cs="仿宋"/>
          <w:color w:val="auto"/>
          <w:kern w:val="2"/>
          <w:szCs w:val="24"/>
          <w:highlight w:val="none"/>
        </w:rPr>
        <w:t>合格后签发《终验合格单》。按乙方</w:t>
      </w:r>
      <w:r>
        <w:rPr>
          <w:rFonts w:hint="eastAsia" w:ascii="仿宋" w:hAnsi="仿宋" w:eastAsia="仿宋" w:cs="仿宋"/>
          <w:color w:val="auto"/>
          <w:kern w:val="2"/>
          <w:szCs w:val="24"/>
          <w:highlight w:val="none"/>
          <w:lang w:val="en-US" w:eastAsia="zh-CN"/>
        </w:rPr>
        <w:t>响应</w:t>
      </w:r>
      <w:r>
        <w:rPr>
          <w:rFonts w:hint="eastAsia" w:ascii="仿宋" w:hAnsi="仿宋" w:eastAsia="仿宋" w:cs="仿宋"/>
          <w:color w:val="auto"/>
          <w:kern w:val="2"/>
          <w:szCs w:val="24"/>
          <w:highlight w:val="none"/>
        </w:rPr>
        <w:t>文件的承诺，并不低于国家相关标准。</w:t>
      </w:r>
      <w:r>
        <w:rPr>
          <w:rFonts w:hint="eastAsia" w:ascii="仿宋" w:hAnsi="仿宋" w:eastAsia="仿宋" w:cs="仿宋"/>
          <w:color w:val="auto"/>
          <w:kern w:val="2"/>
          <w:szCs w:val="24"/>
          <w:highlight w:val="none"/>
          <w:lang w:eastAsia="zh-CN"/>
        </w:rPr>
        <w:t>（</w:t>
      </w:r>
      <w:r>
        <w:rPr>
          <w:rFonts w:hint="eastAsia" w:ascii="仿宋" w:hAnsi="仿宋" w:eastAsia="仿宋" w:cs="仿宋"/>
          <w:color w:val="auto"/>
          <w:kern w:val="2"/>
          <w:szCs w:val="24"/>
          <w:highlight w:val="none"/>
          <w:lang w:val="en-US" w:eastAsia="zh-CN"/>
        </w:rPr>
        <w:t>3</w:t>
      </w:r>
      <w:r>
        <w:rPr>
          <w:rFonts w:hint="eastAsia" w:ascii="仿宋" w:hAnsi="仿宋" w:eastAsia="仿宋" w:cs="仿宋"/>
          <w:color w:val="auto"/>
          <w:kern w:val="2"/>
          <w:szCs w:val="24"/>
          <w:highlight w:val="none"/>
          <w:lang w:eastAsia="zh-CN"/>
        </w:rPr>
        <w:t>）</w:t>
      </w:r>
      <w:r>
        <w:rPr>
          <w:rFonts w:hint="eastAsia" w:ascii="仿宋" w:hAnsi="仿宋" w:eastAsia="仿宋" w:cs="仿宋"/>
          <w:color w:val="auto"/>
          <w:kern w:val="2"/>
          <w:szCs w:val="24"/>
          <w:highlight w:val="none"/>
        </w:rPr>
        <w:t>对于乙方要交付的服务，甲乙双方须在工作日内初验收，甲方对乙方提交的服务依据</w:t>
      </w:r>
      <w:r>
        <w:rPr>
          <w:rFonts w:hint="eastAsia" w:ascii="仿宋" w:hAnsi="仿宋" w:eastAsia="仿宋" w:cs="仿宋"/>
          <w:color w:val="auto"/>
          <w:kern w:val="2"/>
          <w:szCs w:val="24"/>
          <w:highlight w:val="none"/>
          <w:lang w:val="en-US" w:eastAsia="zh-CN"/>
        </w:rPr>
        <w:t>谈判</w:t>
      </w:r>
      <w:r>
        <w:rPr>
          <w:rFonts w:hint="eastAsia" w:ascii="仿宋" w:hAnsi="仿宋" w:eastAsia="仿宋" w:cs="仿宋"/>
          <w:color w:val="auto"/>
          <w:kern w:val="2"/>
          <w:szCs w:val="24"/>
          <w:highlight w:val="none"/>
        </w:rPr>
        <w:t>文件上的技术要求和国家有关质量标准进行现场初步验收，外观、说明书、包装符合</w:t>
      </w:r>
      <w:r>
        <w:rPr>
          <w:rFonts w:hint="eastAsia" w:ascii="仿宋" w:hAnsi="仿宋" w:eastAsia="仿宋" w:cs="仿宋"/>
          <w:color w:val="auto"/>
          <w:kern w:val="2"/>
          <w:szCs w:val="24"/>
          <w:highlight w:val="none"/>
          <w:lang w:val="en-US" w:eastAsia="zh-CN"/>
        </w:rPr>
        <w:t>谈判</w:t>
      </w:r>
      <w:r>
        <w:rPr>
          <w:rFonts w:hint="eastAsia" w:ascii="仿宋" w:hAnsi="仿宋" w:eastAsia="仿宋" w:cs="仿宋"/>
          <w:color w:val="auto"/>
          <w:kern w:val="2"/>
          <w:szCs w:val="24"/>
          <w:highlight w:val="none"/>
        </w:rPr>
        <w:t>文件技术要求的，给予签收，初步验收不合格的不予签收。根据</w:t>
      </w:r>
      <w:r>
        <w:rPr>
          <w:rFonts w:hint="eastAsia" w:ascii="仿宋" w:hAnsi="仿宋" w:eastAsia="仿宋" w:cs="仿宋"/>
          <w:color w:val="auto"/>
          <w:kern w:val="2"/>
          <w:szCs w:val="24"/>
          <w:highlight w:val="none"/>
          <w:lang w:val="en-US" w:eastAsia="zh-CN"/>
        </w:rPr>
        <w:t>谈判</w:t>
      </w:r>
      <w:r>
        <w:rPr>
          <w:rFonts w:hint="eastAsia" w:ascii="仿宋" w:hAnsi="仿宋" w:eastAsia="仿宋" w:cs="仿宋"/>
          <w:color w:val="auto"/>
          <w:kern w:val="2"/>
          <w:szCs w:val="24"/>
          <w:highlight w:val="none"/>
        </w:rPr>
        <w:t>文件要求、</w:t>
      </w:r>
      <w:r>
        <w:rPr>
          <w:rFonts w:hint="eastAsia" w:ascii="仿宋" w:hAnsi="仿宋" w:eastAsia="仿宋" w:cs="仿宋"/>
          <w:color w:val="auto"/>
          <w:kern w:val="2"/>
          <w:szCs w:val="24"/>
          <w:highlight w:val="none"/>
          <w:lang w:val="en-US" w:eastAsia="zh-CN"/>
        </w:rPr>
        <w:t>响应</w:t>
      </w:r>
      <w:r>
        <w:rPr>
          <w:rFonts w:hint="eastAsia" w:ascii="仿宋" w:hAnsi="仿宋" w:eastAsia="仿宋" w:cs="仿宋"/>
          <w:color w:val="auto"/>
          <w:kern w:val="2"/>
          <w:szCs w:val="24"/>
          <w:highlight w:val="none"/>
        </w:rPr>
        <w:t>文件及合同约定执行。</w:t>
      </w:r>
    </w:p>
    <w:p w14:paraId="254BE2A2">
      <w:pPr>
        <w:adjustRightInd w:val="0"/>
        <w:snapToGrid w:val="0"/>
        <w:spacing w:line="360" w:lineRule="auto"/>
        <w:ind w:firstLine="420" w:firstLineChars="200"/>
        <w:jc w:val="left"/>
        <w:rPr>
          <w:rFonts w:hint="eastAsia" w:ascii="仿宋" w:hAnsi="仿宋" w:eastAsia="仿宋" w:cs="仿宋"/>
          <w:color w:val="auto"/>
          <w:kern w:val="2"/>
          <w:szCs w:val="24"/>
          <w:highlight w:val="none"/>
        </w:rPr>
      </w:pPr>
      <w:r>
        <w:rPr>
          <w:rFonts w:hint="eastAsia" w:ascii="仿宋" w:hAnsi="仿宋" w:eastAsia="仿宋" w:cs="仿宋"/>
          <w:color w:val="auto"/>
          <w:kern w:val="2"/>
          <w:szCs w:val="24"/>
          <w:highlight w:val="none"/>
        </w:rPr>
        <w:t>3.验收标准: （1）产品外形有无破损；（2）产品安装基础是否稳定；（3）产品是否符合</w:t>
      </w:r>
      <w:r>
        <w:rPr>
          <w:rFonts w:hint="eastAsia" w:ascii="仿宋" w:hAnsi="仿宋" w:eastAsia="仿宋" w:cs="仿宋"/>
          <w:color w:val="auto"/>
          <w:kern w:val="2"/>
          <w:szCs w:val="24"/>
          <w:highlight w:val="none"/>
          <w:lang w:val="en-US" w:eastAsia="zh-CN"/>
        </w:rPr>
        <w:t>谈判</w:t>
      </w:r>
      <w:r>
        <w:rPr>
          <w:rFonts w:hint="eastAsia" w:ascii="仿宋" w:hAnsi="仿宋" w:eastAsia="仿宋" w:cs="仿宋"/>
          <w:color w:val="auto"/>
          <w:kern w:val="2"/>
          <w:szCs w:val="24"/>
          <w:highlight w:val="none"/>
        </w:rPr>
        <w:t>文件中规定的技术要求；（4）其他法律法规规定的验收标准。</w:t>
      </w:r>
    </w:p>
    <w:p w14:paraId="21330251">
      <w:pPr>
        <w:adjustRightInd w:val="0"/>
        <w:snapToGrid w:val="0"/>
        <w:spacing w:line="360" w:lineRule="auto"/>
        <w:ind w:firstLine="420" w:firstLineChars="200"/>
        <w:jc w:val="left"/>
        <w:rPr>
          <w:rFonts w:hint="eastAsia" w:ascii="仿宋" w:hAnsi="仿宋" w:eastAsia="仿宋" w:cs="仿宋"/>
          <w:color w:val="auto"/>
          <w:kern w:val="2"/>
          <w:szCs w:val="24"/>
          <w:highlight w:val="none"/>
        </w:rPr>
      </w:pPr>
      <w:r>
        <w:rPr>
          <w:rFonts w:hint="eastAsia" w:ascii="仿宋" w:hAnsi="仿宋" w:eastAsia="仿宋" w:cs="仿宋"/>
          <w:color w:val="auto"/>
          <w:kern w:val="2"/>
          <w:szCs w:val="24"/>
          <w:highlight w:val="none"/>
        </w:rPr>
        <w:t>4.双方在进行验收后应签署书面验收报告，在验收中，如果发现产品与本合同规定不符，甲方有权拒收，有权拒付全部或部分货款。</w:t>
      </w:r>
    </w:p>
    <w:p w14:paraId="6933CDC3">
      <w:pPr>
        <w:adjustRightInd w:val="0"/>
        <w:snapToGrid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kern w:val="2"/>
          <w:szCs w:val="24"/>
          <w:highlight w:val="none"/>
        </w:rPr>
        <w:t xml:space="preserve">5.如产品存在隐蔽瑕疵或质量问题，甲方在验收后仍有权向乙方提出异议，乙方应按本合同第十一条的规定承担产品不符合合同规定的违约责任。 </w:t>
      </w:r>
      <w:r>
        <w:rPr>
          <w:rFonts w:hint="eastAsia" w:ascii="仿宋" w:hAnsi="仿宋" w:eastAsia="仿宋" w:cs="仿宋"/>
          <w:color w:val="auto"/>
          <w:szCs w:val="24"/>
          <w:highlight w:val="none"/>
        </w:rPr>
        <w:t xml:space="preserve">   </w:t>
      </w:r>
    </w:p>
    <w:p w14:paraId="776D7B19">
      <w:pPr>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【第六条】付款方式</w:t>
      </w:r>
    </w:p>
    <w:p w14:paraId="4BF085BA">
      <w:pPr>
        <w:pStyle w:val="3"/>
        <w:adjustRightInd w:val="0"/>
        <w:snapToGrid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1.结算单位：</w:t>
      </w:r>
      <w:bookmarkStart w:id="1" w:name="OLE_LINK4"/>
      <w:r>
        <w:rPr>
          <w:rFonts w:hint="eastAsia" w:ascii="仿宋" w:hAnsi="仿宋" w:eastAsia="仿宋" w:cs="仿宋"/>
          <w:color w:val="auto"/>
          <w:szCs w:val="24"/>
          <w:highlight w:val="none"/>
        </w:rPr>
        <w:t>甲方</w:t>
      </w:r>
      <w:bookmarkEnd w:id="1"/>
      <w:r>
        <w:rPr>
          <w:rFonts w:hint="eastAsia" w:ascii="仿宋" w:hAnsi="仿宋" w:eastAsia="仿宋" w:cs="仿宋"/>
          <w:color w:val="auto"/>
          <w:szCs w:val="24"/>
          <w:highlight w:val="none"/>
        </w:rPr>
        <w:t>结算，在每次付款前</w:t>
      </w:r>
      <w:bookmarkStart w:id="2" w:name="OLE_LINK3"/>
      <w:r>
        <w:rPr>
          <w:rFonts w:hint="eastAsia" w:ascii="仿宋" w:hAnsi="仿宋" w:eastAsia="仿宋" w:cs="仿宋"/>
          <w:color w:val="auto"/>
          <w:szCs w:val="24"/>
          <w:highlight w:val="none"/>
        </w:rPr>
        <w:t>乙方</w:t>
      </w:r>
      <w:bookmarkEnd w:id="2"/>
      <w:r>
        <w:rPr>
          <w:rFonts w:hint="eastAsia" w:ascii="仿宋" w:hAnsi="仿宋" w:eastAsia="仿宋" w:cs="仿宋"/>
          <w:color w:val="auto"/>
          <w:szCs w:val="24"/>
          <w:highlight w:val="none"/>
        </w:rPr>
        <w:t>必须开具等额增值税发票给甲方。</w:t>
      </w:r>
    </w:p>
    <w:p w14:paraId="12860F2A">
      <w:pPr>
        <w:pStyle w:val="3"/>
        <w:adjustRightInd w:val="0"/>
        <w:snapToGrid w:val="0"/>
        <w:spacing w:line="360" w:lineRule="auto"/>
        <w:ind w:firstLine="420" w:firstLineChars="200"/>
        <w:jc w:val="left"/>
        <w:rPr>
          <w:rFonts w:hint="eastAsia" w:ascii="仿宋" w:hAnsi="仿宋" w:eastAsia="仿宋" w:cs="仿宋"/>
          <w:color w:val="auto"/>
          <w:szCs w:val="24"/>
          <w:highlight w:val="none"/>
          <w:lang w:val="zh-CN"/>
        </w:rPr>
      </w:pPr>
      <w:r>
        <w:rPr>
          <w:rFonts w:hint="eastAsia" w:ascii="仿宋" w:hAnsi="仿宋" w:eastAsia="仿宋" w:cs="仿宋"/>
          <w:color w:val="auto"/>
          <w:szCs w:val="24"/>
          <w:highlight w:val="none"/>
        </w:rPr>
        <w:t>2.付款方式：完成安装调试，验收合格后，乙方须开具全额发票(含税)，甲方向</w:t>
      </w:r>
      <w:bookmarkStart w:id="3" w:name="OLE_LINK5"/>
      <w:r>
        <w:rPr>
          <w:rFonts w:hint="eastAsia" w:ascii="仿宋" w:hAnsi="仿宋" w:eastAsia="仿宋" w:cs="仿宋"/>
          <w:color w:val="auto"/>
          <w:szCs w:val="24"/>
          <w:highlight w:val="none"/>
        </w:rPr>
        <w:t>乙方</w:t>
      </w:r>
      <w:bookmarkEnd w:id="3"/>
      <w:r>
        <w:rPr>
          <w:rFonts w:hint="eastAsia" w:ascii="仿宋" w:hAnsi="仿宋" w:eastAsia="仿宋" w:cs="仿宋"/>
          <w:color w:val="auto"/>
          <w:szCs w:val="24"/>
          <w:highlight w:val="none"/>
        </w:rPr>
        <w:t>支付合同总价的60%；项目正常运行</w:t>
      </w:r>
      <w:r>
        <w:rPr>
          <w:rFonts w:hint="eastAsia" w:ascii="仿宋" w:hAnsi="仿宋" w:eastAsia="仿宋" w:cs="仿宋"/>
          <w:color w:val="auto"/>
          <w:szCs w:val="24"/>
          <w:highlight w:val="none"/>
          <w:lang w:val="en-US" w:eastAsia="zh-CN"/>
        </w:rPr>
        <w:t>1个月</w:t>
      </w:r>
      <w:r>
        <w:rPr>
          <w:rFonts w:hint="eastAsia" w:ascii="仿宋" w:hAnsi="仿宋" w:eastAsia="仿宋" w:cs="仿宋"/>
          <w:color w:val="auto"/>
          <w:szCs w:val="24"/>
          <w:highlight w:val="none"/>
        </w:rPr>
        <w:t>后，进行二次验收满足合格要求，甲方向乙方支付合同总价的30%；留合同总价的10%，作为质量保证金，质保期满后一次付清(无息)。</w:t>
      </w:r>
    </w:p>
    <w:p w14:paraId="637F1809">
      <w:pPr>
        <w:pStyle w:val="3"/>
        <w:adjustRightInd w:val="0"/>
        <w:snapToGrid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3.甲方通过银行转账的方式向乙方支付协议款项，乙方提供银行账号。</w:t>
      </w:r>
    </w:p>
    <w:p w14:paraId="5172A1B6">
      <w:pPr>
        <w:pStyle w:val="3"/>
        <w:adjustRightInd w:val="0"/>
        <w:snapToGrid w:val="0"/>
        <w:spacing w:line="360" w:lineRule="auto"/>
        <w:ind w:firstLine="420" w:firstLineChars="200"/>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4.支付方式：银行转账。</w:t>
      </w:r>
    </w:p>
    <w:p w14:paraId="4371470A">
      <w:pPr>
        <w:adjustRightInd w:val="0"/>
        <w:snapToGrid w:val="0"/>
        <w:spacing w:line="360" w:lineRule="auto"/>
        <w:rPr>
          <w:rFonts w:hint="eastAsia" w:ascii="仿宋" w:hAnsi="仿宋" w:eastAsia="仿宋" w:cs="仿宋"/>
          <w:b/>
          <w:color w:val="auto"/>
          <w:szCs w:val="24"/>
          <w:highlight w:val="none"/>
        </w:rPr>
      </w:pPr>
      <w:bookmarkStart w:id="4" w:name="_Toc19515390"/>
      <w:r>
        <w:rPr>
          <w:rFonts w:hint="eastAsia" w:ascii="仿宋" w:hAnsi="仿宋" w:eastAsia="仿宋" w:cs="仿宋"/>
          <w:b/>
          <w:color w:val="auto"/>
          <w:szCs w:val="24"/>
          <w:highlight w:val="none"/>
        </w:rPr>
        <w:t>【第七条】技术服务</w:t>
      </w:r>
      <w:bookmarkEnd w:id="4"/>
    </w:p>
    <w:p w14:paraId="64440CC0">
      <w:pPr>
        <w:adjustRightInd w:val="0"/>
        <w:snapToGrid w:val="0"/>
        <w:spacing w:line="360" w:lineRule="auto"/>
        <w:ind w:firstLine="420" w:firstLineChars="200"/>
        <w:jc w:val="left"/>
        <w:rPr>
          <w:rFonts w:hint="eastAsia" w:ascii="仿宋" w:hAnsi="仿宋" w:eastAsia="仿宋" w:cs="仿宋"/>
          <w:color w:val="auto"/>
          <w:kern w:val="2"/>
          <w:szCs w:val="24"/>
          <w:highlight w:val="none"/>
        </w:rPr>
      </w:pPr>
      <w:r>
        <w:rPr>
          <w:rFonts w:hint="eastAsia" w:ascii="仿宋" w:hAnsi="仿宋" w:eastAsia="仿宋" w:cs="仿宋"/>
          <w:color w:val="auto"/>
          <w:highlight w:val="none"/>
        </w:rPr>
        <w:t>1.对技术服务的要求：</w:t>
      </w:r>
      <w:r>
        <w:rPr>
          <w:rFonts w:hint="eastAsia" w:ascii="仿宋" w:hAnsi="仿宋" w:eastAsia="仿宋" w:cs="仿宋"/>
          <w:color w:val="auto"/>
          <w:kern w:val="2"/>
          <w:szCs w:val="24"/>
          <w:highlight w:val="none"/>
        </w:rPr>
        <w:t>设备到位后，乙方应立即进行安装、调试，同时对操作人员进行严格的规范化培训。</w:t>
      </w:r>
    </w:p>
    <w:p w14:paraId="03786BB7">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2.技术资料：操作规程手册、操作流程手册。</w:t>
      </w:r>
    </w:p>
    <w:p w14:paraId="630DDE1A">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3.技术培训</w:t>
      </w:r>
    </w:p>
    <w:p w14:paraId="056C8ECC">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3.1培训内容：操作规程、操作流程。</w:t>
      </w:r>
    </w:p>
    <w:p w14:paraId="18A8C312">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3.2培训地点：甲方指定地点。</w:t>
      </w:r>
    </w:p>
    <w:p w14:paraId="0B441E08">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3.3培训时间：项目整体完结，组织验收前。</w:t>
      </w:r>
    </w:p>
    <w:p w14:paraId="20D9D7EB">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3.4培训人数：不少于3人。</w:t>
      </w:r>
    </w:p>
    <w:p w14:paraId="785A186C">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3.5培训费用：受训人员的食宿费、资料费、培训场地费、耗材（包括水电费等）费等已包含在合同总价中，甲方不再另行支付。</w:t>
      </w:r>
    </w:p>
    <w:p w14:paraId="29F8F305">
      <w:pPr>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【第八条】售后服务</w:t>
      </w:r>
    </w:p>
    <w:p w14:paraId="25FD494E">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1.乙方在工作时间内随时为甲方以电话、传真、电子邮件方式免费提供所买产品的服务于技术支持维护，通常系统平台保障，提供实时响应解决。</w:t>
      </w:r>
    </w:p>
    <w:p w14:paraId="5AD8D0DC">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2.乙方在服务期内对系统提供技术支持。</w:t>
      </w:r>
    </w:p>
    <w:p w14:paraId="1AEE5CE0">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3.如果乙方在收到甲方通知后，服务响应时间不超过2小时，24小时内工程师到位，对问题较大短期内暂不能解决的，为不影响甲方正常工作，乙方在2日内免费提供替代产品，确保正常运行。24小时内没有弥补缺陷，甲方可采取必要的补救措施，但其风险和费用将由乙方承担，甲方根据合同规定对乙方行使的其它权力不受影响。</w:t>
      </w:r>
    </w:p>
    <w:p w14:paraId="48085C5C">
      <w:pPr>
        <w:adjustRightInd w:val="0"/>
        <w:snapToGrid w:val="0"/>
        <w:spacing w:line="36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4.乙方保证所售产品软件系统等不会侵犯任何第三方权利，否则乙方将承担甲方由此受到的一切损失。</w:t>
      </w:r>
    </w:p>
    <w:p w14:paraId="45C950D4">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【第九条】权利保证</w:t>
      </w:r>
    </w:p>
    <w:p w14:paraId="69D75CE4">
      <w:pPr>
        <w:adjustRightInd w:val="0"/>
        <w:snapToGrid w:val="0"/>
        <w:spacing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rPr>
        <w:t>乙方保证对其提供的产品拥有合法的所有权或处分权，并保证不侵犯第三人之著作权、商标权、专利权等知识产权，不会侵犯任何第三人的商业秘密或对任何第三人构成不正当竞争，如因此与第三人形成争议、诉讼或仲裁案件，由乙方承担全部责任，并负责赔偿甲方由此而遭受的全部损失。同时乙方需提供全力支持防止因上述侵权给甲方带来的直接和预期的损失，包括但不限于提供功能上相等的甲方认可的可以达到原合同目的的其他产品，并承担因此而产生的所有的费用。</w:t>
      </w:r>
    </w:p>
    <w:p w14:paraId="0D884D85">
      <w:pPr>
        <w:adjustRightInd w:val="0"/>
        <w:snapToGrid w:val="0"/>
        <w:spacing w:line="360" w:lineRule="auto"/>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【第十条】保密</w:t>
      </w:r>
    </w:p>
    <w:p w14:paraId="189623EE">
      <w:pPr>
        <w:adjustRightInd w:val="0"/>
        <w:snapToGrid w:val="0"/>
        <w:spacing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rPr>
        <w:t>在本合同履行期间及履行完毕的任何时候，未经对方同意，任何一方不得以任何形式公开或向任何第三方披露本合同及附件内容，以确保双方的商业机密，法律法规或监管要求另有规定的除外。</w:t>
      </w:r>
    </w:p>
    <w:p w14:paraId="203974E8">
      <w:pPr>
        <w:adjustRightInd w:val="0"/>
        <w:snapToGrid w:val="0"/>
        <w:spacing w:line="360" w:lineRule="auto"/>
        <w:ind w:firstLine="420"/>
        <w:rPr>
          <w:rFonts w:hint="eastAsia" w:ascii="仿宋" w:hAnsi="仿宋" w:eastAsia="仿宋" w:cs="仿宋"/>
          <w:color w:val="auto"/>
          <w:szCs w:val="24"/>
          <w:highlight w:val="none"/>
        </w:rPr>
      </w:pPr>
      <w:r>
        <w:rPr>
          <w:rFonts w:hint="eastAsia" w:ascii="仿宋" w:hAnsi="仿宋" w:eastAsia="仿宋" w:cs="仿宋"/>
          <w:color w:val="auto"/>
          <w:szCs w:val="24"/>
          <w:highlight w:val="none"/>
        </w:rPr>
        <w:t>在实施过程中，对于涉及本项目及学校相关信息，知晓的内容及情况，应遵守国家保密法等相关规定，乙方严格执行，承担保密相关责任。</w:t>
      </w:r>
    </w:p>
    <w:p w14:paraId="6A10EA37">
      <w:pPr>
        <w:autoSpaceDE w:val="0"/>
        <w:autoSpaceDN w:val="0"/>
        <w:adjustRightInd w:val="0"/>
        <w:snapToGrid w:val="0"/>
        <w:spacing w:line="360" w:lineRule="auto"/>
        <w:ind w:firstLine="420" w:firstLineChars="200"/>
        <w:jc w:val="left"/>
        <w:rPr>
          <w:rFonts w:hint="eastAsia" w:ascii="仿宋" w:hAnsi="仿宋" w:eastAsia="仿宋" w:cs="仿宋"/>
          <w:b/>
          <w:color w:val="auto"/>
          <w:szCs w:val="24"/>
          <w:highlight w:val="none"/>
        </w:rPr>
      </w:pPr>
      <w:r>
        <w:rPr>
          <w:rFonts w:hint="eastAsia" w:ascii="仿宋" w:hAnsi="仿宋" w:eastAsia="仿宋" w:cs="仿宋"/>
          <w:color w:val="auto"/>
          <w:szCs w:val="24"/>
          <w:highlight w:val="none"/>
        </w:rPr>
        <w:t>如需要，乙方应根据甲方的要求签署相应的保密协议，保密协议与本条款存在不一致的，以保密协议为准。</w:t>
      </w:r>
    </w:p>
    <w:p w14:paraId="0DD77C27">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b/>
          <w:color w:val="auto"/>
          <w:szCs w:val="24"/>
          <w:highlight w:val="none"/>
        </w:rPr>
        <w:t>【第十一条】违约责任</w:t>
      </w:r>
    </w:p>
    <w:p w14:paraId="3F368DF2">
      <w:pPr>
        <w:adjustRightInd w:val="0"/>
        <w:snapToGrid w:val="0"/>
        <w:spacing w:line="360" w:lineRule="auto"/>
        <w:ind w:firstLine="420" w:firstLineChars="2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rPr>
        <w:t>1.如果乙方未按本合同及</w:t>
      </w:r>
      <w:r>
        <w:rPr>
          <w:rFonts w:hint="eastAsia" w:ascii="仿宋" w:hAnsi="仿宋" w:eastAsia="仿宋" w:cs="仿宋"/>
          <w:color w:val="auto"/>
          <w:szCs w:val="24"/>
          <w:highlight w:val="none"/>
          <w:lang w:val="en-US" w:eastAsia="zh-CN"/>
        </w:rPr>
        <w:t>谈判</w:t>
      </w:r>
      <w:r>
        <w:rPr>
          <w:rFonts w:hint="eastAsia" w:ascii="仿宋" w:hAnsi="仿宋" w:eastAsia="仿宋" w:cs="仿宋"/>
          <w:color w:val="auto"/>
          <w:szCs w:val="24"/>
          <w:highlight w:val="none"/>
        </w:rPr>
        <w:t>文件约定的期限、地点和方式履行义务</w:t>
      </w:r>
      <w:r>
        <w:rPr>
          <w:rFonts w:hint="eastAsia" w:ascii="仿宋" w:hAnsi="仿宋" w:eastAsia="仿宋" w:cs="仿宋"/>
          <w:color w:val="auto"/>
          <w:szCs w:val="24"/>
          <w:highlight w:val="none"/>
          <w:lang w:val="en-US" w:eastAsia="zh-CN"/>
        </w:rPr>
        <w:t>（非不可抗力原因除外）</w:t>
      </w:r>
      <w:r>
        <w:rPr>
          <w:rFonts w:hint="eastAsia" w:ascii="仿宋" w:hAnsi="仿宋" w:eastAsia="仿宋" w:cs="仿宋"/>
          <w:color w:val="auto"/>
          <w:szCs w:val="24"/>
          <w:highlight w:val="none"/>
        </w:rPr>
        <w:t>，须向甲方支付违约金。每迟延履行</w:t>
      </w:r>
      <w:r>
        <w:rPr>
          <w:rFonts w:hint="eastAsia" w:ascii="仿宋" w:hAnsi="仿宋" w:eastAsia="仿宋" w:cs="仿宋"/>
          <w:color w:val="auto"/>
          <w:szCs w:val="24"/>
          <w:highlight w:val="none"/>
          <w:lang w:val="en-US" w:eastAsia="zh-CN"/>
        </w:rPr>
        <w:t>1</w:t>
      </w:r>
      <w:r>
        <w:rPr>
          <w:rFonts w:hint="eastAsia" w:ascii="仿宋" w:hAnsi="仿宋" w:eastAsia="仿宋" w:cs="仿宋"/>
          <w:color w:val="auto"/>
          <w:szCs w:val="24"/>
          <w:highlight w:val="none"/>
        </w:rPr>
        <w:t>日，按</w:t>
      </w:r>
      <w:r>
        <w:rPr>
          <w:rFonts w:hint="eastAsia" w:ascii="仿宋" w:hAnsi="仿宋" w:eastAsia="仿宋" w:cs="仿宋"/>
          <w:color w:val="auto"/>
          <w:szCs w:val="24"/>
          <w:highlight w:val="none"/>
          <w:lang w:val="en-US" w:eastAsia="zh-CN"/>
        </w:rPr>
        <w:t>最终审定价款</w:t>
      </w:r>
      <w:r>
        <w:rPr>
          <w:rFonts w:hint="eastAsia" w:ascii="仿宋" w:hAnsi="仿宋" w:eastAsia="仿宋" w:cs="仿宋"/>
          <w:color w:val="auto"/>
          <w:szCs w:val="24"/>
          <w:highlight w:val="none"/>
        </w:rPr>
        <w:t>的 [1]%</w:t>
      </w:r>
      <w:r>
        <w:rPr>
          <w:rFonts w:hint="eastAsia" w:ascii="仿宋" w:hAnsi="仿宋" w:eastAsia="仿宋" w:cs="仿宋"/>
          <w:color w:val="auto"/>
          <w:szCs w:val="24"/>
          <w:highlight w:val="none"/>
          <w:lang w:val="en-US" w:eastAsia="zh-CN"/>
        </w:rPr>
        <w:t>扣除</w:t>
      </w:r>
      <w:r>
        <w:rPr>
          <w:rFonts w:hint="eastAsia" w:ascii="仿宋" w:hAnsi="仿宋" w:eastAsia="仿宋" w:cs="仿宋"/>
          <w:color w:val="auto"/>
          <w:szCs w:val="24"/>
          <w:highlight w:val="none"/>
        </w:rPr>
        <w:t>，违约金总额最高不超过</w:t>
      </w:r>
      <w:r>
        <w:rPr>
          <w:rFonts w:hint="eastAsia" w:ascii="仿宋" w:hAnsi="仿宋" w:eastAsia="仿宋" w:cs="仿宋"/>
          <w:color w:val="auto"/>
          <w:szCs w:val="24"/>
          <w:highlight w:val="none"/>
          <w:lang w:val="en-US" w:eastAsia="zh-CN"/>
        </w:rPr>
        <w:t>最终审定价款</w:t>
      </w:r>
      <w:r>
        <w:rPr>
          <w:rFonts w:hint="eastAsia" w:ascii="仿宋" w:hAnsi="仿宋" w:eastAsia="仿宋" w:cs="仿宋"/>
          <w:color w:val="auto"/>
          <w:szCs w:val="24"/>
          <w:highlight w:val="none"/>
        </w:rPr>
        <w:t>的 [20]%。乙方迟延履行期限不得超过20日，逾期超过该期限的，甲方有权以书面形式通知乙方解除本合同。</w:t>
      </w:r>
      <w:r>
        <w:rPr>
          <w:rFonts w:hint="eastAsia" w:ascii="仿宋" w:hAnsi="仿宋" w:eastAsia="仿宋" w:cs="仿宋"/>
          <w:color w:val="auto"/>
          <w:szCs w:val="24"/>
          <w:highlight w:val="none"/>
          <w:lang w:val="en-US" w:eastAsia="zh-CN"/>
        </w:rPr>
        <w:t>乙方每迟延履行1日，甲方有权在本合同支付约定的基础上推迟付款10日。</w:t>
      </w:r>
    </w:p>
    <w:p w14:paraId="5D0503FF">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2.若乙方交付的产品质量不符合本合同及</w:t>
      </w:r>
      <w:r>
        <w:rPr>
          <w:rFonts w:hint="eastAsia" w:ascii="仿宋" w:hAnsi="仿宋" w:eastAsia="仿宋" w:cs="仿宋"/>
          <w:color w:val="auto"/>
          <w:szCs w:val="24"/>
          <w:highlight w:val="none"/>
          <w:lang w:val="en-US" w:eastAsia="zh-CN"/>
        </w:rPr>
        <w:t>谈判</w:t>
      </w:r>
      <w:r>
        <w:rPr>
          <w:rFonts w:hint="eastAsia" w:ascii="仿宋" w:hAnsi="仿宋" w:eastAsia="仿宋" w:cs="仿宋"/>
          <w:color w:val="auto"/>
          <w:szCs w:val="24"/>
          <w:highlight w:val="none"/>
        </w:rPr>
        <w:t>文件要求，乙方应在24小时内予以更换或维修，并承担因修理、调换、运输所产生的全部费用。若乙方未及时响应，或经修理、调换后的产品仍未达到合同约定标准，甲方有权要求乙方按质量缺陷部分货款的[300]%支付违约金；如甲方已支付该部分货款，乙方须无条件退还。因质量问题导致的工期延误，由乙方承担全部责任。</w:t>
      </w:r>
    </w:p>
    <w:p w14:paraId="069A92CF">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3.在质保期内，乙方须定期（每半年</w:t>
      </w:r>
      <w:r>
        <w:rPr>
          <w:rFonts w:hint="eastAsia" w:ascii="仿宋" w:hAnsi="仿宋" w:eastAsia="仿宋" w:cs="仿宋"/>
          <w:color w:val="auto"/>
          <w:szCs w:val="24"/>
          <w:highlight w:val="none"/>
          <w:lang w:val="en-US" w:eastAsia="zh-CN"/>
        </w:rPr>
        <w:t>1</w:t>
      </w:r>
      <w:r>
        <w:rPr>
          <w:rFonts w:hint="eastAsia" w:ascii="仿宋" w:hAnsi="仿宋" w:eastAsia="仿宋" w:cs="仿宋"/>
          <w:color w:val="auto"/>
          <w:szCs w:val="24"/>
          <w:highlight w:val="none"/>
        </w:rPr>
        <w:t>次）开展设备检测及运营维护工作。期间如发生设备、线路损坏或其他故障，乙方须在24小时内完成维修或更换，并承担相应费用。若乙方未及时响应，或经维修、更换后的设备仍未达到合同约定标准，甲方有权扣除质量保证金；若扣除的质量保证金不足以弥补甲方实际损失，乙方应就差额部分承担赔偿责任。</w:t>
      </w:r>
    </w:p>
    <w:p w14:paraId="42C55CC9">
      <w:pPr>
        <w:adjustRightInd w:val="0"/>
        <w:snapToGrid w:val="0"/>
        <w:spacing w:line="360" w:lineRule="auto"/>
        <w:ind w:firstLine="420" w:firstLineChars="200"/>
        <w:rPr>
          <w:rFonts w:hint="eastAsia" w:ascii="仿宋" w:hAnsi="仿宋" w:eastAsia="仿宋" w:cs="仿宋"/>
          <w:color w:val="auto"/>
          <w:szCs w:val="24"/>
          <w:highlight w:val="none"/>
          <w:lang w:val="en-US" w:eastAsia="zh-CN"/>
        </w:rPr>
      </w:pPr>
      <w:r>
        <w:rPr>
          <w:rFonts w:hint="eastAsia" w:ascii="仿宋" w:hAnsi="仿宋" w:eastAsia="仿宋" w:cs="仿宋"/>
          <w:color w:val="auto"/>
          <w:szCs w:val="24"/>
          <w:highlight w:val="none"/>
          <w:lang w:val="en-US" w:eastAsia="zh-CN"/>
        </w:rPr>
        <w:t>4.乙方未在成交通知书发出30日内提交给甲方签字盖章的合同原件延期签署合同或未在约定的工期内交付本项目（非不可抗力原因除外），乙方每延期1日，甲方有权在本合同支付约定的基础上推迟付款10日，延期签署合同延期日和延期交付延期日累加计算。</w:t>
      </w:r>
    </w:p>
    <w:p w14:paraId="67ED0665">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5</w:t>
      </w:r>
      <w:r>
        <w:rPr>
          <w:rFonts w:hint="eastAsia" w:ascii="仿宋" w:hAnsi="仿宋" w:eastAsia="仿宋" w:cs="仿宋"/>
          <w:color w:val="auto"/>
          <w:szCs w:val="24"/>
          <w:highlight w:val="none"/>
        </w:rPr>
        <w:t>.除不可抗力外，任何一方未能履行本合同约定的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5EE273B2">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lang w:val="en-US" w:eastAsia="zh-CN"/>
        </w:rPr>
        <w:t>6</w:t>
      </w:r>
      <w:r>
        <w:rPr>
          <w:rFonts w:hint="eastAsia" w:ascii="仿宋" w:hAnsi="仿宋" w:eastAsia="仿宋" w:cs="仿宋"/>
          <w:color w:val="auto"/>
          <w:szCs w:val="24"/>
          <w:highlight w:val="none"/>
        </w:rPr>
        <w:t>.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w:t>
      </w:r>
    </w:p>
    <w:p w14:paraId="10F74B3B">
      <w:pPr>
        <w:autoSpaceDE w:val="0"/>
        <w:autoSpaceDN w:val="0"/>
        <w:adjustRightInd w:val="0"/>
        <w:snapToGrid w:val="0"/>
        <w:spacing w:line="360" w:lineRule="auto"/>
        <w:jc w:val="left"/>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【第十二条】其他约定</w:t>
      </w:r>
    </w:p>
    <w:p w14:paraId="3E68C93E">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 通知</w:t>
      </w:r>
    </w:p>
    <w:p w14:paraId="2A1BA4F1">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乙方发生名称、法定代表人(负责人)、住所、经营范围、注册资本金或公司(企业)章程等工商登记事项变更的，应当在变更后五个工作日内书面通知甲方，并附变更后的相关材料。</w:t>
      </w:r>
    </w:p>
    <w:p w14:paraId="30E11485">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乙方发生包括但不限于申请/被申请破产、停产、歇业、被吊销营业执照或相关资质、涉及重大法律纠纷、生产经营出现严重困难或财务状况恶化等可能影响履行本合同约定义务的，乙方应立即书面通知甲方，甲方有权要求乙方为本合同的履行安排提供甲方认可的担保，在乙方安排提供甲方认可的担保前，甲方有权暂停履行本合同项下的采购或支付义务。</w:t>
      </w:r>
    </w:p>
    <w:p w14:paraId="6DC97D59">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 不可抗力</w:t>
      </w:r>
    </w:p>
    <w:p w14:paraId="010E44AD">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不可抗力，系指地震、台风、水灾、火灾、战争等不能预见、不能避免并不能克服的，直接影响本合同履行的意外事件。如果出现不可抗力，双方在本合同中的义务在不可抗力影响范围及其持续期间内将中止履行。经另外一方确定的不可抗力影响时间，不计入本合同执行时间，本合同执行时间相应顺延。合同期限可根据中止的期限作相应延长，但须双方协商一致。任何一方均不会因此而承担违约责任。但是，一方迟延履行本合同同时发生了不可抗力，迟延方的违约责任不能免除。</w:t>
      </w:r>
    </w:p>
    <w:p w14:paraId="5FDE0F20">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受不可抗力影响的一方，应当尽可能采取合理的行为和适当的措施减轻不可抗力对履行本合同所造成的影响。没有采取适当措施致使损失扩大的，该方不能就扩大损失的部分要求免责，仍需就扩大损失的部分承担赔偿责任。</w:t>
      </w:r>
    </w:p>
    <w:p w14:paraId="52A053E6">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受不可抗力影响一方应在不可抗力事件发生后[ 3 ]个工作日内将不能履行本合同的原因书面通知对方，并提供有效的证明文件。</w:t>
      </w:r>
    </w:p>
    <w:p w14:paraId="41833A97">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3. 市场宣传</w:t>
      </w:r>
    </w:p>
    <w:p w14:paraId="0E31F7A0">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未经甲方书面同意，乙方不得在市场宣传中使用与甲方的合作案例。</w:t>
      </w:r>
    </w:p>
    <w:p w14:paraId="44D6422C">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4. 合同的完整性</w:t>
      </w:r>
    </w:p>
    <w:p w14:paraId="78E4A9A3">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如果乙方在本合同签订阶段向甲方提供过任何加盖有公章或由授权代表签名的任何正式书面承诺、保证或说明，则该书面承诺、保证或说明材料中有关乙方义务、责任或承诺的内容，均构成本合同项下乙方的义务，对乙方具有法律约束力，但甲方明确书面同意予以免除的除外，如上述书面承诺、保证或说明与本合同约定冲突的，以本合同约定为准。</w:t>
      </w:r>
    </w:p>
    <w:p w14:paraId="095E4710">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5.其他</w:t>
      </w:r>
    </w:p>
    <w:p w14:paraId="12ADB4F1">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乙方在合同履行期间或提供的产品因质量问题给甲方及其员工或第三方的财产造成损失或人身安全造成伤害的，责任由乙方承担。</w:t>
      </w:r>
    </w:p>
    <w:p w14:paraId="3A0D26D0">
      <w:pPr>
        <w:autoSpaceDE w:val="0"/>
        <w:autoSpaceDN w:val="0"/>
        <w:adjustRightInd w:val="0"/>
        <w:snapToGrid w:val="0"/>
        <w:spacing w:line="360" w:lineRule="auto"/>
        <w:jc w:val="left"/>
        <w:rPr>
          <w:rFonts w:hint="eastAsia" w:ascii="仿宋" w:hAnsi="仿宋" w:eastAsia="仿宋" w:cs="仿宋"/>
          <w:b/>
          <w:color w:val="auto"/>
          <w:szCs w:val="24"/>
          <w:highlight w:val="none"/>
        </w:rPr>
      </w:pPr>
      <w:r>
        <w:rPr>
          <w:rFonts w:hint="eastAsia" w:ascii="仿宋" w:hAnsi="仿宋" w:eastAsia="仿宋" w:cs="仿宋"/>
          <w:b/>
          <w:color w:val="auto"/>
          <w:szCs w:val="24"/>
          <w:highlight w:val="none"/>
        </w:rPr>
        <w:t>【第十三条】争议处理</w:t>
      </w:r>
    </w:p>
    <w:p w14:paraId="157A49DA">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本合同履行过程中双方遇到争议的应友好协商解决，协商不成的，提交甲方所在地人民法院诉讼解决。</w:t>
      </w:r>
    </w:p>
    <w:p w14:paraId="507A5F77">
      <w:pPr>
        <w:autoSpaceDE w:val="0"/>
        <w:autoSpaceDN w:val="0"/>
        <w:adjustRightInd w:val="0"/>
        <w:snapToGrid w:val="0"/>
        <w:spacing w:line="360" w:lineRule="auto"/>
        <w:jc w:val="left"/>
        <w:rPr>
          <w:rFonts w:hint="eastAsia" w:ascii="仿宋" w:hAnsi="仿宋" w:eastAsia="仿宋" w:cs="仿宋"/>
          <w:color w:val="auto"/>
          <w:szCs w:val="22"/>
          <w:highlight w:val="none"/>
        </w:rPr>
      </w:pPr>
      <w:r>
        <w:rPr>
          <w:rFonts w:hint="eastAsia" w:ascii="仿宋" w:hAnsi="仿宋" w:eastAsia="仿宋" w:cs="仿宋"/>
          <w:b/>
          <w:color w:val="auto"/>
          <w:szCs w:val="24"/>
          <w:highlight w:val="none"/>
        </w:rPr>
        <w:t>【第十四条】合同的生效、变更及合同份数</w:t>
      </w:r>
    </w:p>
    <w:p w14:paraId="10EE6AE5">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1.本合同自双方法定代表人或者授权签字人签字并加盖公章或合同专用章之日起生效。</w:t>
      </w:r>
    </w:p>
    <w:p w14:paraId="3F866A36">
      <w:pPr>
        <w:adjustRightInd w:val="0"/>
        <w:snapToGrid w:val="0"/>
        <w:spacing w:line="360" w:lineRule="auto"/>
        <w:ind w:firstLine="420" w:firstLineChars="200"/>
        <w:rPr>
          <w:rFonts w:hint="eastAsia" w:ascii="仿宋" w:hAnsi="仿宋" w:eastAsia="仿宋" w:cs="仿宋"/>
          <w:color w:val="auto"/>
          <w:szCs w:val="24"/>
          <w:highlight w:val="none"/>
        </w:rPr>
      </w:pPr>
      <w:r>
        <w:rPr>
          <w:rFonts w:hint="eastAsia" w:ascii="仿宋" w:hAnsi="仿宋" w:eastAsia="仿宋" w:cs="仿宋"/>
          <w:color w:val="auto"/>
          <w:szCs w:val="24"/>
          <w:highlight w:val="none"/>
        </w:rPr>
        <w:t>2.本合同履行期内，除任何一方违约外，甲乙双方均不得随意变更或解除合同。未尽事宜，由双方共同协商达成补充协议解决。补充协议与本合同不一致的，以补充协议为准。</w:t>
      </w:r>
    </w:p>
    <w:p w14:paraId="67D4F2E9">
      <w:pPr>
        <w:adjustRightInd w:val="0"/>
        <w:snapToGrid w:val="0"/>
        <w:spacing w:line="360" w:lineRule="auto"/>
        <w:ind w:firstLine="420" w:firstLineChars="200"/>
        <w:rPr>
          <w:rFonts w:hint="eastAsia" w:ascii="仿宋" w:hAnsi="仿宋" w:eastAsia="仿宋" w:cs="仿宋"/>
          <w:bCs/>
          <w:color w:val="auto"/>
          <w:szCs w:val="24"/>
          <w:highlight w:val="none"/>
        </w:rPr>
      </w:pPr>
      <w:r>
        <w:rPr>
          <w:rFonts w:hint="eastAsia" w:ascii="仿宋" w:hAnsi="仿宋" w:eastAsia="仿宋" w:cs="仿宋"/>
          <w:color w:val="auto"/>
          <w:szCs w:val="24"/>
          <w:highlight w:val="none"/>
        </w:rPr>
        <w:t>3.本合同一式[</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]份。甲方执[</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]份，乙方执[</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]份。附件为主合同的一部分，具有同等法律效力。</w:t>
      </w:r>
    </w:p>
    <w:p w14:paraId="57A0B303">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bCs/>
          <w:color w:val="auto"/>
          <w:szCs w:val="24"/>
          <w:highlight w:val="none"/>
        </w:rPr>
        <w:t xml:space="preserve">   </w:t>
      </w:r>
      <w:r>
        <w:rPr>
          <w:rFonts w:hint="eastAsia" w:ascii="仿宋" w:hAnsi="仿宋" w:eastAsia="仿宋" w:cs="仿宋"/>
          <w:color w:val="auto"/>
          <w:szCs w:val="24"/>
          <w:highlight w:val="none"/>
        </w:rPr>
        <w:t xml:space="preserve"> 4. 双方一致同意本协议尾部所列信息为双方现行有效联系方式，若有变更则应在变更后三日内书面通知他方，同时，本协议尾部所列各方通讯地址作为送达催告函、解除函、法院送达诉讼文书等的地址，因载明的地址有误或未及时告知变更后的地址，导致相关文书及诉讼文书未能实际被接收的、邮寄送达的，相关文书及诉讼文书退回之日视为送达之日，可以送达的，按照原联系方式通知的视为有效送达。</w:t>
      </w:r>
    </w:p>
    <w:p w14:paraId="567A0BB6">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（以下无正文）</w:t>
      </w:r>
    </w:p>
    <w:p w14:paraId="3B6C20A0">
      <w:pPr>
        <w:adjustRightInd w:val="0"/>
        <w:snapToGrid w:val="0"/>
        <w:spacing w:line="360" w:lineRule="auto"/>
        <w:rPr>
          <w:rFonts w:hint="eastAsia" w:ascii="仿宋" w:hAnsi="仿宋" w:eastAsia="仿宋" w:cs="仿宋"/>
          <w:color w:val="auto"/>
          <w:szCs w:val="24"/>
          <w:highlight w:val="none"/>
        </w:rPr>
      </w:pPr>
    </w:p>
    <w:p w14:paraId="7BF65BA0">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甲方（公章）：                          乙方（公章）：                    </w:t>
      </w:r>
    </w:p>
    <w:p w14:paraId="6BD9B90A">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甲方法定代表人或授权签字人              乙方法定代表人或授权签字人     </w:t>
      </w:r>
    </w:p>
    <w:p w14:paraId="719CE308">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（签字或盖章）：                       （签字或盖章）：           </w:t>
      </w:r>
    </w:p>
    <w:p w14:paraId="088C526D">
      <w:pPr>
        <w:adjustRightInd w:val="0"/>
        <w:snapToGrid w:val="0"/>
        <w:spacing w:line="360" w:lineRule="auto"/>
        <w:jc w:val="left"/>
        <w:rPr>
          <w:rFonts w:hint="eastAsia" w:ascii="仿宋" w:hAnsi="仿宋" w:eastAsia="仿宋" w:cs="仿宋"/>
          <w:color w:val="auto"/>
          <w:szCs w:val="24"/>
          <w:highlight w:val="none"/>
        </w:rPr>
      </w:pPr>
      <w:r>
        <w:rPr>
          <w:rFonts w:hint="eastAsia" w:ascii="仿宋" w:hAnsi="仿宋" w:eastAsia="仿宋" w:cs="仿宋"/>
          <w:color w:val="auto"/>
          <w:szCs w:val="24"/>
          <w:highlight w:val="none"/>
        </w:rPr>
        <w:t>地    址：                               地    址：</w:t>
      </w:r>
    </w:p>
    <w:p w14:paraId="54899188">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邮    编：                               邮    编：</w:t>
      </w:r>
    </w:p>
    <w:p w14:paraId="3920DFFF">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电    话：                               电    话：   </w:t>
      </w:r>
    </w:p>
    <w:p w14:paraId="4285B65C">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传    真：                               传    真：  </w:t>
      </w:r>
    </w:p>
    <w:p w14:paraId="12A54E2A">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开户银行名称：                           开户银行名称：                                                 </w:t>
      </w:r>
    </w:p>
    <w:p w14:paraId="403211D5">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开户银行：                               开户银行：</w:t>
      </w:r>
    </w:p>
    <w:p w14:paraId="52C36D09">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 xml:space="preserve">账 号：                                  账 号：            </w:t>
      </w:r>
    </w:p>
    <w:p w14:paraId="10AD74F3">
      <w:pPr>
        <w:adjustRightInd w:val="0"/>
        <w:snapToGrid w:val="0"/>
        <w:spacing w:line="360" w:lineRule="auto"/>
        <w:rPr>
          <w:rFonts w:hint="eastAsia" w:ascii="仿宋" w:hAnsi="仿宋" w:eastAsia="仿宋" w:cs="仿宋"/>
          <w:color w:val="auto"/>
          <w:szCs w:val="24"/>
          <w:highlight w:val="none"/>
        </w:rPr>
      </w:pPr>
      <w:r>
        <w:rPr>
          <w:rFonts w:hint="eastAsia" w:ascii="仿宋" w:hAnsi="仿宋" w:eastAsia="仿宋" w:cs="仿宋"/>
          <w:color w:val="auto"/>
          <w:szCs w:val="24"/>
          <w:highlight w:val="none"/>
        </w:rPr>
        <w:t>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              日期：</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年</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月</w:t>
      </w:r>
      <w:r>
        <w:rPr>
          <w:rFonts w:hint="eastAsia" w:ascii="仿宋" w:hAnsi="仿宋" w:eastAsia="仿宋" w:cs="仿宋"/>
          <w:color w:val="auto"/>
          <w:szCs w:val="24"/>
          <w:highlight w:val="none"/>
          <w:u w:val="single"/>
        </w:rPr>
        <w:t xml:space="preserve">     </w:t>
      </w:r>
      <w:r>
        <w:rPr>
          <w:rFonts w:hint="eastAsia" w:ascii="仿宋" w:hAnsi="仿宋" w:eastAsia="仿宋" w:cs="仿宋"/>
          <w:color w:val="auto"/>
          <w:szCs w:val="24"/>
          <w:highlight w:val="none"/>
        </w:rPr>
        <w:t>日</w:t>
      </w:r>
    </w:p>
    <w:p w14:paraId="1BFCCA82">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9B5"/>
    <w:rsid w:val="00CB09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basedOn w:val="1"/>
    <w:next w:val="1"/>
    <w:qFormat/>
    <w:uiPriority w:val="0"/>
    <w:rPr>
      <w:rFonts w:hAnsi="Courier New" w:cs="Courier New"/>
      <w:szCs w:val="21"/>
    </w:rPr>
  </w:style>
  <w:style w:type="paragraph" w:customStyle="1" w:styleId="6">
    <w:name w:val="BodyText"/>
    <w:basedOn w:val="1"/>
    <w:next w:val="1"/>
    <w:unhideWhenUsed/>
    <w:qFormat/>
    <w:uiPriority w:val="0"/>
    <w:pPr>
      <w:spacing w:after="120"/>
      <w:textAlignment w:val="baseline"/>
    </w:pPr>
    <w:rPr>
      <w:rFonts w:hint="eastAsia"/>
      <w:sz w:val="21"/>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2025-07-22T06:53:00Z</dcterms:created>
  <dc:creator>pencil。</dc:creator>
  <cp:lastModifiedBy>pencil。</cp:lastModifiedBy>
  <dcterms:modified xsi:type="dcterms:W3CDTF">2025-07-22T06:53:36Z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926AF1F926EC4CFC84692C1120688608_11</vt:lpwstr>
  </property>
  <property fmtid="{D5CDD505-2E9C-101B-9397-08002B2CF9AE}" pid="4" name="KSOTemplateDocerSaveRecord">
    <vt:lpwstr>eyJoZGlkIjoiYjRkNjE1OTBlZmE3Mzg1ZmI1Zjg0NTRkNTIyZDdmYWIiLCJ1c2VySWQiOiI3NTg1MTk3MDIifQ==</vt:lpwstr>
  </property>
</Properties>
</file>