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版本号：ZMZB2025YDDX-21920250722001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两校区及家属区二次供水设施清洗消毒项目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ZMZB2025YDDX-219</w:t>
      </w:r>
      <w:r>
        <w:br/>
      </w:r>
      <w:r>
        <w:br/>
      </w:r>
      <w:r>
        <w:br/>
      </w:r>
    </w:p>
    <w:p>
      <w:pPr>
        <w:pStyle w:val="null3"/>
        <w:jc w:val="center"/>
        <w:outlineLvl w:val="2"/>
      </w:pPr>
      <w:r>
        <w:rPr>
          <w:rFonts w:ascii="仿宋_GB2312" w:hAnsi="仿宋_GB2312" w:cs="仿宋_GB2312" w:eastAsia="仿宋_GB2312"/>
          <w:sz w:val="28"/>
          <w:b/>
        </w:rPr>
        <w:t>西安邮电大学</w:t>
      </w:r>
    </w:p>
    <w:p>
      <w:pPr>
        <w:pStyle w:val="null3"/>
        <w:jc w:val="center"/>
        <w:outlineLvl w:val="2"/>
      </w:pPr>
      <w:r>
        <w:rPr>
          <w:rFonts w:ascii="仿宋_GB2312" w:hAnsi="仿宋_GB2312" w:cs="仿宋_GB2312" w:eastAsia="仿宋_GB2312"/>
          <w:sz w:val="28"/>
          <w:b/>
        </w:rPr>
        <w:t>陕西卓佲项目管理有限公司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2025年07月22日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陕西卓佲项目管理有限公司</w:t>
      </w:r>
      <w:r>
        <w:rPr>
          <w:rFonts w:ascii="仿宋_GB2312" w:hAnsi="仿宋_GB2312" w:cs="仿宋_GB2312" w:eastAsia="仿宋_GB2312"/>
        </w:rPr>
        <w:t>（以下简称“代理机构”）受</w:t>
      </w:r>
      <w:r>
        <w:rPr>
          <w:rFonts w:ascii="仿宋_GB2312" w:hAnsi="仿宋_GB2312" w:cs="仿宋_GB2312" w:eastAsia="仿宋_GB2312"/>
        </w:rPr>
        <w:t>西安邮电大学</w:t>
      </w:r>
      <w:r>
        <w:rPr>
          <w:rFonts w:ascii="仿宋_GB2312" w:hAnsi="仿宋_GB2312" w:cs="仿宋_GB2312" w:eastAsia="仿宋_GB2312"/>
        </w:rPr>
        <w:t>委托，拟对</w:t>
      </w:r>
      <w:r>
        <w:rPr>
          <w:rFonts w:ascii="仿宋_GB2312" w:hAnsi="仿宋_GB2312" w:cs="仿宋_GB2312" w:eastAsia="仿宋_GB2312"/>
        </w:rPr>
        <w:t>两校区及家属区二次供水设施清洗消毒项目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ZMZB2025YDDX-219</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两校区及家属区二次供水设施清洗消毒项目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两校区及家属区二次供水设施清洗消毒项目项目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采购包1（两校区及家属区二次供水设施清洗消毒项目）：属于专门面向中小企业采购。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1、具有独立承担民事责任能力的法人、其他组织或自然人：提供合法有效的统一社会信用代码营业执照（事业单位提供事业单位法人证书，自然人应提供身份证）；</w:t>
      </w:r>
    </w:p>
    <w:p>
      <w:pPr>
        <w:pStyle w:val="null3"/>
      </w:pPr>
      <w:r>
        <w:rPr>
          <w:rFonts w:ascii="仿宋_GB2312" w:hAnsi="仿宋_GB2312" w:cs="仿宋_GB2312" w:eastAsia="仿宋_GB2312"/>
        </w:rPr>
        <w:t>2、财务状况证明：供应商提供2023年度或2024年度经审计完整的财务审计报告（成立时间至提交响应文件截止时间不足一年的可提供成立后任意时段的资产负债表），或其开标前三个月内银行出具的资信证明，或财政部门认可的政府采购专业担保机构出具的响应担保函；</w:t>
      </w:r>
    </w:p>
    <w:p>
      <w:pPr>
        <w:pStyle w:val="null3"/>
      </w:pPr>
      <w:r>
        <w:rPr>
          <w:rFonts w:ascii="仿宋_GB2312" w:hAnsi="仿宋_GB2312" w:cs="仿宋_GB2312" w:eastAsia="仿宋_GB2312"/>
        </w:rPr>
        <w:t>3、具有履行合同所必需的设备和专业技术能力：具有履行合同所必需的设备和专业技术能力的书面声明；</w:t>
      </w:r>
    </w:p>
    <w:p>
      <w:pPr>
        <w:pStyle w:val="null3"/>
      </w:pPr>
      <w:r>
        <w:rPr>
          <w:rFonts w:ascii="仿宋_GB2312" w:hAnsi="仿宋_GB2312" w:cs="仿宋_GB2312" w:eastAsia="仿宋_GB2312"/>
        </w:rPr>
        <w:t>4、税收缴纳证明：提供2024年6月（含6月）以来任意时间段的依法缴纳税收的相关凭据（时间以税款所属时期为准），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5、社会保障资金缴纳证明：提供2024年6月（含6月）以来任意时间段的社会保障资金缴存单据或社保机构开具的社会保险参保缴费情况证明。依法不需要缴纳社会保障资金的供应商应提供相关文件证明；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6、没有重大违法记录：参加采购活动前 3 年内在经营活动中没有重大违法记录的书面声明；</w:t>
      </w:r>
    </w:p>
    <w:p>
      <w:pPr>
        <w:pStyle w:val="null3"/>
      </w:pPr>
      <w:r>
        <w:rPr>
          <w:rFonts w:ascii="仿宋_GB2312" w:hAnsi="仿宋_GB2312" w:cs="仿宋_GB2312" w:eastAsia="仿宋_GB2312"/>
        </w:rPr>
        <w:t>7、法定代表人委托授权书：非法定代表人参加磋商的，须提供法定代表人委托授权书，法定代表人参加磋商时,只须提供法定代表人身份证；</w:t>
      </w:r>
    </w:p>
    <w:p>
      <w:pPr>
        <w:pStyle w:val="null3"/>
      </w:pPr>
      <w:r>
        <w:rPr>
          <w:rFonts w:ascii="仿宋_GB2312" w:hAnsi="仿宋_GB2312" w:cs="仿宋_GB2312" w:eastAsia="仿宋_GB2312"/>
        </w:rPr>
        <w:t>8、不接受联合体：本项目不接受联合体。</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西安邮电大学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西安市长安区西长安街618号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邮电大学经办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02988166850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陕西卓佲项目管理有限公司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西安市雁塔区科技路30号合力紫郡B座21层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米文佳 李彦锡</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17778966063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采购包1保证金金额：4,000.00元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开户名称：陕西卓佲项目管理有限公司</w:t>
            </w:r>
          </w:p>
          <w:p>
            <w:pPr>
              <w:pStyle w:val="null3"/>
            </w:pPr>
            <w:r>
              <w:rPr>
                <w:rFonts w:ascii="仿宋_GB2312" w:hAnsi="仿宋_GB2312" w:cs="仿宋_GB2312" w:eastAsia="仿宋_GB2312"/>
              </w:rPr>
              <w:t>开户银行：中国民生银行股份有限公司西安高新开发区支行</w:t>
            </w:r>
          </w:p>
          <w:p>
            <w:pPr>
              <w:pStyle w:val="null3"/>
            </w:pPr>
            <w:r>
              <w:rPr>
                <w:rFonts w:ascii="仿宋_GB2312" w:hAnsi="仿宋_GB2312" w:cs="仿宋_GB2312" w:eastAsia="仿宋_GB2312"/>
              </w:rPr>
              <w:t>银行账号：647840417</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说明：乙方在签订合同之后，按本合同金额的5%向甲方提交履约保证金，验收合格后无息退还供应商。</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代理服务费收费标准：中标金额在50万元以内的按照国家计委关于印发《招标代理服务收费管理暂行办法的通知》（计价格[2002]1980号）的收费标准收取；按合同约定实施完成采购代理工作。 供应商将招标代理服务费计入投标报价但不单独列明，中标单位在领取中标通知书前，须向采购代理机构一次性支付招标代理服务费；代理服务费以转账、电汇或现金等形式交纳。</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西安邮电大学</w:t>
      </w:r>
      <w:r>
        <w:rPr>
          <w:rFonts w:ascii="仿宋_GB2312" w:hAnsi="仿宋_GB2312" w:cs="仿宋_GB2312" w:eastAsia="仿宋_GB2312"/>
        </w:rPr>
        <w:t>和</w:t>
      </w:r>
      <w:r>
        <w:rPr>
          <w:rFonts w:ascii="仿宋_GB2312" w:hAnsi="仿宋_GB2312" w:cs="仿宋_GB2312" w:eastAsia="仿宋_GB2312"/>
        </w:rPr>
        <w:t>陕西卓佲项目管理有限公司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西安邮电大学</w:t>
      </w:r>
      <w:r>
        <w:rPr>
          <w:rFonts w:ascii="仿宋_GB2312" w:hAnsi="仿宋_GB2312" w:cs="仿宋_GB2312" w:eastAsia="仿宋_GB2312"/>
        </w:rPr>
        <w:t>负责解释。除上述磋商文件内容，其他内容由</w:t>
      </w:r>
      <w:r>
        <w:rPr>
          <w:rFonts w:ascii="仿宋_GB2312" w:hAnsi="仿宋_GB2312" w:cs="仿宋_GB2312" w:eastAsia="仿宋_GB2312"/>
        </w:rPr>
        <w:t>陕西卓佲项目管理有限公司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西安邮电大学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陕西卓佲项目管理有限公司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根据采购文件、响应文件及合同约定执行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联系人：米文佳</w:t>
      </w:r>
    </w:p>
    <w:p>
      <w:pPr>
        <w:pStyle w:val="null3"/>
      </w:pPr>
      <w:r>
        <w:rPr>
          <w:rFonts w:ascii="仿宋_GB2312" w:hAnsi="仿宋_GB2312" w:cs="仿宋_GB2312" w:eastAsia="仿宋_GB2312"/>
        </w:rPr>
        <w:t>联系电话：17778966063</w:t>
      </w:r>
    </w:p>
    <w:p>
      <w:pPr>
        <w:pStyle w:val="null3"/>
      </w:pPr>
      <w:r>
        <w:rPr>
          <w:rFonts w:ascii="仿宋_GB2312" w:hAnsi="仿宋_GB2312" w:cs="仿宋_GB2312" w:eastAsia="仿宋_GB2312"/>
        </w:rPr>
        <w:t>地址：西安市雁塔区科技路30号合力紫郡B座21层</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两校区及家属区二次供水设施清洗消毒项目</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200,000.00</w:t>
      </w:r>
    </w:p>
    <w:p>
      <w:pPr>
        <w:pStyle w:val="null3"/>
      </w:pPr>
      <w:r>
        <w:rPr>
          <w:rFonts w:ascii="仿宋_GB2312" w:hAnsi="仿宋_GB2312" w:cs="仿宋_GB2312" w:eastAsia="仿宋_GB2312"/>
        </w:rPr>
        <w:t>采购包最高限价（元）: 200,000.00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二次供水设施清洗消毒服务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标的名称：二次供水设施清洗消毒服务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0"/>
              </w:rPr>
              <w:t>两校区二次供水设施的清洗</w:t>
            </w:r>
            <w:r>
              <w:rPr>
                <w:rFonts w:ascii="仿宋_GB2312" w:hAnsi="仿宋_GB2312" w:cs="仿宋_GB2312" w:eastAsia="仿宋_GB2312"/>
                <w:sz w:val="20"/>
              </w:rPr>
              <w:t>、消毒</w:t>
            </w:r>
            <w:r>
              <w:rPr>
                <w:rFonts w:ascii="仿宋_GB2312" w:hAnsi="仿宋_GB2312" w:cs="仿宋_GB2312" w:eastAsia="仿宋_GB2312"/>
                <w:sz w:val="20"/>
              </w:rPr>
              <w:t>，设施情况如下：</w:t>
            </w:r>
          </w:p>
          <w:p>
            <w:pPr>
              <w:pStyle w:val="null3"/>
            </w:pPr>
            <w:r>
              <w:rPr>
                <w:rFonts w:ascii="仿宋_GB2312" w:hAnsi="仿宋_GB2312" w:cs="仿宋_GB2312" w:eastAsia="仿宋_GB2312"/>
                <w:sz w:val="20"/>
              </w:rPr>
              <w:t>服务要求：1.</w:t>
            </w:r>
            <w:r>
              <w:rPr>
                <w:rFonts w:ascii="仿宋_GB2312" w:hAnsi="仿宋_GB2312" w:cs="仿宋_GB2312" w:eastAsia="仿宋_GB2312"/>
                <w:sz w:val="20"/>
              </w:rPr>
              <w:t>按照西安市二次供水要求，每年清洗两次。</w:t>
            </w:r>
            <w:r>
              <w:rPr>
                <w:rFonts w:ascii="仿宋_GB2312" w:hAnsi="仿宋_GB2312" w:cs="仿宋_GB2312" w:eastAsia="仿宋_GB2312"/>
                <w:sz w:val="20"/>
              </w:rPr>
              <w:t>第一次8月20日之前结束，第二次1月30日之前结束；</w:t>
            </w:r>
          </w:p>
          <w:p>
            <w:pPr>
              <w:pStyle w:val="null3"/>
            </w:pPr>
            <w:r>
              <w:rPr>
                <w:rFonts w:ascii="仿宋_GB2312" w:hAnsi="仿宋_GB2312" w:cs="仿宋_GB2312" w:eastAsia="仿宋_GB2312"/>
                <w:sz w:val="20"/>
              </w:rPr>
              <w:t>2.为用户提供二次供水设施保洁资料档案，做好跟踪服务；每次清洗消毒完毕，须委托有资质的水质检验部门取水样检验；接到已签订保洁合同的用户的二次供水水质污染的报告，须立即向市水行政管理部门和卫生健康行政管理部门报告，并在24小时内派人处理;接受水行政管理部门对二次供水设施清洗、消毒的监督、检查；</w:t>
            </w:r>
          </w:p>
          <w:p>
            <w:pPr>
              <w:pStyle w:val="null3"/>
            </w:pPr>
            <w:r>
              <w:rPr>
                <w:rFonts w:ascii="仿宋_GB2312" w:hAnsi="仿宋_GB2312" w:cs="仿宋_GB2312" w:eastAsia="仿宋_GB2312"/>
                <w:sz w:val="20"/>
              </w:rPr>
              <w:t>3.作业人员需持有有效期内的健康证；</w:t>
            </w:r>
          </w:p>
          <w:p>
            <w:pPr>
              <w:pStyle w:val="null3"/>
            </w:pPr>
            <w:r>
              <w:rPr>
                <w:rFonts w:ascii="仿宋_GB2312" w:hAnsi="仿宋_GB2312" w:cs="仿宋_GB2312" w:eastAsia="仿宋_GB2312"/>
                <w:sz w:val="20"/>
              </w:rPr>
              <w:t>4.在清洗、消毒全过程中，人员、设备安全由供应商负责；</w:t>
            </w:r>
          </w:p>
          <w:p>
            <w:pPr>
              <w:pStyle w:val="null3"/>
            </w:pPr>
            <w:r>
              <w:rPr>
                <w:rFonts w:ascii="仿宋_GB2312" w:hAnsi="仿宋_GB2312" w:cs="仿宋_GB2312" w:eastAsia="仿宋_GB2312"/>
                <w:sz w:val="21"/>
              </w:rPr>
              <w:t>5.由供应商委托有资质的单位对水质进行检测，保障二次供水水质符合国家标准，并将有关情况及检测报告向校方公示。</w:t>
            </w:r>
          </w:p>
          <w:tbl>
            <w:tblPr>
              <w:tblInd w:type="dxa" w:w="150"/>
              <w:tblBorders>
                <w:top w:val="single"/>
                <w:left w:val="single"/>
                <w:bottom w:val="single"/>
                <w:right w:val="single"/>
                <w:insideH w:val="single"/>
                <w:insideV w:val="single"/>
              </w:tblBorders>
            </w:tblPr>
            <w:tblGrid>
              <w:gridCol w:w="645"/>
              <w:gridCol w:w="722"/>
              <w:gridCol w:w="574"/>
              <w:gridCol w:w="420"/>
              <w:gridCol w:w="574"/>
              <w:gridCol w:w="897"/>
            </w:tblGrid>
            <w:tr>
              <w:tc>
                <w:tcPr>
                  <w:tcW w:type="dxa" w:w="645"/>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0"/>
                    </w:rPr>
                    <w:t>设施地点</w:t>
                  </w:r>
                </w:p>
              </w:tc>
              <w:tc>
                <w:tcPr>
                  <w:tcW w:type="dxa" w:w="722"/>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0"/>
                    </w:rPr>
                    <w:t>名称</w:t>
                  </w:r>
                </w:p>
              </w:tc>
              <w:tc>
                <w:tcPr>
                  <w:tcW w:type="dxa" w:w="574"/>
                  <w:tcBorders>
                    <w:top w:val="single" w:color="000000" w:sz="4"/>
                    <w:left w:val="none" w:color="000000" w:sz="4"/>
                    <w:bottom w:val="non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0"/>
                    </w:rPr>
                    <w:t>单体</w:t>
                  </w:r>
                </w:p>
              </w:tc>
              <w:tc>
                <w:tcPr>
                  <w:tcW w:type="dxa" w:w="420"/>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0"/>
                    </w:rPr>
                    <w:t>数量</w:t>
                  </w:r>
                </w:p>
              </w:tc>
              <w:tc>
                <w:tcPr>
                  <w:tcW w:type="dxa" w:w="574"/>
                  <w:tcBorders>
                    <w:top w:val="single" w:color="000000" w:sz="4"/>
                    <w:left w:val="none" w:color="000000" w:sz="4"/>
                    <w:bottom w:val="non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0"/>
                    </w:rPr>
                    <w:t>容积</w:t>
                  </w:r>
                </w:p>
              </w:tc>
              <w:tc>
                <w:tcPr>
                  <w:tcW w:type="dxa" w:w="897"/>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0"/>
                    </w:rPr>
                    <w:t>备注</w:t>
                  </w:r>
                </w:p>
              </w:tc>
            </w:tr>
            <w:tr>
              <w:tc>
                <w:tcPr>
                  <w:tcW w:type="dxa" w:w="645"/>
                  <w:vMerge/>
                  <w:tcBorders>
                    <w:top w:val="single" w:color="000000" w:sz="4"/>
                    <w:left w:val="single" w:color="000000" w:sz="4"/>
                    <w:bottom w:val="single" w:color="000000" w:sz="4"/>
                    <w:right w:val="single" w:color="000000" w:sz="4"/>
                  </w:tcBorders>
                </w:tcPr>
                <w:p/>
              </w:tc>
              <w:tc>
                <w:tcPr>
                  <w:tcW w:type="dxa" w:w="722"/>
                  <w:vMerge/>
                  <w:tcBorders>
                    <w:top w:val="single" w:color="000000" w:sz="4"/>
                    <w:left w:val="none" w:color="000000" w:sz="4"/>
                    <w:bottom w:val="single" w:color="000000" w:sz="4"/>
                    <w:right w:val="single" w:color="000000" w:sz="4"/>
                  </w:tcBorders>
                </w:tcPr>
                <w:p/>
              </w:tc>
              <w:tc>
                <w:tcPr>
                  <w:tcW w:type="dxa" w:w="574"/>
                  <w:tcBorders>
                    <w:top w:val="none" w:color="000000" w:sz="4"/>
                    <w:left w:val="none" w:color="000000" w:sz="4"/>
                    <w:bottom w:val="non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0"/>
                    </w:rPr>
                    <w:t>容积</w:t>
                  </w:r>
                </w:p>
              </w:tc>
              <w:tc>
                <w:tcPr>
                  <w:tcW w:type="dxa" w:w="420"/>
                  <w:vMerge/>
                  <w:tcBorders>
                    <w:top w:val="single" w:color="000000" w:sz="4"/>
                    <w:left w:val="none" w:color="000000" w:sz="4"/>
                    <w:bottom w:val="single" w:color="000000" w:sz="4"/>
                    <w:right w:val="single" w:color="000000" w:sz="4"/>
                  </w:tcBorders>
                </w:tcPr>
                <w:p/>
              </w:tc>
              <w:tc>
                <w:tcPr>
                  <w:tcW w:type="dxa" w:w="574"/>
                  <w:tcBorders>
                    <w:top w:val="none" w:color="000000" w:sz="4"/>
                    <w:left w:val="none" w:color="000000" w:sz="4"/>
                    <w:bottom w:val="non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0"/>
                    </w:rPr>
                    <w:t>小计</w:t>
                  </w:r>
                </w:p>
              </w:tc>
              <w:tc>
                <w:tcPr>
                  <w:tcW w:type="dxa" w:w="897"/>
                  <w:vMerge/>
                  <w:tcBorders>
                    <w:top w:val="single" w:color="000000" w:sz="4"/>
                    <w:left w:val="none" w:color="000000" w:sz="4"/>
                    <w:bottom w:val="single" w:color="000000" w:sz="4"/>
                    <w:right w:val="single" w:color="000000" w:sz="4"/>
                  </w:tcBorders>
                </w:tcPr>
                <w:p/>
              </w:tc>
            </w:tr>
            <w:tr>
              <w:tc>
                <w:tcPr>
                  <w:tcW w:type="dxa" w:w="645"/>
                  <w:vMerge/>
                  <w:tcBorders>
                    <w:top w:val="single" w:color="000000" w:sz="4"/>
                    <w:left w:val="single" w:color="000000" w:sz="4"/>
                    <w:bottom w:val="single" w:color="000000" w:sz="4"/>
                    <w:right w:val="single" w:color="000000" w:sz="4"/>
                  </w:tcBorders>
                </w:tcPr>
                <w:p/>
              </w:tc>
              <w:tc>
                <w:tcPr>
                  <w:tcW w:type="dxa" w:w="722"/>
                  <w:vMerge/>
                  <w:tcBorders>
                    <w:top w:val="single" w:color="000000" w:sz="4"/>
                    <w:left w:val="none" w:color="000000" w:sz="4"/>
                    <w:bottom w:val="single" w:color="000000" w:sz="4"/>
                    <w:right w:val="single" w:color="000000" w:sz="4"/>
                  </w:tcBorders>
                </w:tcPr>
                <w:p/>
              </w:tc>
              <w:tc>
                <w:tcPr>
                  <w:tcW w:type="dxa" w:w="57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0"/>
                    </w:rPr>
                    <w:t>（m³）</w:t>
                  </w:r>
                </w:p>
              </w:tc>
              <w:tc>
                <w:tcPr>
                  <w:tcW w:type="dxa" w:w="420"/>
                  <w:vMerge/>
                  <w:tcBorders>
                    <w:top w:val="single" w:color="000000" w:sz="4"/>
                    <w:left w:val="none" w:color="000000" w:sz="4"/>
                    <w:bottom w:val="single" w:color="000000" w:sz="4"/>
                    <w:right w:val="single" w:color="000000" w:sz="4"/>
                  </w:tcBorders>
                </w:tcPr>
                <w:p/>
              </w:tc>
              <w:tc>
                <w:tcPr>
                  <w:tcW w:type="dxa" w:w="57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0"/>
                    </w:rPr>
                    <w:t>（m³）</w:t>
                  </w:r>
                </w:p>
              </w:tc>
              <w:tc>
                <w:tcPr>
                  <w:tcW w:type="dxa" w:w="897"/>
                  <w:vMerge/>
                  <w:tcBorders>
                    <w:top w:val="single" w:color="000000" w:sz="4"/>
                    <w:left w:val="none" w:color="000000" w:sz="4"/>
                    <w:bottom w:val="single" w:color="000000" w:sz="4"/>
                    <w:right w:val="single" w:color="000000" w:sz="4"/>
                  </w:tcBorders>
                </w:tcPr>
                <w:p/>
              </w:tc>
            </w:tr>
            <w:tr>
              <w:tc>
                <w:tcPr>
                  <w:tcW w:type="dxa" w:w="64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0"/>
                    </w:rPr>
                    <w:t>雁塔校区</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0"/>
                    </w:rPr>
                    <w:t>花房水池</w:t>
                  </w:r>
                </w:p>
              </w:tc>
              <w:tc>
                <w:tcPr>
                  <w:tcW w:type="dxa" w:w="57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0"/>
                    </w:rPr>
                    <w:t>800</w:t>
                  </w:r>
                </w:p>
              </w:tc>
              <w:tc>
                <w:tcPr>
                  <w:tcW w:type="dxa" w:w="4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0"/>
                    </w:rPr>
                    <w:t>2</w:t>
                  </w:r>
                </w:p>
              </w:tc>
              <w:tc>
                <w:tcPr>
                  <w:tcW w:type="dxa" w:w="57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0"/>
                    </w:rPr>
                    <w:t>1600</w:t>
                  </w:r>
                </w:p>
              </w:tc>
              <w:tc>
                <w:tcPr>
                  <w:tcW w:type="dxa" w:w="8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0"/>
                    </w:rPr>
                    <w:t>各一道导流墙</w:t>
                  </w:r>
                </w:p>
              </w:tc>
            </w:tr>
            <w:tr>
              <w:tc>
                <w:tcPr>
                  <w:tcW w:type="dxa" w:w="645"/>
                  <w:vMerge/>
                  <w:tcBorders>
                    <w:top w:val="none" w:color="000000" w:sz="4"/>
                    <w:left w:val="single" w:color="000000" w:sz="4"/>
                    <w:bottom w:val="single" w:color="000000" w:sz="4"/>
                    <w:right w:val="single" w:color="000000" w:sz="4"/>
                  </w:tcBorders>
                </w:tcP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0"/>
                    </w:rPr>
                    <w:t>花房水池</w:t>
                  </w:r>
                </w:p>
              </w:tc>
              <w:tc>
                <w:tcPr>
                  <w:tcW w:type="dxa" w:w="57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0"/>
                    </w:rPr>
                    <w:t>20</w:t>
                  </w:r>
                </w:p>
              </w:tc>
              <w:tc>
                <w:tcPr>
                  <w:tcW w:type="dxa" w:w="4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0"/>
                    </w:rPr>
                    <w:t>1</w:t>
                  </w:r>
                </w:p>
              </w:tc>
              <w:tc>
                <w:tcPr>
                  <w:tcW w:type="dxa" w:w="57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0"/>
                    </w:rPr>
                    <w:t>20</w:t>
                  </w:r>
                </w:p>
              </w:tc>
              <w:tc>
                <w:tcPr>
                  <w:tcW w:type="dxa" w:w="8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645"/>
                  <w:vMerge/>
                  <w:tcBorders>
                    <w:top w:val="none" w:color="000000" w:sz="4"/>
                    <w:left w:val="single" w:color="000000" w:sz="4"/>
                    <w:bottom w:val="single" w:color="000000" w:sz="4"/>
                    <w:right w:val="single" w:color="000000" w:sz="4"/>
                  </w:tcBorders>
                </w:tcP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0"/>
                    </w:rPr>
                    <w:t>18</w:t>
                  </w:r>
                  <w:r>
                    <w:rPr>
                      <w:rFonts w:ascii="仿宋_GB2312" w:hAnsi="仿宋_GB2312" w:cs="仿宋_GB2312" w:eastAsia="仿宋_GB2312"/>
                      <w:sz w:val="20"/>
                    </w:rPr>
                    <w:t>号楼水池</w:t>
                  </w:r>
                </w:p>
              </w:tc>
              <w:tc>
                <w:tcPr>
                  <w:tcW w:type="dxa" w:w="57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0"/>
                    </w:rPr>
                    <w:t>400</w:t>
                  </w:r>
                </w:p>
              </w:tc>
              <w:tc>
                <w:tcPr>
                  <w:tcW w:type="dxa" w:w="4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0"/>
                    </w:rPr>
                    <w:t>1</w:t>
                  </w:r>
                </w:p>
              </w:tc>
              <w:tc>
                <w:tcPr>
                  <w:tcW w:type="dxa" w:w="57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0"/>
                    </w:rPr>
                    <w:t>400</w:t>
                  </w:r>
                </w:p>
              </w:tc>
              <w:tc>
                <w:tcPr>
                  <w:tcW w:type="dxa" w:w="8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0"/>
                    </w:rPr>
                    <w:t>各一道导流墙</w:t>
                  </w:r>
                </w:p>
              </w:tc>
            </w:tr>
            <w:tr>
              <w:tc>
                <w:tcPr>
                  <w:tcW w:type="dxa" w:w="645"/>
                  <w:vMerge/>
                  <w:tcBorders>
                    <w:top w:val="none" w:color="000000" w:sz="4"/>
                    <w:left w:val="single" w:color="000000" w:sz="4"/>
                    <w:bottom w:val="single" w:color="000000" w:sz="4"/>
                    <w:right w:val="single" w:color="000000" w:sz="4"/>
                  </w:tcBorders>
                </w:tcP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0"/>
                    </w:rPr>
                    <w:t>18</w:t>
                  </w:r>
                  <w:r>
                    <w:rPr>
                      <w:rFonts w:ascii="仿宋_GB2312" w:hAnsi="仿宋_GB2312" w:cs="仿宋_GB2312" w:eastAsia="仿宋_GB2312"/>
                      <w:sz w:val="20"/>
                    </w:rPr>
                    <w:t>号楼顶水箱</w:t>
                  </w:r>
                </w:p>
              </w:tc>
              <w:tc>
                <w:tcPr>
                  <w:tcW w:type="dxa" w:w="57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0"/>
                    </w:rPr>
                    <w:t>20</w:t>
                  </w:r>
                </w:p>
              </w:tc>
              <w:tc>
                <w:tcPr>
                  <w:tcW w:type="dxa" w:w="4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0"/>
                    </w:rPr>
                    <w:t>2</w:t>
                  </w:r>
                </w:p>
              </w:tc>
              <w:tc>
                <w:tcPr>
                  <w:tcW w:type="dxa" w:w="57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0"/>
                    </w:rPr>
                    <w:t>40</w:t>
                  </w:r>
                </w:p>
              </w:tc>
              <w:tc>
                <w:tcPr>
                  <w:tcW w:type="dxa" w:w="8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645"/>
                  <w:vMerge/>
                  <w:tcBorders>
                    <w:top w:val="none" w:color="000000" w:sz="4"/>
                    <w:left w:val="single" w:color="000000" w:sz="4"/>
                    <w:bottom w:val="single" w:color="000000" w:sz="4"/>
                    <w:right w:val="single" w:color="000000" w:sz="4"/>
                  </w:tcBorders>
                </w:tcP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0"/>
                    </w:rPr>
                    <w:t>1</w:t>
                  </w:r>
                  <w:r>
                    <w:rPr>
                      <w:rFonts w:ascii="仿宋_GB2312" w:hAnsi="仿宋_GB2312" w:cs="仿宋_GB2312" w:eastAsia="仿宋_GB2312"/>
                      <w:sz w:val="20"/>
                    </w:rPr>
                    <w:t>号公寓水箱</w:t>
                  </w:r>
                </w:p>
              </w:tc>
              <w:tc>
                <w:tcPr>
                  <w:tcW w:type="dxa" w:w="57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0"/>
                    </w:rPr>
                    <w:t>18</w:t>
                  </w:r>
                </w:p>
              </w:tc>
              <w:tc>
                <w:tcPr>
                  <w:tcW w:type="dxa" w:w="4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0"/>
                    </w:rPr>
                    <w:t>2</w:t>
                  </w:r>
                </w:p>
              </w:tc>
              <w:tc>
                <w:tcPr>
                  <w:tcW w:type="dxa" w:w="57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0"/>
                    </w:rPr>
                    <w:t>36</w:t>
                  </w:r>
                </w:p>
              </w:tc>
              <w:tc>
                <w:tcPr>
                  <w:tcW w:type="dxa" w:w="8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645"/>
                  <w:vMerge/>
                  <w:tcBorders>
                    <w:top w:val="none" w:color="000000" w:sz="4"/>
                    <w:left w:val="single" w:color="000000" w:sz="4"/>
                    <w:bottom w:val="single" w:color="000000" w:sz="4"/>
                    <w:right w:val="single" w:color="000000" w:sz="4"/>
                  </w:tcBorders>
                </w:tcP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0"/>
                    </w:rPr>
                    <w:t>2</w:t>
                  </w:r>
                  <w:r>
                    <w:rPr>
                      <w:rFonts w:ascii="仿宋_GB2312" w:hAnsi="仿宋_GB2312" w:cs="仿宋_GB2312" w:eastAsia="仿宋_GB2312"/>
                      <w:sz w:val="20"/>
                    </w:rPr>
                    <w:t>号公寓水箱</w:t>
                  </w:r>
                </w:p>
              </w:tc>
              <w:tc>
                <w:tcPr>
                  <w:tcW w:type="dxa" w:w="57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0"/>
                    </w:rPr>
                    <w:t>20</w:t>
                  </w:r>
                </w:p>
              </w:tc>
              <w:tc>
                <w:tcPr>
                  <w:tcW w:type="dxa" w:w="4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0"/>
                    </w:rPr>
                    <w:t>1</w:t>
                  </w:r>
                </w:p>
              </w:tc>
              <w:tc>
                <w:tcPr>
                  <w:tcW w:type="dxa" w:w="57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0"/>
                    </w:rPr>
                    <w:t>20</w:t>
                  </w:r>
                </w:p>
              </w:tc>
              <w:tc>
                <w:tcPr>
                  <w:tcW w:type="dxa" w:w="8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645"/>
                  <w:vMerge/>
                  <w:tcBorders>
                    <w:top w:val="none" w:color="000000" w:sz="4"/>
                    <w:left w:val="single" w:color="000000" w:sz="4"/>
                    <w:bottom w:val="single" w:color="000000" w:sz="4"/>
                    <w:right w:val="single" w:color="000000" w:sz="4"/>
                  </w:tcBorders>
                </w:tcP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0"/>
                    </w:rPr>
                    <w:t>3</w:t>
                  </w:r>
                  <w:r>
                    <w:rPr>
                      <w:rFonts w:ascii="仿宋_GB2312" w:hAnsi="仿宋_GB2312" w:cs="仿宋_GB2312" w:eastAsia="仿宋_GB2312"/>
                      <w:sz w:val="20"/>
                    </w:rPr>
                    <w:t>号公寓水箱</w:t>
                  </w:r>
                </w:p>
              </w:tc>
              <w:tc>
                <w:tcPr>
                  <w:tcW w:type="dxa" w:w="57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0"/>
                    </w:rPr>
                    <w:t>30</w:t>
                  </w:r>
                </w:p>
              </w:tc>
              <w:tc>
                <w:tcPr>
                  <w:tcW w:type="dxa" w:w="4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0"/>
                    </w:rPr>
                    <w:t>1</w:t>
                  </w:r>
                </w:p>
              </w:tc>
              <w:tc>
                <w:tcPr>
                  <w:tcW w:type="dxa" w:w="57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0"/>
                    </w:rPr>
                    <w:t>30</w:t>
                  </w:r>
                </w:p>
              </w:tc>
              <w:tc>
                <w:tcPr>
                  <w:tcW w:type="dxa" w:w="8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645"/>
                  <w:vMerge/>
                  <w:tcBorders>
                    <w:top w:val="none" w:color="000000" w:sz="4"/>
                    <w:left w:val="single" w:color="000000" w:sz="4"/>
                    <w:bottom w:val="single" w:color="000000" w:sz="4"/>
                    <w:right w:val="single" w:color="000000" w:sz="4"/>
                  </w:tcBorders>
                </w:tcP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0"/>
                    </w:rPr>
                    <w:t>4</w:t>
                  </w:r>
                  <w:r>
                    <w:rPr>
                      <w:rFonts w:ascii="仿宋_GB2312" w:hAnsi="仿宋_GB2312" w:cs="仿宋_GB2312" w:eastAsia="仿宋_GB2312"/>
                      <w:sz w:val="20"/>
                    </w:rPr>
                    <w:t>号公寓水箱</w:t>
                  </w:r>
                </w:p>
              </w:tc>
              <w:tc>
                <w:tcPr>
                  <w:tcW w:type="dxa" w:w="57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0"/>
                    </w:rPr>
                    <w:t>30</w:t>
                  </w:r>
                </w:p>
              </w:tc>
              <w:tc>
                <w:tcPr>
                  <w:tcW w:type="dxa" w:w="4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0"/>
                    </w:rPr>
                    <w:t>1</w:t>
                  </w:r>
                </w:p>
              </w:tc>
              <w:tc>
                <w:tcPr>
                  <w:tcW w:type="dxa" w:w="57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0"/>
                    </w:rPr>
                    <w:t>30</w:t>
                  </w:r>
                </w:p>
              </w:tc>
              <w:tc>
                <w:tcPr>
                  <w:tcW w:type="dxa" w:w="8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64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0"/>
                    </w:rPr>
                    <w:t>长安校区</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0"/>
                    </w:rPr>
                    <w:t>西区砼水池</w:t>
                  </w:r>
                </w:p>
              </w:tc>
              <w:tc>
                <w:tcPr>
                  <w:tcW w:type="dxa" w:w="57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0"/>
                    </w:rPr>
                    <w:t>800</w:t>
                  </w:r>
                </w:p>
              </w:tc>
              <w:tc>
                <w:tcPr>
                  <w:tcW w:type="dxa" w:w="4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0"/>
                    </w:rPr>
                    <w:t>2</w:t>
                  </w:r>
                </w:p>
              </w:tc>
              <w:tc>
                <w:tcPr>
                  <w:tcW w:type="dxa" w:w="57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0"/>
                    </w:rPr>
                    <w:t>1600</w:t>
                  </w:r>
                </w:p>
              </w:tc>
              <w:tc>
                <w:tcPr>
                  <w:tcW w:type="dxa" w:w="8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0"/>
                    </w:rPr>
                    <w:t>各二道导流墙</w:t>
                  </w:r>
                </w:p>
              </w:tc>
            </w:tr>
            <w:tr>
              <w:tc>
                <w:tcPr>
                  <w:tcW w:type="dxa" w:w="645"/>
                  <w:vMerge/>
                  <w:tcBorders>
                    <w:top w:val="none" w:color="000000" w:sz="4"/>
                    <w:left w:val="single" w:color="000000" w:sz="4"/>
                    <w:bottom w:val="single" w:color="000000" w:sz="4"/>
                    <w:right w:val="single" w:color="000000" w:sz="4"/>
                  </w:tcBorders>
                </w:tcP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0"/>
                    </w:rPr>
                    <w:t>东区北侧砼水池</w:t>
                  </w:r>
                </w:p>
              </w:tc>
              <w:tc>
                <w:tcPr>
                  <w:tcW w:type="dxa" w:w="57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0"/>
                    </w:rPr>
                    <w:t>1200</w:t>
                  </w:r>
                </w:p>
              </w:tc>
              <w:tc>
                <w:tcPr>
                  <w:tcW w:type="dxa" w:w="4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0"/>
                    </w:rPr>
                    <w:t>1</w:t>
                  </w:r>
                </w:p>
              </w:tc>
              <w:tc>
                <w:tcPr>
                  <w:tcW w:type="dxa" w:w="57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0"/>
                    </w:rPr>
                    <w:t>1200</w:t>
                  </w:r>
                </w:p>
              </w:tc>
              <w:tc>
                <w:tcPr>
                  <w:tcW w:type="dxa" w:w="8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645"/>
                  <w:vMerge/>
                  <w:tcBorders>
                    <w:top w:val="none" w:color="000000" w:sz="4"/>
                    <w:left w:val="single" w:color="000000" w:sz="4"/>
                    <w:bottom w:val="single" w:color="000000" w:sz="4"/>
                    <w:right w:val="single" w:color="000000" w:sz="4"/>
                  </w:tcBorders>
                </w:tcP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0"/>
                    </w:rPr>
                    <w:t>东区南侧水箱</w:t>
                  </w:r>
                </w:p>
              </w:tc>
              <w:tc>
                <w:tcPr>
                  <w:tcW w:type="dxa" w:w="57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0"/>
                    </w:rPr>
                    <w:t>120</w:t>
                  </w:r>
                </w:p>
              </w:tc>
              <w:tc>
                <w:tcPr>
                  <w:tcW w:type="dxa" w:w="4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0"/>
                    </w:rPr>
                    <w:t>1</w:t>
                  </w:r>
                </w:p>
              </w:tc>
              <w:tc>
                <w:tcPr>
                  <w:tcW w:type="dxa" w:w="57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0"/>
                    </w:rPr>
                    <w:t>120</w:t>
                  </w:r>
                </w:p>
              </w:tc>
              <w:tc>
                <w:tcPr>
                  <w:tcW w:type="dxa" w:w="8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645"/>
                  <w:tcBorders>
                    <w:top w:val="none" w:color="000000" w:sz="4"/>
                    <w:left w:val="single" w:color="000000" w:sz="4"/>
                    <w:bottom w:val="non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0"/>
                    </w:rPr>
                    <w:t>长安校区</w:t>
                  </w:r>
                </w:p>
                <w:p>
                  <w:pPr>
                    <w:pStyle w:val="null3"/>
                  </w:pPr>
                  <w:r>
                    <w:rPr>
                      <w:rFonts w:ascii="仿宋_GB2312" w:hAnsi="仿宋_GB2312" w:cs="仿宋_GB2312" w:eastAsia="仿宋_GB2312"/>
                      <w:sz w:val="20"/>
                    </w:rPr>
                    <w:t>东区</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0"/>
                    </w:rPr>
                    <w:t>13-14</w:t>
                  </w:r>
                  <w:r>
                    <w:rPr>
                      <w:rFonts w:ascii="仿宋_GB2312" w:hAnsi="仿宋_GB2312" w:cs="仿宋_GB2312" w:eastAsia="仿宋_GB2312"/>
                      <w:sz w:val="20"/>
                    </w:rPr>
                    <w:t>号楼</w:t>
                  </w:r>
                </w:p>
                <w:p>
                  <w:pPr>
                    <w:pStyle w:val="null3"/>
                  </w:pPr>
                  <w:r>
                    <w:rPr>
                      <w:rFonts w:ascii="仿宋_GB2312" w:hAnsi="仿宋_GB2312" w:cs="仿宋_GB2312" w:eastAsia="仿宋_GB2312"/>
                      <w:sz w:val="20"/>
                    </w:rPr>
                    <w:t>地下车库水箱</w:t>
                  </w:r>
                </w:p>
              </w:tc>
              <w:tc>
                <w:tcPr>
                  <w:tcW w:type="dxa" w:w="57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0"/>
                    </w:rPr>
                    <w:t>36</w:t>
                  </w:r>
                </w:p>
              </w:tc>
              <w:tc>
                <w:tcPr>
                  <w:tcW w:type="dxa" w:w="4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0"/>
                    </w:rPr>
                    <w:t>1</w:t>
                  </w:r>
                </w:p>
              </w:tc>
              <w:tc>
                <w:tcPr>
                  <w:tcW w:type="dxa" w:w="57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0"/>
                    </w:rPr>
                    <w:t>36</w:t>
                  </w:r>
                </w:p>
              </w:tc>
              <w:tc>
                <w:tcPr>
                  <w:tcW w:type="dxa" w:w="8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645"/>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0"/>
                    </w:rPr>
                    <w:t>教育厅</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0"/>
                    </w:rPr>
                    <w:t>教育厅</w:t>
                  </w:r>
                </w:p>
              </w:tc>
              <w:tc>
                <w:tcPr>
                  <w:tcW w:type="dxa" w:w="57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0"/>
                    </w:rPr>
                    <w:t>40</w:t>
                  </w:r>
                </w:p>
              </w:tc>
              <w:tc>
                <w:tcPr>
                  <w:tcW w:type="dxa" w:w="4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0"/>
                    </w:rPr>
                    <w:t>1</w:t>
                  </w:r>
                </w:p>
              </w:tc>
              <w:tc>
                <w:tcPr>
                  <w:tcW w:type="dxa" w:w="57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0"/>
                    </w:rPr>
                    <w:t>40</w:t>
                  </w:r>
                </w:p>
              </w:tc>
              <w:tc>
                <w:tcPr>
                  <w:tcW w:type="dxa" w:w="8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bl>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按照采购文件、响应文件及合同条款执行</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按照采购文件、响应文件及合同条款执行</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按照采购文件、响应文件及合同条款执行</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西安邮电大学指定地点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根据采购文件、响应文件及合同约定执行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按照甲方的时间要求，第一次乙方蓄水设施清洗消毒完毕后，向甲方提交正式有效发票并出具合格的水质检验报告并验收合格后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第二次清洗消毒完成后，向甲方提交以第一次同样流程资料</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根据采购文件、响应文件及合同约定执行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w:t>
            </w:r>
          </w:p>
        </w:tc>
        <w:tc>
          <w:tcPr>
            <w:tcW w:type="dxa" w:w="3322"/>
          </w:tcPr>
          <w:p>
            <w:pPr>
              <w:pStyle w:val="null3"/>
            </w:pPr>
            <w:r>
              <w:rPr>
                <w:rFonts w:ascii="仿宋_GB2312" w:hAnsi="仿宋_GB2312" w:cs="仿宋_GB2312" w:eastAsia="仿宋_GB2312"/>
              </w:rPr>
              <w:t>提供合法有效的统一社会信用代码营业执照（事业单位提供事业单位法人证书，自然人应提供身份证）；</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供应商提供2023年度或2024年度经审计完整的财务审计报告（成立时间至提交响应文件截止时间不足一年的可提供成立后任意时段的资产负债表），或其开标前三个月内银行出具的资信证明，或财政部门认可的政府采购专业担保机构出具的响应担保函；</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具有履行合同所必需的设备和专业技术能力的书面声明；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提供2024年6月（含6月）以来任意时间段的依法缴纳税收的相关凭据（时间以税款所属时期为准），凭据应有税务机关或代收机关的公章或业务专用章。依法免税或无须缴纳税收的供应商应提供相应证明文件；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提供2024年6月（含6月）以来任意时间段的社会保障资金缴存单据或社保机构开具的社会保险参保缴费情况证明。依法不需要缴纳社会保障资金的供应商应提供相关文件证明；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没有重大违法记录</w:t>
            </w:r>
          </w:p>
        </w:tc>
        <w:tc>
          <w:tcPr>
            <w:tcW w:type="dxa" w:w="3322"/>
          </w:tcPr>
          <w:p>
            <w:pPr>
              <w:pStyle w:val="null3"/>
            </w:pPr>
            <w:r>
              <w:rPr>
                <w:rFonts w:ascii="仿宋_GB2312" w:hAnsi="仿宋_GB2312" w:cs="仿宋_GB2312" w:eastAsia="仿宋_GB2312"/>
              </w:rPr>
              <w:t>参加采购活动前 3 年内在经营活动中没有重大违法记录的书面声明；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法定代表人委托授权书</w:t>
            </w:r>
          </w:p>
        </w:tc>
        <w:tc>
          <w:tcPr>
            <w:tcW w:type="dxa" w:w="3322"/>
          </w:tcPr>
          <w:p>
            <w:pPr>
              <w:pStyle w:val="null3"/>
            </w:pPr>
            <w:r>
              <w:rPr>
                <w:rFonts w:ascii="仿宋_GB2312" w:hAnsi="仿宋_GB2312" w:cs="仿宋_GB2312" w:eastAsia="仿宋_GB2312"/>
              </w:rPr>
              <w:t>非法定代表人参加磋商的，须提供法定代表人委托授权书，法定代表人参加磋商时,只须提供法定代表人身份证；</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不接受联合体</w:t>
            </w:r>
          </w:p>
        </w:tc>
        <w:tc>
          <w:tcPr>
            <w:tcW w:type="dxa" w:w="3322"/>
          </w:tcPr>
          <w:p>
            <w:pPr>
              <w:pStyle w:val="null3"/>
            </w:pPr>
            <w:r>
              <w:rPr>
                <w:rFonts w:ascii="仿宋_GB2312" w:hAnsi="仿宋_GB2312" w:cs="仿宋_GB2312" w:eastAsia="仿宋_GB2312"/>
              </w:rPr>
              <w:t>本项目不接受联合体。</w:t>
            </w:r>
          </w:p>
        </w:tc>
        <w:tc>
          <w:tcPr>
            <w:tcW w:type="dxa" w:w="1661"/>
          </w:tcPr>
          <w:p>
            <w:pPr>
              <w:pStyle w:val="null3"/>
            </w:pPr>
            <w:r>
              <w:rPr>
                <w:rFonts w:ascii="仿宋_GB2312" w:hAnsi="仿宋_GB2312" w:cs="仿宋_GB2312" w:eastAsia="仿宋_GB2312"/>
              </w:rPr>
              <w:t>供应商资格要求.docx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响应报价</w:t>
            </w:r>
          </w:p>
        </w:tc>
        <w:tc>
          <w:tcPr>
            <w:tcW w:type="dxa" w:w="3322"/>
          </w:tcPr>
          <w:p>
            <w:pPr>
              <w:pStyle w:val="null3"/>
            </w:pPr>
            <w:r>
              <w:rPr>
                <w:rFonts w:ascii="仿宋_GB2312" w:hAnsi="仿宋_GB2312" w:cs="仿宋_GB2312" w:eastAsia="仿宋_GB2312"/>
              </w:rPr>
              <w:t>响应报价按照磋商文件要求报价的（合格），响应报价未按磋商文件要求报价的(不合格)</w:t>
            </w:r>
          </w:p>
        </w:tc>
        <w:tc>
          <w:tcPr>
            <w:tcW w:type="dxa" w:w="1661"/>
          </w:tcPr>
          <w:p>
            <w:pPr>
              <w:pStyle w:val="null3"/>
            </w:pPr>
            <w:r>
              <w:rPr>
                <w:rFonts w:ascii="仿宋_GB2312" w:hAnsi="仿宋_GB2312" w:cs="仿宋_GB2312" w:eastAsia="仿宋_GB2312"/>
              </w:rPr>
              <w:t>标的清单 报价表 分项价格表.docx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服务期限满足竞争性磋商文件最低要求(合格)，服务期限不满足竞争性磋商文件最低要求(不合格)</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响应文件的签署、盖章符合竞争性磋商文件要求(合格)，响应文件的签署、盖章不符合竞争性磋商文件要求 (不合格)</w:t>
            </w:r>
          </w:p>
        </w:tc>
        <w:tc>
          <w:tcPr>
            <w:tcW w:type="dxa" w:w="1661"/>
          </w:tcPr>
          <w:p>
            <w:pPr>
              <w:pStyle w:val="null3"/>
            </w:pPr>
            <w:r>
              <w:rPr>
                <w:rFonts w:ascii="仿宋_GB2312" w:hAnsi="仿宋_GB2312" w:cs="仿宋_GB2312" w:eastAsia="仿宋_GB2312"/>
              </w:rPr>
              <w:t>响应文件封面 供应商资格要求.docx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响应文件投标有效期符合竞争性磋商文件要求的(合格)，响应文件无投标有效期或有效期达不到竞争性磋商文件要求的(不合格)</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响应文件是否含有采购人不能接受的附加条件的</w:t>
            </w:r>
          </w:p>
        </w:tc>
        <w:tc>
          <w:tcPr>
            <w:tcW w:type="dxa" w:w="3322"/>
          </w:tcPr>
          <w:p>
            <w:pPr>
              <w:pStyle w:val="null3"/>
            </w:pPr>
            <w:r>
              <w:rPr>
                <w:rFonts w:ascii="仿宋_GB2312" w:hAnsi="仿宋_GB2312" w:cs="仿宋_GB2312" w:eastAsia="仿宋_GB2312"/>
              </w:rPr>
              <w:t>响应文件未含有采购人不能接受的附加条件的（合格），响应文件含有采购人不能接受的附加条件的（不合格）</w:t>
            </w:r>
          </w:p>
        </w:tc>
        <w:tc>
          <w:tcPr>
            <w:tcW w:type="dxa" w:w="1661"/>
          </w:tcPr>
          <w:p>
            <w:pPr>
              <w:pStyle w:val="null3"/>
            </w:pPr>
            <w:r>
              <w:rPr>
                <w:rFonts w:ascii="仿宋_GB2312" w:hAnsi="仿宋_GB2312" w:cs="仿宋_GB2312" w:eastAsia="仿宋_GB2312"/>
              </w:rPr>
              <w:t>供应商认为有必要说明的其他问题.docx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法律、法规和竞争性磋商文件规定的其他无效情形</w:t>
            </w:r>
          </w:p>
        </w:tc>
        <w:tc>
          <w:tcPr>
            <w:tcW w:type="dxa" w:w="3322"/>
          </w:tcPr>
          <w:p>
            <w:pPr>
              <w:pStyle w:val="null3"/>
            </w:pPr>
            <w:r>
              <w:rPr>
                <w:rFonts w:ascii="仿宋_GB2312" w:hAnsi="仿宋_GB2312" w:cs="仿宋_GB2312" w:eastAsia="仿宋_GB2312"/>
              </w:rPr>
              <w:t>不存在法律、法规和竞争性磋商文件规定的其他无效情形(合格)，存在法律、法规和竞争性磋商文件规定的其他无效情形(不合格)</w:t>
            </w:r>
          </w:p>
        </w:tc>
        <w:tc>
          <w:tcPr>
            <w:tcW w:type="dxa" w:w="1661"/>
          </w:tcPr>
          <w:p>
            <w:pPr>
              <w:pStyle w:val="null3"/>
            </w:pPr>
            <w:r>
              <w:rPr>
                <w:rFonts w:ascii="仿宋_GB2312" w:hAnsi="仿宋_GB2312" w:cs="仿宋_GB2312" w:eastAsia="仿宋_GB2312"/>
              </w:rPr>
              <w:t>服务内容及服务邀请应答表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供应商针对本项目提供运维服务方案，包含但不限于：①对工作内容的理解及需求分析②清洗消毒方案③组织、配合及协调措施方案④服务质量保证措施 ⑤服务时效性保证措施⑥合理化建议⑦应急措施和解决方案。⑧计划进度安排。评审专家依据每项方案从完善性、可实施性、针对性进行综合评审，每提供上述1项内容得6分，最高得48分；每项中每有一处有缺陷扣1分，最多扣6分。（缺陷是指存在项目名称错误、地点区域错误、内容与本项目需求无关、明显劣于其他供应商、方案内容矛盾或表述前后不一致、仅有框架或标题、适用的标准（方法）错误、明显复制其他项目内容等任意一种情形）。</w:t>
            </w:r>
          </w:p>
        </w:tc>
        <w:tc>
          <w:tcPr>
            <w:tcW w:type="dxa" w:w="831"/>
          </w:tcPr>
          <w:p>
            <w:pPr>
              <w:pStyle w:val="null3"/>
              <w:jc w:val="right"/>
            </w:pPr>
            <w:r>
              <w:rPr>
                <w:rFonts w:ascii="仿宋_GB2312" w:hAnsi="仿宋_GB2312" w:cs="仿宋_GB2312" w:eastAsia="仿宋_GB2312"/>
              </w:rPr>
              <w:t>48.0000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服务团队</w:t>
            </w:r>
          </w:p>
        </w:tc>
        <w:tc>
          <w:tcPr>
            <w:tcW w:type="dxa" w:w="2492"/>
          </w:tcPr>
          <w:p>
            <w:pPr>
              <w:pStyle w:val="null3"/>
            </w:pPr>
            <w:r>
              <w:rPr>
                <w:rFonts w:ascii="仿宋_GB2312" w:hAnsi="仿宋_GB2312" w:cs="仿宋_GB2312" w:eastAsia="仿宋_GB2312"/>
              </w:rPr>
              <w:t>1.供应商针对本项目提供服务团队，团队成员经验丰富，提供①人员清单②职责分工③设备配备情况。根据材料完整性性、可实施性、针对性进行综合评审，每提供上述1项内容得5分，最高得15分；每项中每有一处有缺陷扣1分，最多扣5分。（缺陷是指存在项目名称错误、地点区域错误、内容与本项目需求无关、明显劣于其他供应商、方案内容矛盾或表述前后不一致、仅有框架或标题、适用的标准（方法）错误、明显复制其他项目内容等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服务团队.docx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根据供应商提供的服务承诺进行评审，包含①服务承诺②服务保障措施。评审专家依据每项方案从完善性、可实施性、针对性进行综合评审，每提供上述1项内容得3.5分，最高得7分；每项中每有一处有缺陷扣0.5分，最多扣3.5分。（缺陷是指存在项目名称错误、地点区域错误、内容与本项目需求无关、明显劣于其他供应商、方案内容矛盾或表述前后不一致、仅有框架或标题、适用的标准（方法）错误、明显复制其他项目内容等任意一种情形）。</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服务承诺.docx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供应商提供2022年1月1日至今类似项目业绩，须提供完整合同复印件并加盖供应商公章，每提供一份得2分，最高得10分，未提供不计分。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采用低价优先法计算，即满足磋商文件要求且最终磋商价格最低的磋商报价为评标基准价，其价格分为满分。 磋商报价得分＝（磋商基准价／最后磋商报价）×20</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详见附件：分项价格表.docx</w:t>
      </w:r>
    </w:p>
    <w:p>
      <w:pPr>
        <w:pStyle w:val="null3"/>
        <w:ind w:firstLine="960"/>
      </w:pPr>
      <w:r>
        <w:rPr>
          <w:rFonts w:ascii="仿宋_GB2312" w:hAnsi="仿宋_GB2312" w:cs="仿宋_GB2312" w:eastAsia="仿宋_GB2312"/>
        </w:rPr>
        <w:t>详见附件：服务团队.docx</w:t>
      </w:r>
    </w:p>
    <w:p>
      <w:pPr>
        <w:pStyle w:val="null3"/>
        <w:ind w:firstLine="960"/>
      </w:pPr>
      <w:r>
        <w:rPr>
          <w:rFonts w:ascii="仿宋_GB2312" w:hAnsi="仿宋_GB2312" w:cs="仿宋_GB2312" w:eastAsia="仿宋_GB2312"/>
        </w:rPr>
        <w:t>详见附件：服务承诺.docx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详见附件：供应商资格要求.docx</w:t>
      </w:r>
    </w:p>
    <w:p>
      <w:pPr>
        <w:pStyle w:val="null3"/>
        <w:ind w:firstLine="960"/>
      </w:pPr>
      <w:r>
        <w:rPr>
          <w:rFonts w:ascii="仿宋_GB2312" w:hAnsi="仿宋_GB2312" w:cs="仿宋_GB2312" w:eastAsia="仿宋_GB2312"/>
        </w:rPr>
        <w:t>详见附件：供应商认为有必要说明的其他问题.docx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详见附件：合同模版.docx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