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版本号：RH采字【20250713】号20250826002</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灾害应急救援生命信息探测系统采购项目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RH采字【20250713】号</w:t>
      </w:r>
      <w:r>
        <w:br/>
      </w:r>
      <w:r>
        <w:br/>
      </w:r>
      <w:r>
        <w:br/>
      </w:r>
      <w:r>
        <w:br/>
      </w:r>
      <w:r>
        <w:br/>
      </w:r>
    </w:p>
    <w:p>
      <w:pPr>
        <w:pStyle w:val="null3"/>
        <w:jc w:val="center"/>
        <w:outlineLvl w:val="5"/>
      </w:pPr>
      <w:r>
        <w:rPr>
          <w:rFonts w:ascii="仿宋_GB2312" w:hAnsi="仿宋_GB2312" w:cs="仿宋_GB2312" w:eastAsia="仿宋_GB2312"/>
          <w:sz w:val="15"/>
          <w:b/>
        </w:rPr>
        <w:t>西安科技大学</w:t>
      </w:r>
    </w:p>
    <w:p>
      <w:pPr>
        <w:pStyle w:val="null3"/>
        <w:jc w:val="center"/>
        <w:outlineLvl w:val="5"/>
      </w:pPr>
      <w:r>
        <w:rPr>
          <w:rFonts w:ascii="仿宋_GB2312" w:hAnsi="仿宋_GB2312" w:cs="仿宋_GB2312" w:eastAsia="仿宋_GB2312"/>
          <w:sz w:val="15"/>
          <w:b/>
        </w:rPr>
        <w:t>瑞恒项目管理有限公司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灾害应急救援生命信息探测系统采购项目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RH采字【20250713】号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灾害应急救援生命信息探测系统采购项目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西安科技大学灾害应急救援生命信息探测系统采购项目，1批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提交响应文件截止时间不足一年的可提供成立后任意时段的资产负债表）或响应文件递交截止时间前六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刘菲、王倩倩、石雨鑫、张丰利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依据西安科技大学委托代理协议,招标代理服务费参照国家计委颁发的《招标代理服务收费管理暂行办法》（计价格[2002]1980号）和国家发展改革委员会办公厅颁发的《关于招标代理服务收费有关问题的通知》（发改办价格[2003]857号）的有关规定下浮22.5%收取，另采购需求调查或相关论证费：2125.00元。成交供应商在领取成交通知书前，须向采购代理机构一次性支付招标代理服务费和相关论证费。本项目类型：货物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西安科技大学灾害应急救援生命信息探测系统采购项目，1批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灾害应急救援生命信息探测系统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标的名称：灾害应急救援生命信息探测系统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4"/>
              </w:rPr>
              <w:t>双源质谱仪主机及不间断电源（1台）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进气系统：</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自动吸入式不间断采样测量，不需要样品预处理。通过进样管路恒压控制设计，适应不同海拔高度不同大气压力条件下直接采样测量的工作需要。</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直接进样旁路内置铂丝催化装置设计，可通过软件一键获取仪器背景信号。</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直接进样管路恒温伴热设计，减少吸附，降低背景信号，提高响应速度，伴热温度设置范围</w:t>
            </w:r>
            <w:r>
              <w:rPr>
                <w:rFonts w:ascii="仿宋_GB2312" w:hAnsi="仿宋_GB2312" w:cs="仿宋_GB2312" w:eastAsia="仿宋_GB2312"/>
                <w:sz w:val="24"/>
              </w:rPr>
              <w:t>30-130℃。</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工作条件及环境：</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电源：</w:t>
            </w:r>
            <w:r>
              <w:rPr>
                <w:rFonts w:ascii="仿宋_GB2312" w:hAnsi="仿宋_GB2312" w:cs="仿宋_GB2312" w:eastAsia="仿宋_GB2312"/>
                <w:sz w:val="24"/>
              </w:rPr>
              <w:t>220V±10%/10A，50Hz。</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功率：启动</w:t>
            </w:r>
            <w:r>
              <w:rPr>
                <w:rFonts w:ascii="仿宋_GB2312" w:hAnsi="仿宋_GB2312" w:cs="仿宋_GB2312" w:eastAsia="仿宋_GB2312"/>
                <w:sz w:val="24"/>
              </w:rPr>
              <w:t>≤1.0kW,监测运行功率≤0.35kW。</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工作环境温度：</w:t>
            </w:r>
            <w:r>
              <w:rPr>
                <w:rFonts w:ascii="仿宋_GB2312" w:hAnsi="仿宋_GB2312" w:cs="仿宋_GB2312" w:eastAsia="仿宋_GB2312"/>
                <w:sz w:val="24"/>
              </w:rPr>
              <w:t>10-30℃之间稳定（最佳性能温度20℃）。</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工作环境压力：</w:t>
            </w:r>
            <w:r>
              <w:rPr>
                <w:rFonts w:ascii="仿宋_GB2312" w:hAnsi="仿宋_GB2312" w:cs="仿宋_GB2312" w:eastAsia="仿宋_GB2312"/>
                <w:sz w:val="24"/>
              </w:rPr>
              <w:t>0.9-1.1atm可自适应高海拔地区环境压力。</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检测浓度范围：</w:t>
            </w:r>
            <w:r>
              <w:rPr>
                <w:rFonts w:ascii="仿宋_GB2312" w:hAnsi="仿宋_GB2312" w:cs="仿宋_GB2312" w:eastAsia="仿宋_GB2312"/>
                <w:sz w:val="24"/>
              </w:rPr>
              <w:t>0.1ppb~20ppm（更高浓度可通过稀释测量）。</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响应时间：</w:t>
            </w:r>
            <w:r>
              <w:rPr>
                <w:rFonts w:ascii="仿宋_GB2312" w:hAnsi="仿宋_GB2312" w:cs="仿宋_GB2312" w:eastAsia="仿宋_GB2312"/>
                <w:sz w:val="24"/>
              </w:rPr>
              <w:t>≤0.5s；质量范围：0.4~510amu。</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检测有机物种类：国家《大气污染物综合排放标准》中的挥发性有机物：苯类、醛类、酮类、胺类、醇类、醚类、酚类、腈类、硫化物等；化学毒剂等；《国家恶臭污染排放标准》中全部</w:t>
            </w:r>
            <w:r>
              <w:rPr>
                <w:rFonts w:ascii="仿宋_GB2312" w:hAnsi="仿宋_GB2312" w:cs="仿宋_GB2312" w:eastAsia="仿宋_GB2312"/>
                <w:sz w:val="24"/>
              </w:rPr>
              <w:t>8种恶臭气体，以及《上海恶臭(异味)污染物排放标准》中全部22种恶臭气体。</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离子化系统：</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双离子源（</w:t>
            </w:r>
            <w:r>
              <w:rPr>
                <w:rFonts w:ascii="仿宋_GB2312" w:hAnsi="仿宋_GB2312" w:cs="仿宋_GB2312" w:eastAsia="仿宋_GB2312"/>
                <w:sz w:val="24"/>
              </w:rPr>
              <w:t>H3O+和EI源），可轻松应对《国家大气污染排放标准》中全部VOCs，以及《上海恶臭(异味)污染物排放标准》中全部22种恶臭气体；H3O+源可软电离高灵敏定量快速，EI源可作为PTR源补充，对质子亲和势小的有机物和无机物进行辅助检测。EI源还可与色谱结合，预留色谱质谱功能接口。</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反应离子稳定性：连续运行</w:t>
            </w:r>
            <w:r>
              <w:rPr>
                <w:rFonts w:ascii="仿宋_GB2312" w:hAnsi="仿宋_GB2312" w:cs="仿宋_GB2312" w:eastAsia="仿宋_GB2312"/>
                <w:sz w:val="24"/>
              </w:rPr>
              <w:t>1个月反应离子信号波动≤3%；</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长寿命离子源：正常使用一年无需维护清洗；</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稳定的放电电源，放电电压</w:t>
            </w:r>
            <w:r>
              <w:rPr>
                <w:rFonts w:ascii="仿宋_GB2312" w:hAnsi="仿宋_GB2312" w:cs="仿宋_GB2312" w:eastAsia="仿宋_GB2312"/>
                <w:sz w:val="24"/>
              </w:rPr>
              <w:t>400~600V；</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可视化大水箱：水箱可使用</w:t>
            </w:r>
            <w:r>
              <w:rPr>
                <w:rFonts w:ascii="仿宋_GB2312" w:hAnsi="仿宋_GB2312" w:cs="仿宋_GB2312" w:eastAsia="仿宋_GB2312"/>
                <w:sz w:val="24"/>
              </w:rPr>
              <w:t>1年以上，可视化设计容易查看箱内水量。</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离子传输：</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PTFE垫片和恒温伴热设计，减少吸附，降低背景信号，提高响应速度；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稳定的反应管电源，精确控制离子</w:t>
            </w:r>
            <w:r>
              <w:rPr>
                <w:rFonts w:ascii="仿宋_GB2312" w:hAnsi="仿宋_GB2312" w:cs="仿宋_GB2312" w:eastAsia="仿宋_GB2312"/>
                <w:sz w:val="24"/>
              </w:rPr>
              <w:t>-分子反应，采用质子转移反应的软电离方式，不对被测物产生破坏效应，利于判定物种信息。</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过渡腔及真空腔：</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通过差分过渡腔设计和高性能涡轮分子泵的使用，提高质谱腔工作的真空度。</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离子透镜高效引导，减少离子传输损失。</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通过差分过渡腔和质谱真空腔的一体化设计，采用高性能涡轮分子泵，保持质谱腔工作真空</w:t>
            </w:r>
            <w:r>
              <w:rPr>
                <w:rFonts w:ascii="仿宋_GB2312" w:hAnsi="仿宋_GB2312" w:cs="仿宋_GB2312" w:eastAsia="仿宋_GB2312"/>
                <w:sz w:val="24"/>
              </w:rPr>
              <w:t>≤4x10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w:t>
            </w:r>
            <w:r>
              <w:rPr>
                <w:rFonts w:ascii="仿宋_GB2312" w:hAnsi="仿宋_GB2312" w:cs="仿宋_GB2312" w:eastAsia="仿宋_GB2312"/>
                <w:sz w:val="24"/>
              </w:rPr>
              <w:t>Torr，提高质谱工作的稳定性和寿命。</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三重四极杆质谱用作离子检测，可长期稳定可靠地监测，提高长周期数据的质量。</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为了保证长期稳定性，离子质量检测器采用的是三级四极杆质谱检测器（含前置过滤杆、质量过滤主杆、后置过滤杆，相比单级</w:t>
            </w:r>
            <w:r>
              <w:rPr>
                <w:rFonts w:ascii="仿宋_GB2312" w:hAnsi="仿宋_GB2312" w:cs="仿宋_GB2312" w:eastAsia="仿宋_GB2312"/>
                <w:sz w:val="24"/>
              </w:rPr>
              <w:t>“四极杆”，避免主杆污染、增强长期稳定性。</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根据</w:t>
            </w:r>
            <w:r>
              <w:rPr>
                <w:rFonts w:ascii="仿宋_GB2312" w:hAnsi="仿宋_GB2312" w:cs="仿宋_GB2312" w:eastAsia="仿宋_GB2312"/>
                <w:sz w:val="24"/>
              </w:rPr>
              <w:t>VOCs检测需要选配最适合的0.4-510 amu的三级四极杆质谱。</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质谱检测器分辨率：</w:t>
            </w:r>
            <w:r>
              <w:rPr>
                <w:rFonts w:ascii="仿宋_GB2312" w:hAnsi="仿宋_GB2312" w:cs="仿宋_GB2312" w:eastAsia="仿宋_GB2312"/>
                <w:sz w:val="24"/>
              </w:rPr>
              <w:t>≤0.6amu。</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整机设置了质谱自动保护功能，质谱腔正常工作气压低于</w:t>
            </w:r>
            <w:r>
              <w:rPr>
                <w:rFonts w:ascii="仿宋_GB2312" w:hAnsi="仿宋_GB2312" w:cs="仿宋_GB2312" w:eastAsia="仿宋_GB2312"/>
                <w:sz w:val="24"/>
              </w:rPr>
              <w:t>4x10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w:t>
            </w:r>
            <w:r>
              <w:rPr>
                <w:rFonts w:ascii="仿宋_GB2312" w:hAnsi="仿宋_GB2312" w:cs="仿宋_GB2312" w:eastAsia="仿宋_GB2312"/>
                <w:sz w:val="24"/>
              </w:rPr>
              <w:t>Torr，当质谱腔气压高于4x10</w:t>
            </w:r>
            <w:r>
              <w:rPr>
                <w:rFonts w:ascii="仿宋_GB2312" w:hAnsi="仿宋_GB2312" w:cs="仿宋_GB2312" w:eastAsia="仿宋_GB2312"/>
                <w:sz w:val="24"/>
                <w:vertAlign w:val="superscript"/>
              </w:rPr>
              <w:t>-6</w:t>
            </w:r>
            <w:r>
              <w:rPr>
                <w:rFonts w:ascii="仿宋_GB2312" w:hAnsi="仿宋_GB2312" w:cs="仿宋_GB2312" w:eastAsia="仿宋_GB2312"/>
                <w:sz w:val="24"/>
              </w:rPr>
              <w:t xml:space="preserve"> </w:t>
            </w:r>
            <w:r>
              <w:rPr>
                <w:rFonts w:ascii="仿宋_GB2312" w:hAnsi="仿宋_GB2312" w:cs="仿宋_GB2312" w:eastAsia="仿宋_GB2312"/>
                <w:sz w:val="24"/>
              </w:rPr>
              <w:t>Torr气压(可根据实际需要设定该值)，软件可触发质谱自动保护功能，自动将高压置零。</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真空系统配置保护装置：当质谱腔气压高于</w:t>
            </w:r>
            <w:r>
              <w:rPr>
                <w:rFonts w:ascii="仿宋_GB2312" w:hAnsi="仿宋_GB2312" w:cs="仿宋_GB2312" w:eastAsia="仿宋_GB2312"/>
                <w:sz w:val="24"/>
              </w:rPr>
              <w:t>1x10</w:t>
            </w:r>
            <w:r>
              <w:rPr>
                <w:rFonts w:ascii="仿宋_GB2312" w:hAnsi="仿宋_GB2312" w:cs="仿宋_GB2312" w:eastAsia="仿宋_GB2312"/>
                <w:sz w:val="24"/>
                <w:vertAlign w:val="superscript"/>
              </w:rPr>
              <w:t>-4</w:t>
            </w:r>
            <w:r>
              <w:rPr>
                <w:rFonts w:ascii="仿宋_GB2312" w:hAnsi="仿宋_GB2312" w:cs="仿宋_GB2312" w:eastAsia="仿宋_GB2312"/>
                <w:sz w:val="24"/>
              </w:rPr>
              <w:t xml:space="preserve"> </w:t>
            </w:r>
            <w:r>
              <w:rPr>
                <w:rFonts w:ascii="仿宋_GB2312" w:hAnsi="仿宋_GB2312" w:cs="仿宋_GB2312" w:eastAsia="仿宋_GB2312"/>
                <w:sz w:val="24"/>
              </w:rPr>
              <w:t>mbar，真空泵系统的高压电自动断电，避免真空系统损坏；配不间断供电电源UPS，供电时间不小于30分钟，即使在意外停电情况下，不间断电源可延时供电，继续维持系统真空度，避免非正常断电给真空系统、质谱等造成意外损伤。</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整机监控及数据采集系统：</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监控系统包括监控软件、工控电脑和监控电路板。</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完善人性化的中文监控软件，可方便地对系统的气压、电压、流量、温度等模式进行监测和一键控制，可方便地启动仪器、选择工作模式和关机。内置的气压监测和实时判别可自动实现质谱和真空系统的自保护。可在有机物检测模式和仪器背景模式间一键切换，容易获得仪器背景信号，便于数据处理。</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数据采集系统：数据采集系统用来获取质谱数据，并通过全谱图扫描、实时浓度监测、标准比对等功能和子系统进行数据展示：浓度校准功能：软件提供浓度校准功能，可利用标气对质谱进行快速自动校准，仪器外部同时留有外标硬件接口；数据回看功能：质谱软件可查看历史监测数据。</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可根据客户需要对进口质谱自带的底层软件进行个性化配置和设计，实现中文界面显示、浓度实时显示以及在线预警分析等。</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整机性能：具备有机和无机全覆盖检测、浓度检测范围</w:t>
            </w:r>
            <w:r>
              <w:rPr>
                <w:rFonts w:ascii="仿宋_GB2312" w:hAnsi="仿宋_GB2312" w:cs="仿宋_GB2312" w:eastAsia="仿宋_GB2312"/>
                <w:sz w:val="24"/>
              </w:rPr>
              <w:t>pptv~常量全覆盖、现场秒级实时监测的能力，同时满足实验室和走航两种测试模式。</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提供</w:t>
            </w:r>
            <w:r>
              <w:rPr>
                <w:rFonts w:ascii="仿宋_GB2312" w:hAnsi="仿宋_GB2312" w:cs="仿宋_GB2312" w:eastAsia="仿宋_GB2312"/>
                <w:sz w:val="24"/>
              </w:rPr>
              <w:t>YWHJ-KP-510型双源质谱仪主机1台、C3K不间断电源1台，提供技术指导及仪器使用培训。</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rPr>
              <w:t>付款方式：（</w:t>
            </w:r>
            <w:r>
              <w:rPr>
                <w:rFonts w:ascii="仿宋_GB2312" w:hAnsi="仿宋_GB2312" w:cs="仿宋_GB2312" w:eastAsia="仿宋_GB2312"/>
                <w:sz w:val="21"/>
              </w:rPr>
              <w:t>1</w:t>
            </w:r>
            <w:r>
              <w:rPr>
                <w:rFonts w:ascii="仿宋_GB2312" w:hAnsi="仿宋_GB2312" w:cs="仿宋_GB2312" w:eastAsia="仿宋_GB2312"/>
                <w:sz w:val="21"/>
              </w:rPr>
              <w:t>）非中小企业中标付款方式：签订合同前向学校缴纳</w:t>
            </w:r>
            <w:r>
              <w:rPr>
                <w:rFonts w:ascii="仿宋_GB2312" w:hAnsi="仿宋_GB2312" w:cs="仿宋_GB2312" w:eastAsia="仿宋_GB2312"/>
                <w:sz w:val="21"/>
              </w:rPr>
              <w:t>5%</w:t>
            </w:r>
            <w:r>
              <w:rPr>
                <w:rFonts w:ascii="仿宋_GB2312" w:hAnsi="仿宋_GB2312" w:cs="仿宋_GB2312" w:eastAsia="仿宋_GB2312"/>
                <w:sz w:val="21"/>
              </w:rPr>
              <w:t>的履约保证金，国内产品安装调试经学校验收合格后一次性支付全款，同时缴纳的</w:t>
            </w:r>
            <w:r>
              <w:rPr>
                <w:rFonts w:ascii="仿宋_GB2312" w:hAnsi="仿宋_GB2312" w:cs="仿宋_GB2312" w:eastAsia="仿宋_GB2312"/>
                <w:sz w:val="21"/>
              </w:rPr>
              <w:t>5%</w:t>
            </w:r>
            <w:r>
              <w:rPr>
                <w:rFonts w:ascii="仿宋_GB2312" w:hAnsi="仿宋_GB2312" w:cs="仿宋_GB2312" w:eastAsia="仿宋_GB2312"/>
                <w:sz w:val="21"/>
              </w:rPr>
              <w:t>履约保证金无质量问题一次性无息退还。（</w:t>
            </w:r>
            <w:r>
              <w:rPr>
                <w:rFonts w:ascii="仿宋_GB2312" w:hAnsi="仿宋_GB2312" w:cs="仿宋_GB2312" w:eastAsia="仿宋_GB2312"/>
                <w:sz w:val="21"/>
              </w:rPr>
              <w:t>2</w:t>
            </w:r>
            <w:r>
              <w:rPr>
                <w:rFonts w:ascii="仿宋_GB2312" w:hAnsi="仿宋_GB2312" w:cs="仿宋_GB2312" w:eastAsia="仿宋_GB2312"/>
                <w:sz w:val="21"/>
              </w:rPr>
              <w:t>）中小企业中标付款方式：签订合同前向学校缴纳</w:t>
            </w:r>
            <w:r>
              <w:rPr>
                <w:rFonts w:ascii="仿宋_GB2312" w:hAnsi="仿宋_GB2312" w:cs="仿宋_GB2312" w:eastAsia="仿宋_GB2312"/>
                <w:sz w:val="21"/>
              </w:rPr>
              <w:t>5%</w:t>
            </w:r>
            <w:r>
              <w:rPr>
                <w:rFonts w:ascii="仿宋_GB2312" w:hAnsi="仿宋_GB2312" w:cs="仿宋_GB2312" w:eastAsia="仿宋_GB2312"/>
                <w:sz w:val="21"/>
              </w:rPr>
              <w:t>的履约保证金，合同签订后采购人支付</w:t>
            </w:r>
            <w:r>
              <w:rPr>
                <w:rFonts w:ascii="仿宋_GB2312" w:hAnsi="仿宋_GB2312" w:cs="仿宋_GB2312" w:eastAsia="仿宋_GB2312"/>
                <w:sz w:val="21"/>
              </w:rPr>
              <w:t>40%</w:t>
            </w:r>
            <w:r>
              <w:rPr>
                <w:rFonts w:ascii="仿宋_GB2312" w:hAnsi="仿宋_GB2312" w:cs="仿宋_GB2312" w:eastAsia="仿宋_GB2312"/>
                <w:sz w:val="21"/>
              </w:rPr>
              <w:t>合同金额的预付款。国内产品安装调试经学校验收合格后一次性支付</w:t>
            </w:r>
            <w:r>
              <w:rPr>
                <w:rFonts w:ascii="仿宋_GB2312" w:hAnsi="仿宋_GB2312" w:cs="仿宋_GB2312" w:eastAsia="仿宋_GB2312"/>
                <w:sz w:val="21"/>
              </w:rPr>
              <w:t>60%</w:t>
            </w:r>
            <w:r>
              <w:rPr>
                <w:rFonts w:ascii="仿宋_GB2312" w:hAnsi="仿宋_GB2312" w:cs="仿宋_GB2312" w:eastAsia="仿宋_GB2312"/>
                <w:sz w:val="21"/>
              </w:rPr>
              <w:t>合同金额的余款，同时缴纳的</w:t>
            </w:r>
            <w:r>
              <w:rPr>
                <w:rFonts w:ascii="仿宋_GB2312" w:hAnsi="仿宋_GB2312" w:cs="仿宋_GB2312" w:eastAsia="仿宋_GB2312"/>
                <w:sz w:val="21"/>
              </w:rPr>
              <w:t>5%</w:t>
            </w:r>
            <w:r>
              <w:rPr>
                <w:rFonts w:ascii="仿宋_GB2312" w:hAnsi="仿宋_GB2312" w:cs="仿宋_GB2312" w:eastAsia="仿宋_GB2312"/>
                <w:sz w:val="21"/>
              </w:rPr>
              <w:t>履约保证金无质量问题一次性无息退还。</w:t>
            </w:r>
            <w:r>
              <w:rPr>
                <w:rFonts w:ascii="仿宋_GB2312" w:hAnsi="仿宋_GB2312" w:cs="仿宋_GB2312" w:eastAsia="仿宋_GB2312"/>
                <w:sz w:val="21"/>
              </w:rPr>
              <w:t>【</w:t>
            </w:r>
            <w:r>
              <w:rPr>
                <w:rFonts w:ascii="仿宋_GB2312" w:hAnsi="仿宋_GB2312" w:cs="仿宋_GB2312" w:eastAsia="仿宋_GB2312"/>
                <w:sz w:val="21"/>
              </w:rPr>
              <w:t>因系统原因，合同支付约定以此为准</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货物安装调试完毕，通过验收后6个月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陕西省西安市雁塔中路58号西安科技大学9号楼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因系统原因，合同支付约定以此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根据单一来源采购文件要求及合同约定执行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 1、乙方逾期服务，每天应按合同总价的千分之一向甲方支付违约金。如乙方逾期三十天仍未服务的，甲方有权终止合同，乙方须按合同总价的百分之十计算，向甲方支付违约赔偿金，并全额退还甲方已付给乙方的款项。 2、甲方无正当理由拒绝服务，应向乙方支付合同总价款10%的违约金。 3、乙方所交的服务质量不符合合同约定、国家标准，所供设备达不到约定技术要求的，乙方必须无条件退回全部款项，并向甲方支付合同总价款10%的赔偿金。 （2）争议解决方式： 本合同在履行过程中，如发生争议，双方友好协商解决，如协商不成，双方同意向签约地法院起诉解决。</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2、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投标文件截止时间之前，邮寄地址：陕西省西安市曲江新区雁翔路 3269号旺座曲江D座30层，联系人：王工，联系电话：15091632950）。3、若电子响应文件与纸质响应文件不一致的，以电子响应文件为准。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2024年度的财务报告（成立时间至提交响应文件截止时间不足一年的可提供成立后任意时段的资产负债表）或响应文件递交截止时间前六个月内银行出具的资信证明；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提交响应文件截止时间不足一年的可提供成立后任意时段的资产负债表）或响应文件递交截止时间前六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产品技术参数表 商务应答表 项目实施方案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响应有效期应满足单一来源采购文件要求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报价不高于单一来源采购文件中规定的预算金额或最高限价</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法律、规章、规范性文件和谈判文 件规定的其他无效情形。</w:t>
            </w:r>
          </w:p>
        </w:tc>
        <w:tc>
          <w:tcPr>
            <w:tcW w:type="dxa" w:w="3322"/>
          </w:tcPr>
          <w:p>
            <w:pPr>
              <w:pStyle w:val="null3"/>
            </w:pPr>
            <w:r>
              <w:rPr>
                <w:rFonts w:ascii="仿宋_GB2312" w:hAnsi="仿宋_GB2312" w:cs="仿宋_GB2312" w:eastAsia="仿宋_GB2312"/>
              </w:rPr>
              <w:t>供应商有法律、规章、规范性文件和采购文件规定的其他无效情形，按无效响应处理。</w:t>
            </w:r>
          </w:p>
        </w:tc>
        <w:tc>
          <w:tcPr>
            <w:tcW w:type="dxa" w:w="1661"/>
          </w:tcPr>
          <w:p>
            <w:pPr>
              <w:pStyle w:val="null3"/>
            </w:pPr>
            <w:r>
              <w:rPr>
                <w:rFonts w:ascii="仿宋_GB2312" w:hAnsi="仿宋_GB2312" w:cs="仿宋_GB2312" w:eastAsia="仿宋_GB2312"/>
              </w:rPr>
              <w:t>标的成本说明.docx 相关专利、专利技术.docx 响应函 同类项目合同价格说明.docx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详见附件：同类项目合同价格说明.docx</w:t>
      </w:r>
    </w:p>
    <w:p>
      <w:pPr>
        <w:pStyle w:val="null3"/>
        <w:ind w:firstLine="960"/>
      </w:pPr>
      <w:r>
        <w:rPr>
          <w:rFonts w:ascii="仿宋_GB2312" w:hAnsi="仿宋_GB2312" w:cs="仿宋_GB2312" w:eastAsia="仿宋_GB2312"/>
        </w:rPr>
        <w:t>详见附件：标的成本说明.docx</w:t>
      </w:r>
    </w:p>
    <w:p>
      <w:pPr>
        <w:pStyle w:val="null3"/>
        <w:ind w:firstLine="960"/>
      </w:pPr>
      <w:r>
        <w:rPr>
          <w:rFonts w:ascii="仿宋_GB2312" w:hAnsi="仿宋_GB2312" w:cs="仿宋_GB2312" w:eastAsia="仿宋_GB2312"/>
        </w:rPr>
        <w:t>详见附件：相关专利、专利技术.docx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