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版本号：ZX2025-06-3120250722001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长安校区西区7号学生公寓楼项目施工图设计服务项目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ZX2025-06-31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长安校区西区7号学生公寓楼项目施工图设计服务项目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长安校区西区7号学生公寓楼项目施工图设计服务项目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长安校区西区7号学生公寓楼项目施工图设计服务项目，1项，具体内容详见磋商文件第3章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3、设计资质：供应商须具有建设行政主管部门颁发的【工程设计综合甲级资质】或【建筑行业设计甲级资质】或【建筑行业（建筑工程）专业设计甲级】资质。</w:t>
      </w:r>
    </w:p>
    <w:p>
      <w:pPr>
        <w:pStyle w:val="null3"/>
      </w:pPr>
      <w:r>
        <w:rPr>
          <w:rFonts w:ascii="仿宋_GB2312" w:hAnsi="仿宋_GB2312" w:cs="仿宋_GB2312" w:eastAsia="仿宋_GB2312"/>
        </w:rPr>
        <w:t>4、负责人：拟派项目设计负责人须具备【一级注册建筑师】及以上执业资格，并在本单位登记注册。</w:t>
      </w:r>
    </w:p>
    <w:p>
      <w:pPr>
        <w:pStyle w:val="null3"/>
      </w:pPr>
      <w:r>
        <w:rPr>
          <w:rFonts w:ascii="仿宋_GB2312" w:hAnsi="仿宋_GB2312" w:cs="仿宋_GB2312" w:eastAsia="仿宋_GB2312"/>
        </w:rPr>
        <w:t>5、截图查询：供应商及拟派项目经理须在“陕西省住房和城乡建设厅”官网可查询；如供应商为外省进陕企业，还须同时提供“陕西省住房和城乡建设厅”官网企业库外省进陕勘察设计企业首页截图。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采购包1保证金金额：16,310.00元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说明：（一）本项目履约保证金为合同总价款的5%，在合同签订时必须缴纳。形式：成交供应商应当以支票、汇票、本票、保函等非现金形式缴纳； （二）收款账户：成交后由采购人提供； （三）履约保证金的退付：项目验收合格后，履约保证金将退还至成交供应商账户。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代理服务费收费标准：参照国家计委计价格[2002]1980号及发改办价格[2003]857号通知规定按预算下浮20%收取，由成交供应商支付代理服务费。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长安校区西区7号学生公寓楼项目施工图设计服务项目，1项，具体内容详见磋商文件第3章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869,000.00</w:t>
      </w:r>
    </w:p>
    <w:p>
      <w:pPr>
        <w:pStyle w:val="null3"/>
      </w:pPr>
      <w:r>
        <w:rPr>
          <w:rFonts w:ascii="仿宋_GB2312" w:hAnsi="仿宋_GB2312" w:cs="仿宋_GB2312" w:eastAsia="仿宋_GB2312"/>
        </w:rPr>
        <w:t>采购包最高限价（元）: 869,000.00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施工图设计服务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标的名称：施工图设计服务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一、工程名称</w:t>
            </w:r>
          </w:p>
          <w:p>
            <w:pPr>
              <w:pStyle w:val="null3"/>
            </w:pPr>
            <w:r>
              <w:rPr>
                <w:rFonts w:ascii="仿宋_GB2312" w:hAnsi="仿宋_GB2312" w:cs="仿宋_GB2312" w:eastAsia="仿宋_GB2312"/>
              </w:rPr>
              <w:t>西安邮电大学长安校区西区7号学生公寓楼项目施工图设计服务项目</w:t>
            </w:r>
          </w:p>
          <w:p>
            <w:pPr>
              <w:pStyle w:val="null3"/>
            </w:pPr>
            <w:r>
              <w:rPr>
                <w:rFonts w:ascii="仿宋_GB2312" w:hAnsi="仿宋_GB2312" w:cs="仿宋_GB2312" w:eastAsia="仿宋_GB2312"/>
              </w:rPr>
              <w:t>二、建设地点</w:t>
            </w:r>
          </w:p>
          <w:p>
            <w:pPr>
              <w:pStyle w:val="null3"/>
            </w:pPr>
            <w:r>
              <w:rPr>
                <w:rFonts w:ascii="仿宋_GB2312" w:hAnsi="仿宋_GB2312" w:cs="仿宋_GB2312" w:eastAsia="仿宋_GB2312"/>
              </w:rPr>
              <w:t>西安邮电大学长安校区内。项目地块位于长安校区西区南侧，现状为绿地。建设地点位于长思1号学生公寓以北，体育馆以南，西侧为校园内部道路，东侧为子午大道。</w:t>
            </w:r>
          </w:p>
          <w:p>
            <w:pPr>
              <w:pStyle w:val="null3"/>
            </w:pPr>
            <w:r>
              <w:rPr>
                <w:rFonts w:ascii="仿宋_GB2312" w:hAnsi="仿宋_GB2312" w:cs="仿宋_GB2312" w:eastAsia="仿宋_GB2312"/>
              </w:rPr>
              <w:t>三、设计依据</w:t>
            </w:r>
          </w:p>
          <w:p>
            <w:pPr>
              <w:pStyle w:val="null3"/>
            </w:pPr>
            <w:r>
              <w:rPr>
                <w:rFonts w:ascii="仿宋_GB2312" w:hAnsi="仿宋_GB2312" w:cs="仿宋_GB2312" w:eastAsia="仿宋_GB2312"/>
              </w:rPr>
              <w:t>（一）教育主管部门对本项目的批准文件。</w:t>
            </w:r>
          </w:p>
          <w:p>
            <w:pPr>
              <w:pStyle w:val="null3"/>
            </w:pPr>
            <w:r>
              <w:rPr>
                <w:rFonts w:ascii="仿宋_GB2312" w:hAnsi="仿宋_GB2312" w:cs="仿宋_GB2312" w:eastAsia="仿宋_GB2312"/>
              </w:rPr>
              <w:t>（二）本项目可行性研究报告。</w:t>
            </w:r>
          </w:p>
          <w:p>
            <w:pPr>
              <w:pStyle w:val="null3"/>
            </w:pPr>
            <w:r>
              <w:rPr>
                <w:rFonts w:ascii="仿宋_GB2312" w:hAnsi="仿宋_GB2312" w:cs="仿宋_GB2312" w:eastAsia="仿宋_GB2312"/>
              </w:rPr>
              <w:t>（三）国家和地方现行有关规范、规定和要求。</w:t>
            </w:r>
          </w:p>
          <w:p>
            <w:pPr>
              <w:pStyle w:val="null3"/>
            </w:pPr>
            <w:r>
              <w:rPr>
                <w:rFonts w:ascii="仿宋_GB2312" w:hAnsi="仿宋_GB2312" w:cs="仿宋_GB2312" w:eastAsia="仿宋_GB2312"/>
              </w:rPr>
              <w:t>（四）现行版《建筑工程设计文件编制深度规定》。</w:t>
            </w:r>
          </w:p>
          <w:p>
            <w:pPr>
              <w:pStyle w:val="null3"/>
            </w:pPr>
            <w:r>
              <w:rPr>
                <w:rFonts w:ascii="仿宋_GB2312" w:hAnsi="仿宋_GB2312" w:cs="仿宋_GB2312" w:eastAsia="仿宋_GB2312"/>
              </w:rPr>
              <w:t>（五）建设方提供的方案文件、初步设计文件。</w:t>
            </w:r>
          </w:p>
          <w:p>
            <w:pPr>
              <w:pStyle w:val="null3"/>
            </w:pPr>
            <w:r>
              <w:rPr>
                <w:rFonts w:ascii="仿宋_GB2312" w:hAnsi="仿宋_GB2312" w:cs="仿宋_GB2312" w:eastAsia="仿宋_GB2312"/>
              </w:rPr>
              <w:t>（六）建设方提供的设计技术细则要求。</w:t>
            </w:r>
          </w:p>
          <w:p>
            <w:pPr>
              <w:pStyle w:val="null3"/>
            </w:pPr>
            <w:r>
              <w:rPr>
                <w:rFonts w:ascii="仿宋_GB2312" w:hAnsi="仿宋_GB2312" w:cs="仿宋_GB2312" w:eastAsia="仿宋_GB2312"/>
              </w:rPr>
              <w:t>（七）建设方提供的其它资料。</w:t>
            </w:r>
          </w:p>
          <w:p>
            <w:pPr>
              <w:pStyle w:val="null3"/>
            </w:pPr>
            <w:r>
              <w:rPr>
                <w:rFonts w:ascii="仿宋_GB2312" w:hAnsi="仿宋_GB2312" w:cs="仿宋_GB2312" w:eastAsia="仿宋_GB2312"/>
              </w:rPr>
              <w:t>四、项目简介及设计标准</w:t>
            </w:r>
          </w:p>
          <w:p>
            <w:pPr>
              <w:pStyle w:val="null3"/>
            </w:pPr>
            <w:r>
              <w:rPr>
                <w:rFonts w:ascii="仿宋_GB2312" w:hAnsi="仿宋_GB2312" w:cs="仿宋_GB2312" w:eastAsia="仿宋_GB2312"/>
              </w:rPr>
              <w:t>项目投资总额:15176.82万元，共建设学生宿舍459间，宿舍床位1826个。本项目为地下一层，地上六层。总用地面积9000.41㎡，总建筑面积约为23466㎡。</w:t>
            </w:r>
          </w:p>
          <w:p>
            <w:pPr>
              <w:pStyle w:val="null3"/>
            </w:pPr>
            <w:r>
              <w:rPr>
                <w:rFonts w:ascii="仿宋_GB2312" w:hAnsi="仿宋_GB2312" w:cs="仿宋_GB2312" w:eastAsia="仿宋_GB2312"/>
              </w:rPr>
              <w:t>（一）设计范围</w:t>
            </w:r>
          </w:p>
          <w:p>
            <w:pPr>
              <w:pStyle w:val="null3"/>
            </w:pPr>
            <w:r>
              <w:rPr>
                <w:rFonts w:ascii="仿宋_GB2312" w:hAnsi="仿宋_GB2312" w:cs="仿宋_GB2312" w:eastAsia="仿宋_GB2312"/>
              </w:rPr>
              <w:t>1.单体施工图设计：建筑物单体施工图设计，包括景观、总图（含内部道路及与项目衔接的周边道路出入口、管网）、建筑、消防、结构、给排水、暖通、电气（强弱电）、海绵城市、装配式、绿色建筑、减隔震、抗震支架设计等。</w:t>
            </w:r>
          </w:p>
          <w:p>
            <w:pPr>
              <w:pStyle w:val="null3"/>
            </w:pPr>
            <w:r>
              <w:rPr>
                <w:rFonts w:ascii="仿宋_GB2312" w:hAnsi="仿宋_GB2312" w:cs="仿宋_GB2312" w:eastAsia="仿宋_GB2312"/>
              </w:rPr>
              <w:t>2.海绵城市设计及评审：按规范和海绵城市要求完成项目海绵城市方案设计及评审、施工图设计及评审工作，达到当地政府要求，通过评审（含评审费）。</w:t>
            </w:r>
          </w:p>
          <w:p>
            <w:pPr>
              <w:pStyle w:val="null3"/>
            </w:pPr>
            <w:r>
              <w:rPr>
                <w:rFonts w:ascii="仿宋_GB2312" w:hAnsi="仿宋_GB2312" w:cs="仿宋_GB2312" w:eastAsia="仿宋_GB2312"/>
              </w:rPr>
              <w:t>3.装配式设计及评审：按规范和装配式要求完成项目装配式设计及评审工作，达到当地政府要求，通过评审（含评审费）。</w:t>
            </w:r>
          </w:p>
          <w:p>
            <w:pPr>
              <w:pStyle w:val="null3"/>
            </w:pPr>
            <w:r>
              <w:rPr>
                <w:rFonts w:ascii="仿宋_GB2312" w:hAnsi="仿宋_GB2312" w:cs="仿宋_GB2312" w:eastAsia="仿宋_GB2312"/>
              </w:rPr>
              <w:t>4.绿建设计、评审及咨询：完成政府对绿建设计及中期核查的要求。完成绿建二星设计、申报、评审（含评审费）及验收的全过程绿建咨询工作，包括但不限于绿建 申报书编制、专家论证会组织及召开、中期核查报告编写及验收等工作。</w:t>
            </w:r>
          </w:p>
          <w:p>
            <w:pPr>
              <w:pStyle w:val="null3"/>
            </w:pPr>
            <w:r>
              <w:rPr>
                <w:rFonts w:ascii="仿宋_GB2312" w:hAnsi="仿宋_GB2312" w:cs="仿宋_GB2312" w:eastAsia="仿宋_GB2312"/>
              </w:rPr>
              <w:t>5.抗震设计：按抗震规范要求完成各专业的专项抗震设计。</w:t>
            </w:r>
          </w:p>
          <w:p>
            <w:pPr>
              <w:pStyle w:val="null3"/>
            </w:pPr>
            <w:r>
              <w:rPr>
                <w:rFonts w:ascii="仿宋_GB2312" w:hAnsi="仿宋_GB2312" w:cs="仿宋_GB2312" w:eastAsia="仿宋_GB2312"/>
              </w:rPr>
              <w:t>6.配合施工招标：根据总体项目施工招标标段划分情况，配合建设方完成图纸的拆分、施工招标资料等配合工作。</w:t>
            </w:r>
          </w:p>
          <w:p>
            <w:pPr>
              <w:pStyle w:val="null3"/>
            </w:pPr>
            <w:r>
              <w:rPr>
                <w:rFonts w:ascii="仿宋_GB2312" w:hAnsi="仿宋_GB2312" w:cs="仿宋_GB2312" w:eastAsia="仿宋_GB2312"/>
              </w:rPr>
              <w:t>设计单位在施工图设计时应充分理解熟悉现行规范标准及建设单位需求等设计基础文件，当设计任务书技术要求与其它文件矛盾时应及时提出并与建设单位沟通。</w:t>
            </w:r>
          </w:p>
          <w:p>
            <w:pPr>
              <w:pStyle w:val="null3"/>
            </w:pPr>
            <w:r>
              <w:rPr>
                <w:rFonts w:ascii="仿宋_GB2312" w:hAnsi="仿宋_GB2312" w:cs="仿宋_GB2312" w:eastAsia="仿宋_GB2312"/>
              </w:rPr>
              <w:t>（二）设计深度要求</w:t>
            </w:r>
          </w:p>
          <w:p>
            <w:pPr>
              <w:pStyle w:val="null3"/>
            </w:pPr>
            <w:r>
              <w:rPr>
                <w:rFonts w:ascii="仿宋_GB2312" w:hAnsi="仿宋_GB2312" w:cs="仿宋_GB2312" w:eastAsia="仿宋_GB2312"/>
              </w:rPr>
              <w:t>1.应达到现行版《建筑工程设计文件编制深度规定》的施工图设计深度。</w:t>
            </w:r>
          </w:p>
          <w:p>
            <w:pPr>
              <w:pStyle w:val="null3"/>
            </w:pPr>
            <w:r>
              <w:rPr>
                <w:rFonts w:ascii="仿宋_GB2312" w:hAnsi="仿宋_GB2312" w:cs="仿宋_GB2312" w:eastAsia="仿宋_GB2312"/>
              </w:rPr>
              <w:t>2.上述各专业设计范围（一）中的施工图设计应达到指导施工和编制工程量清单的深度要求。</w:t>
            </w:r>
          </w:p>
          <w:p>
            <w:pPr>
              <w:pStyle w:val="null3"/>
            </w:pPr>
            <w:r>
              <w:rPr>
                <w:rFonts w:ascii="仿宋_GB2312" w:hAnsi="仿宋_GB2312" w:cs="仿宋_GB2312" w:eastAsia="仿宋_GB2312"/>
              </w:rPr>
              <w:t>3.抗震设计图纸应能达到清单编制深度，应具有各专业的抗震设计施工图并可作为施工指导，不应只在设计说明简单描述。</w:t>
            </w:r>
          </w:p>
          <w:p>
            <w:pPr>
              <w:pStyle w:val="null3"/>
            </w:pPr>
            <w:r>
              <w:rPr>
                <w:rFonts w:ascii="仿宋_GB2312" w:hAnsi="仿宋_GB2312" w:cs="仿宋_GB2312" w:eastAsia="仿宋_GB2312"/>
              </w:rPr>
              <w:t>4.各专业给出的图集做法、节点做法应针对项目具体应用部位对图集中的做法明确其唯一性，必要时应对图集中的做法进行修改使其具有唯一性。</w:t>
            </w:r>
          </w:p>
          <w:p>
            <w:pPr>
              <w:pStyle w:val="null3"/>
            </w:pPr>
            <w:r>
              <w:rPr>
                <w:rFonts w:ascii="仿宋_GB2312" w:hAnsi="仿宋_GB2312" w:cs="仿宋_GB2312" w:eastAsia="仿宋_GB2312"/>
              </w:rPr>
              <w:t>（三）配合及验收</w:t>
            </w:r>
          </w:p>
          <w:p>
            <w:pPr>
              <w:pStyle w:val="null3"/>
            </w:pPr>
            <w:r>
              <w:rPr>
                <w:rFonts w:ascii="仿宋_GB2312" w:hAnsi="仿宋_GB2312" w:cs="仿宋_GB2312" w:eastAsia="仿宋_GB2312"/>
              </w:rPr>
              <w:t>1.针对发包人的审核意见进行图纸修改及完善，保证其设计意图的最终实现。</w:t>
            </w:r>
          </w:p>
          <w:p>
            <w:pPr>
              <w:pStyle w:val="null3"/>
            </w:pPr>
            <w:r>
              <w:rPr>
                <w:rFonts w:ascii="仿宋_GB2312" w:hAnsi="仿宋_GB2312" w:cs="仿宋_GB2312" w:eastAsia="仿宋_GB2312"/>
              </w:rPr>
              <w:t>2.实时根据政府报建要求，协助发包人进行施工图审查及报建验收工作，包括规划、绿建、节能、人防、防雷接地、环保、装配式、海绵城市、二次供水、消防专项等内容的线上线下工作，根据政府要求在本合同约定的范围内进 行修改调整，直至审查和验收通过，并最终向发包人提交正式的施工图及其他设计文件。</w:t>
            </w:r>
          </w:p>
          <w:p>
            <w:pPr>
              <w:pStyle w:val="null3"/>
            </w:pPr>
            <w:r>
              <w:rPr>
                <w:rFonts w:ascii="仿宋_GB2312" w:hAnsi="仿宋_GB2312" w:cs="仿宋_GB2312" w:eastAsia="仿宋_GB2312"/>
              </w:rPr>
              <w:t>3.协助发包人进行现场和线上的工程招标答疑，并及时准确的将招标答疑中的图纸问题及回复意见修改进施工图，确保招标图纸及其答疑回复与最终施工蓝图一致。</w:t>
            </w:r>
          </w:p>
          <w:p>
            <w:pPr>
              <w:pStyle w:val="null3"/>
            </w:pPr>
            <w:r>
              <w:rPr>
                <w:rFonts w:ascii="仿宋_GB2312" w:hAnsi="仿宋_GB2312" w:cs="仿宋_GB2312" w:eastAsia="仿宋_GB2312"/>
              </w:rPr>
              <w:t>4.协助发包人进行工程量清单中的项目特征和工作内容的核对，参加发包人组织的核对及答疑会，使工程量清单的项目特征和工作内容与施工蓝图内容一致。</w:t>
            </w:r>
          </w:p>
          <w:p>
            <w:pPr>
              <w:pStyle w:val="null3"/>
            </w:pPr>
            <w:r>
              <w:rPr>
                <w:rFonts w:ascii="仿宋_GB2312" w:hAnsi="仿宋_GB2312" w:cs="仿宋_GB2312" w:eastAsia="仿宋_GB2312"/>
              </w:rPr>
              <w:t>5.负责工程设计交底答疑，解答施工过程中施工承包人有关施工图及现场出现的问题，项目负责人及各专业设计负责人及时对施工中与设计有关的问题做出回应并签署意见，保证设计满足施工要求。</w:t>
            </w:r>
          </w:p>
          <w:p>
            <w:pPr>
              <w:pStyle w:val="null3"/>
            </w:pPr>
            <w:r>
              <w:rPr>
                <w:rFonts w:ascii="仿宋_GB2312" w:hAnsi="仿宋_GB2312" w:cs="仿宋_GB2312" w:eastAsia="仿宋_GB2312"/>
              </w:rPr>
              <w:t>6.根据发包人要求，及时参加与设计有关的项例会、专题会，现场解决技术问题。</w:t>
            </w:r>
          </w:p>
          <w:p>
            <w:pPr>
              <w:pStyle w:val="null3"/>
            </w:pPr>
            <w:r>
              <w:rPr>
                <w:rFonts w:ascii="仿宋_GB2312" w:hAnsi="仿宋_GB2312" w:cs="仿宋_GB2312" w:eastAsia="仿宋_GB2312"/>
              </w:rPr>
              <w:t>7.协助发包人处理工程洽商和设计变更，负责有关设计修改，及时办理相关手续。</w:t>
            </w:r>
          </w:p>
          <w:p>
            <w:pPr>
              <w:pStyle w:val="null3"/>
            </w:pPr>
            <w:r>
              <w:rPr>
                <w:rFonts w:ascii="仿宋_GB2312" w:hAnsi="仿宋_GB2312" w:cs="仿宋_GB2312" w:eastAsia="仿宋_GB2312"/>
              </w:rPr>
              <w:t>8.相关设计人参与验收以及协助项目竣工验收工作，并及时完成验收相关资料及图纸的准备及修改工作。</w:t>
            </w:r>
          </w:p>
          <w:p>
            <w:pPr>
              <w:pStyle w:val="null3"/>
            </w:pPr>
            <w:r>
              <w:rPr>
                <w:rFonts w:ascii="仿宋_GB2312" w:hAnsi="仿宋_GB2312" w:cs="仿宋_GB2312" w:eastAsia="仿宋_GB2312"/>
              </w:rPr>
              <w:t>9.提供产品选型、设备加工订货、建筑材料选择以及分包商考察等技术咨询服务。</w:t>
            </w:r>
          </w:p>
          <w:p>
            <w:pPr>
              <w:pStyle w:val="null3"/>
            </w:pPr>
            <w:r>
              <w:rPr>
                <w:rFonts w:ascii="仿宋_GB2312" w:hAnsi="仿宋_GB2312" w:cs="仿宋_GB2312" w:eastAsia="仿宋_GB2312"/>
              </w:rPr>
              <w:t>10.应发包人要求协助审核各分包商的设计文件是否满足要求并签署意见、审核 盖章确认，以保证其与总体设计协调一致，并满足工程要求。</w:t>
            </w:r>
          </w:p>
          <w:p>
            <w:pPr>
              <w:pStyle w:val="null3"/>
            </w:pPr>
            <w:r>
              <w:rPr>
                <w:rFonts w:ascii="仿宋_GB2312" w:hAnsi="仿宋_GB2312" w:cs="仿宋_GB2312" w:eastAsia="仿宋_GB2312"/>
              </w:rPr>
              <w:t>11.根据项目需要，对项目实施过程中分包商的抗震支架深化图、人防划线深化图、地下交通工程划线深化图、钢结构深化图、与工艺和设备有关的深化图等资料签署意见，审核并盖章确认。</w:t>
            </w:r>
          </w:p>
          <w:p>
            <w:pPr>
              <w:pStyle w:val="null3"/>
            </w:pPr>
            <w:r>
              <w:rPr>
                <w:rFonts w:ascii="仿宋_GB2312" w:hAnsi="仿宋_GB2312" w:cs="仿宋_GB2312" w:eastAsia="仿宋_GB2312"/>
              </w:rPr>
              <w:t>12.提供图纸中涉及的相关工程做法，材料表。</w:t>
            </w:r>
          </w:p>
          <w:p>
            <w:pPr>
              <w:pStyle w:val="null3"/>
            </w:pPr>
            <w:r>
              <w:rPr>
                <w:rFonts w:ascii="仿宋_GB2312" w:hAnsi="仿宋_GB2312" w:cs="仿宋_GB2312" w:eastAsia="仿宋_GB2312"/>
              </w:rPr>
              <w:t>13.在施工过程中，发包人提出的技术问题能够及时响应、予以解决；对需要到施工现场开展工作的，经发包人提出要求，12小时内至现场解决问题。在施工中定期（不少于1月1次），安排设计人员前往施工现场查看、解决技术问题。</w:t>
            </w:r>
          </w:p>
          <w:p>
            <w:pPr>
              <w:pStyle w:val="null3"/>
            </w:pPr>
            <w:r>
              <w:rPr>
                <w:rFonts w:ascii="仿宋_GB2312" w:hAnsi="仿宋_GB2312" w:cs="仿宋_GB2312" w:eastAsia="仿宋_GB2312"/>
              </w:rPr>
              <w:t>五、成果要求：</w:t>
            </w:r>
          </w:p>
          <w:p>
            <w:pPr>
              <w:pStyle w:val="null3"/>
            </w:pPr>
            <w:r>
              <w:rPr>
                <w:rFonts w:ascii="仿宋_GB2312" w:hAnsi="仿宋_GB2312" w:cs="仿宋_GB2312" w:eastAsia="仿宋_GB2312"/>
              </w:rPr>
              <w:t>1.施工图文件：普通施工图8套。</w:t>
            </w:r>
          </w:p>
          <w:p>
            <w:pPr>
              <w:pStyle w:val="null3"/>
            </w:pPr>
            <w:r>
              <w:rPr>
                <w:rFonts w:ascii="仿宋_GB2312" w:hAnsi="仿宋_GB2312" w:cs="仿宋_GB2312" w:eastAsia="仿宋_GB2312"/>
              </w:rPr>
              <w:t>2.电子版施工图：非加密电子版文件1套（.dwg格式刻盘）、盖章的施工图蓝图扫描PDF版文件（套数根据验收及政府要求确定）。</w:t>
            </w:r>
          </w:p>
          <w:p>
            <w:pPr>
              <w:pStyle w:val="null3"/>
            </w:pPr>
            <w:r>
              <w:rPr>
                <w:rFonts w:ascii="仿宋_GB2312" w:hAnsi="仿宋_GB2312" w:cs="仿宋_GB2312" w:eastAsia="仿宋_GB2312"/>
              </w:rPr>
              <w:t>3.设计人提供给采购人用于招标的最终电子图纸后图纸不能再有任何修改。设计人提供给采购人的用于招标的最终版电子图纸必须保证与提供给采购人的最终纸质施工蓝图一致，否则由此造成的损失由设计人承担。</w:t>
            </w:r>
          </w:p>
          <w:p>
            <w:pPr>
              <w:pStyle w:val="null3"/>
            </w:pPr>
            <w:r>
              <w:rPr>
                <w:rFonts w:ascii="仿宋_GB2312" w:hAnsi="仿宋_GB2312" w:cs="仿宋_GB2312" w:eastAsia="仿宋_GB2312"/>
              </w:rPr>
              <w:t>4.图纸交付地点：采购人指定地。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合同签订后，成果交付后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注意事项：本项目按照固定费率进行报价，最终取费基数按照陕西省发改委关于本项目审批通过的初步设计所确定的概算总投资中的工程费用为准。费率最高限价：不得高于0.7%。2、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注：以上②-③项，提供“陕西省政府采购供应商信用承诺书”的，可不再提供其他证明文件。供应商需在项目电子化交易系统中按要求填写《投标函》完成承诺并上传相应证明文件并进行电子签章。</w:t>
            </w:r>
          </w:p>
        </w:tc>
        <w:tc>
          <w:tcPr>
            <w:tcW w:type="dxa" w:w="1661"/>
          </w:tcPr>
          <w:p>
            <w:pPr>
              <w:pStyle w:val="null3"/>
            </w:pPr>
            <w:r>
              <w:rPr>
                <w:rFonts w:ascii="仿宋_GB2312" w:hAnsi="仿宋_GB2312" w:cs="仿宋_GB2312" w:eastAsia="仿宋_GB2312"/>
              </w:rPr>
              <w:t>响应文件封面 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供应商须具有建设行政主管部门颁发的【工程设计综合甲级资质】或【建筑行业设计甲级资质】或【建筑行业（建筑工程）专业设计甲级】资质。</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负责人</w:t>
            </w:r>
          </w:p>
        </w:tc>
        <w:tc>
          <w:tcPr>
            <w:tcW w:type="dxa" w:w="3322"/>
          </w:tcPr>
          <w:p>
            <w:pPr>
              <w:pStyle w:val="null3"/>
            </w:pPr>
            <w:r>
              <w:rPr>
                <w:rFonts w:ascii="仿宋_GB2312" w:hAnsi="仿宋_GB2312" w:cs="仿宋_GB2312" w:eastAsia="仿宋_GB2312"/>
              </w:rPr>
              <w:t>拟派项目设计负责人须具备【一级注册建筑师】及以上执业资格，并在本单位登记注册。</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截图查询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供应商及拟派项目经理须在“陕西省住房和城乡建设厅”官网可查询；如供应商为外省进陕企业，还须同时提供“陕西省住房和城乡建设厅”官网企业库外省进陕勘察设计企业首页截图。</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(4)报价超过磋商文件中规定的预算金额或最高限价的或最高费率的；(5)法律、法规和磋商文件规定的其他无效情形。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1其他资料.docx 商务应答表 标的清单 报价表 3承诺书.docx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提供针对本项目的总体设计思路，设计理念新颖有创意、思路清晰、楼宇功能完善。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11、未提供或内容存在10处及以上瑕疵：0分。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4总体设计思路.docx</w:t>
            </w:r>
          </w:p>
        </w:tc>
      </w:tr>
      <w:tr>
        <w:tc>
          <w:tcPr>
            <w:tcW w:type="dxa" w:w="831"/>
            <w:vMerge/>
          </w:tcPr>
          <w:p/>
        </w:tc>
        <w:tc>
          <w:tcPr>
            <w:tcW w:type="dxa" w:w="1661"/>
          </w:tcPr>
          <w:p>
            <w:pPr>
              <w:pStyle w:val="null3"/>
            </w:pPr>
            <w:r>
              <w:rPr>
                <w:rFonts w:ascii="仿宋_GB2312" w:hAnsi="仿宋_GB2312" w:cs="仿宋_GB2312" w:eastAsia="仿宋_GB2312"/>
              </w:rPr>
              <w:t>设计依据</w:t>
            </w:r>
          </w:p>
        </w:tc>
        <w:tc>
          <w:tcPr>
            <w:tcW w:type="dxa" w:w="2492"/>
          </w:tcPr>
          <w:p>
            <w:pPr>
              <w:pStyle w:val="null3"/>
            </w:pPr>
            <w:r>
              <w:rPr>
                <w:rFonts w:ascii="仿宋_GB2312" w:hAnsi="仿宋_GB2312" w:cs="仿宋_GB2312" w:eastAsia="仿宋_GB2312"/>
              </w:rPr>
              <w:t>设计依据须遵循国家、行业相关标准及规定及建设方相关要求。 1、完全满足采购需求，无瑕疵：5分； 2、方案内容存在1处瑕疵：4分； 3、方案内容存在2处瑕疵：3分； 4、方案内容存在3处瑕疵：2分； 5、方案内容存在4处瑕疵：1分； 6、未提供方案或内容存在5处及以上瑕疵：0分。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5设计依据.docx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针对本次项目特点制定整体实施方案。方案科学合理、规范并具有可操作性。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11、未提供或内容存在10处及以上瑕疵：0分。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供应商对本项目有详细、具体、可行的质量保障方案。质量保证方案详尽合理，切实可行。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11、未提供或内容存在10处及以上瑕疵：0分。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7质量保障措施.docx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供应商针对本项目提供合理可行的进度计划安排方案及保障措施，确保项目顺利进行。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8进度保证措施.docx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根据供应商提供的后续工作（包括：前期报建、施工图设计阶段以及后期项目实施过程中的技术服务等）的配合措施。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11、未提供或内容存在10处及以上瑕疵：0分。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9后续工作配合措施.docx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供应商针对本项目有成熟应急预案体系和安全保障方案，针对培训过程中可能出现的突发状况制定完善的应急方案，保证出现突发事情时及时采取有效的应对措施。 1、完全满足采购需求，无瑕疵：5分； 2、方案内容存在1处瑕疵：4分； 3、方案内容存在2处瑕疵：3分； 4、方案内容存在3处瑕疵：2分； 5、方案内容存在4处瑕疵：1分； 6、未提供方案或存在5处及以上瑕疵：0分。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1、完全满足采购需求，无瑕疵：5分； 2、方案内容存在1处瑕疵：4分； 3、方案内容存在2处瑕疵：3分； 4、方案内容存在3处瑕疵：2分； 5、方案内容存在4处瑕疵：1分； 6、未提供方案或存在5处及以上瑕疵：0分。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 1、完全满足项目需求，无瑕疵：3分； 2、存在1处瑕疵：2分； 3、存在2处瑕疵：1分； 4、存在3处瑕疵及以上瑕疵或未提供方案：0分。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12合理化建议、增值服务.docx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增值服务：除采购人要求的服务外，供应商还能够提供实质性其他增值类服务。 1、完全满足项目需求，无瑕疵：3分； 2、存在1处瑕疵：2分； 3、存在2处瑕疵：1分； 4、未提供方案或存在3处及以上瑕疵：0分。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12合理化建议、增值服务.docx</w:t>
            </w:r>
          </w:p>
        </w:tc>
      </w:tr>
      <w:tr>
        <w:tc>
          <w:tcPr>
            <w:tcW w:type="dxa" w:w="831"/>
            <w:vMerge/>
          </w:tcPr>
          <w:p/>
        </w:tc>
        <w:tc>
          <w:tcPr>
            <w:tcW w:type="dxa" w:w="1661"/>
          </w:tcPr>
          <w:p>
            <w:pPr>
              <w:pStyle w:val="null3"/>
            </w:pPr>
            <w:r>
              <w:rPr>
                <w:rFonts w:ascii="仿宋_GB2312" w:hAnsi="仿宋_GB2312" w:cs="仿宋_GB2312" w:eastAsia="仿宋_GB2312"/>
              </w:rPr>
              <w:t>设计负责人</w:t>
            </w:r>
          </w:p>
        </w:tc>
        <w:tc>
          <w:tcPr>
            <w:tcW w:type="dxa" w:w="2492"/>
          </w:tcPr>
          <w:p>
            <w:pPr>
              <w:pStyle w:val="null3"/>
            </w:pPr>
            <w:r>
              <w:rPr>
                <w:rFonts w:ascii="仿宋_GB2312" w:hAnsi="仿宋_GB2312" w:cs="仿宋_GB2312" w:eastAsia="仿宋_GB2312"/>
              </w:rPr>
              <w:t>拟派设计负责人具备高级专业技术职称的得4分，中级职称得2分。 评审时以供应商提供的加盖供应商公章的负责人最高职称证书的扫描件或复印件为准，提供多个职称证明材料的，以最高职称材料为准，未提供的不得分。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13设计负责人、团队成员.docx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针对本项目拟投入其他人员团队（除项目设计负责人外至少同时配备一级注册结构工程师、注册公用设备工程师（暖通）、注册公用设备工程师（给排水）、注册电气工程师各一名外，每增加一名上述专业的注册工程师加1分，最高不超过5分。（且在本项目服务期内不得更换）），人员充足，相关技能专业经验丰富且具备相关职称证书，提供拟投入人员的履历和有效的证明材料（包括但不限人员学历证书、职称证、专业资格证书或经验证明材料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13设计负责人、团队成员.docx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最终提交的设计成果内容及形式满足采购人要求。 1、完全满足项目需求，无瑕疵：2分； 2、存在1处瑕疵：1分； 3、未提供方案或存在2处及以上瑕疵：0分。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15成果交付.docx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注：计算分数时四舍五入取小数点后两位（按照固定费率进行报价，最终取费基数按照陕西省发改委关于本项目审批通过的初步设计所确定的概算总投资中的工程费用为准。费率最高限价：不得高于0.7%）</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详见附件：4总体设计思路.docx</w:t>
      </w:r>
    </w:p>
    <w:p>
      <w:pPr>
        <w:pStyle w:val="null3"/>
        <w:ind w:firstLine="960"/>
      </w:pPr>
      <w:r>
        <w:rPr>
          <w:rFonts w:ascii="仿宋_GB2312" w:hAnsi="仿宋_GB2312" w:cs="仿宋_GB2312" w:eastAsia="仿宋_GB2312"/>
        </w:rPr>
        <w:t>详见附件：5设计依据.docx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详见附件：7质量保障措施.docx</w:t>
      </w:r>
    </w:p>
    <w:p>
      <w:pPr>
        <w:pStyle w:val="null3"/>
        <w:ind w:firstLine="960"/>
      </w:pPr>
      <w:r>
        <w:rPr>
          <w:rFonts w:ascii="仿宋_GB2312" w:hAnsi="仿宋_GB2312" w:cs="仿宋_GB2312" w:eastAsia="仿宋_GB2312"/>
        </w:rPr>
        <w:t>详见附件：8进度保证措施.docx</w:t>
      </w:r>
    </w:p>
    <w:p>
      <w:pPr>
        <w:pStyle w:val="null3"/>
        <w:ind w:firstLine="960"/>
      </w:pPr>
      <w:r>
        <w:rPr>
          <w:rFonts w:ascii="仿宋_GB2312" w:hAnsi="仿宋_GB2312" w:cs="仿宋_GB2312" w:eastAsia="仿宋_GB2312"/>
        </w:rPr>
        <w:t>详见附件：9后续工作配合措施.docx</w:t>
      </w:r>
    </w:p>
    <w:p>
      <w:pPr>
        <w:pStyle w:val="null3"/>
        <w:ind w:firstLine="960"/>
      </w:pPr>
      <w:r>
        <w:rPr>
          <w:rFonts w:ascii="仿宋_GB2312" w:hAnsi="仿宋_GB2312" w:cs="仿宋_GB2312" w:eastAsia="仿宋_GB2312"/>
        </w:rPr>
        <w:t>详见附件：10应急方案.docx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详见附件：12合理化建议、增值服务.docx</w:t>
      </w:r>
    </w:p>
    <w:p>
      <w:pPr>
        <w:pStyle w:val="null3"/>
        <w:ind w:firstLine="960"/>
      </w:pPr>
      <w:r>
        <w:rPr>
          <w:rFonts w:ascii="仿宋_GB2312" w:hAnsi="仿宋_GB2312" w:cs="仿宋_GB2312" w:eastAsia="仿宋_GB2312"/>
        </w:rPr>
        <w:t>详见附件：13设计负责人、团队成员.docx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详见附件：15成果交付.docx</w:t>
      </w:r>
    </w:p>
    <w:p>
      <w:pPr>
        <w:pStyle w:val="null3"/>
        <w:ind w:firstLine="960"/>
      </w:pPr>
      <w:r>
        <w:rPr>
          <w:rFonts w:ascii="仿宋_GB2312" w:hAnsi="仿宋_GB2312" w:cs="仿宋_GB2312" w:eastAsia="仿宋_GB2312"/>
        </w:rPr>
        <w:t>详见附件：1其他资料.docx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