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版本号：KY2025-3-18320250725002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消防设施升级改造项目（三标段）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KY2025-3-183</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消防设施升级改造项目（三标段）</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消防设施升级改造项目（三标段）</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1、消防设施升级改造项目（三标段）施工总承包采购，简要技术要求：具体要求详见磋商文件第三章。 2、本项目采购预算为：3483702.59元，最高限价为：3483702.59元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8、资质：供应商须具备建筑工程施工总承包三级及以上或消防设施工程专业承包二级及以上资质；同时须具备有效的安全生产许可证</w:t>
      </w:r>
    </w:p>
    <w:p>
      <w:pPr>
        <w:pStyle w:val="null3"/>
      </w:pPr>
      <w:r>
        <w:rPr>
          <w:rFonts w:ascii="仿宋_GB2312" w:hAnsi="仿宋_GB2312" w:cs="仿宋_GB2312" w:eastAsia="仿宋_GB2312"/>
        </w:rPr>
        <w:t>9、项目经理：拟派项目经理具有机电工程专业二级及以上注册建造师资格及有效的安全生产考核合格证书，且无其他在建项目（提供无在建工程的承诺函）</w:t>
      </w:r>
    </w:p>
    <w:p>
      <w:pPr>
        <w:pStyle w:val="null3"/>
      </w:pPr>
      <w:r>
        <w:rPr>
          <w:rFonts w:ascii="仿宋_GB2312" w:hAnsi="仿宋_GB2312" w:cs="仿宋_GB2312" w:eastAsia="仿宋_GB2312"/>
        </w:rPr>
        <w:t>10、供应商及项目经理：供应商及项目经理须在“陕西省住房和城乡建设厅”可查询且无不良记录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谢婷婷、王琦、吕江涛、戈迪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采购包1：3,483,702.59元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银行账号：86113010750181502000192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工程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3,483,702.59</w:t>
      </w:r>
    </w:p>
    <w:p>
      <w:pPr>
        <w:pStyle w:val="null3"/>
      </w:pPr>
      <w:r>
        <w:rPr>
          <w:rFonts w:ascii="仿宋_GB2312" w:hAnsi="仿宋_GB2312" w:cs="仿宋_GB2312" w:eastAsia="仿宋_GB2312"/>
        </w:rPr>
        <w:t>采购包最高限价（元）: 3,483,702.59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西北政法大学消防设施升级改造项目（三标段）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3,483,702.59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标的名称：西北政法大学消防设施升级改造项目（三标段）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本项目具体升级改造内容详</w:t>
            </w:r>
            <w:r>
              <w:rPr>
                <w:rFonts w:ascii="仿宋_GB2312" w:hAnsi="仿宋_GB2312" w:cs="仿宋_GB2312" w:eastAsia="仿宋_GB2312"/>
                <w:sz w:val="21"/>
                <w:color w:val="000000"/>
              </w:rPr>
              <w:t>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2.清单编制依据</w:t>
            </w:r>
          </w:p>
          <w:p>
            <w:pPr>
              <w:pStyle w:val="null3"/>
            </w:pPr>
            <w:r>
              <w:rPr>
                <w:rFonts w:ascii="仿宋_GB2312" w:hAnsi="仿宋_GB2312" w:cs="仿宋_GB2312" w:eastAsia="仿宋_GB2312"/>
                <w:sz w:val="21"/>
                <w:color w:val="000000"/>
              </w:rPr>
              <w:t>（1）2009年《陕西省建设工程工程量清单计价规则》等国家相关规定；</w:t>
            </w:r>
          </w:p>
          <w:p>
            <w:pPr>
              <w:pStyle w:val="null3"/>
            </w:pPr>
            <w:r>
              <w:rPr>
                <w:rFonts w:ascii="仿宋_GB2312" w:hAnsi="仿宋_GB2312" w:cs="仿宋_GB2312" w:eastAsia="仿宋_GB2312"/>
                <w:sz w:val="21"/>
                <w:color w:val="000000"/>
              </w:rPr>
              <w:t>（2）施工图纸及相关答疑文件；</w:t>
            </w:r>
          </w:p>
          <w:p>
            <w:pPr>
              <w:pStyle w:val="null3"/>
            </w:pPr>
            <w:r>
              <w:rPr>
                <w:rFonts w:ascii="仿宋_GB2312" w:hAnsi="仿宋_GB2312" w:cs="仿宋_GB2312" w:eastAsia="仿宋_GB2312"/>
                <w:sz w:val="21"/>
                <w:color w:val="000000"/>
              </w:rPr>
              <w:t>（3）《陕西省安装工程量消耗量定额》（2004），《陕西省建筑、装饰工程消耗量定额》（2004）,《陕西省建设工程消耗量定额补充定额》（2004）,《陕西省建筑装修工程价目表》（2009），《陕西省安装工程价目表》(2009)，《陕西省建设工程工程量清单计价费率表》（2009）及相关配套文件进行编制；</w:t>
            </w:r>
          </w:p>
          <w:p>
            <w:pPr>
              <w:pStyle w:val="null3"/>
            </w:pPr>
            <w:r>
              <w:rPr>
                <w:rFonts w:ascii="仿宋_GB2312" w:hAnsi="仿宋_GB2312" w:cs="仿宋_GB2312" w:eastAsia="仿宋_GB2312"/>
                <w:sz w:val="21"/>
                <w:color w:val="000000"/>
              </w:rPr>
              <w:t>（4）人工费执行陕建发【2021】1097号文规定；</w:t>
            </w:r>
          </w:p>
          <w:p>
            <w:pPr>
              <w:pStyle w:val="null3"/>
            </w:pPr>
            <w:r>
              <w:rPr>
                <w:rFonts w:ascii="仿宋_GB2312" w:hAnsi="仿宋_GB2312" w:cs="仿宋_GB2312" w:eastAsia="仿宋_GB2312"/>
                <w:sz w:val="21"/>
                <w:color w:val="000000"/>
              </w:rPr>
              <w:t>（5）劳保费用按照陕建发【2021】1021号文规定；</w:t>
            </w:r>
          </w:p>
          <w:p>
            <w:pPr>
              <w:pStyle w:val="null3"/>
            </w:pPr>
            <w:r>
              <w:rPr>
                <w:rFonts w:ascii="仿宋_GB2312" w:hAnsi="仿宋_GB2312" w:cs="仿宋_GB2312" w:eastAsia="仿宋_GB2312"/>
                <w:sz w:val="21"/>
                <w:color w:val="000000"/>
              </w:rPr>
              <w:t>（6）安全文明施工费按陕建发【2019】 1246号；</w:t>
            </w:r>
          </w:p>
          <w:p>
            <w:pPr>
              <w:pStyle w:val="null3"/>
            </w:pPr>
            <w:r>
              <w:rPr>
                <w:rFonts w:ascii="仿宋_GB2312" w:hAnsi="仿宋_GB2312" w:cs="仿宋_GB2312" w:eastAsia="仿宋_GB2312"/>
                <w:sz w:val="21"/>
                <w:color w:val="000000"/>
              </w:rPr>
              <w:t>（7）建设工程扬尘治理专项措施费按陕建发【2017】270号；</w:t>
            </w:r>
          </w:p>
          <w:p>
            <w:pPr>
              <w:pStyle w:val="null3"/>
            </w:pPr>
            <w:r>
              <w:rPr>
                <w:rFonts w:ascii="仿宋_GB2312" w:hAnsi="仿宋_GB2312" w:cs="仿宋_GB2312" w:eastAsia="仿宋_GB2312"/>
                <w:sz w:val="21"/>
                <w:color w:val="000000"/>
              </w:rPr>
              <w:t>（8）税金执行陕建发【2019】45号文中相关规定；</w:t>
            </w:r>
          </w:p>
          <w:p>
            <w:pPr>
              <w:pStyle w:val="null3"/>
            </w:pPr>
            <w:r>
              <w:rPr>
                <w:rFonts w:ascii="仿宋_GB2312" w:hAnsi="仿宋_GB2312" w:cs="仿宋_GB2312" w:eastAsia="仿宋_GB2312"/>
                <w:sz w:val="21"/>
                <w:color w:val="000000"/>
              </w:rPr>
              <w:t>（9）工程量清单采用广联达GCCP7.0编制，版本7.5000.23.1。</w:t>
            </w:r>
          </w:p>
          <w:p>
            <w:pPr>
              <w:pStyle w:val="null3"/>
            </w:pPr>
            <w:r>
              <w:rPr>
                <w:rFonts w:ascii="仿宋_GB2312" w:hAnsi="仿宋_GB2312" w:cs="仿宋_GB2312" w:eastAsia="仿宋_GB2312"/>
                <w:sz w:val="21"/>
                <w:color w:val="000000"/>
              </w:rPr>
              <w:t>（10）因本项目为维修改造类项目，按照磋商文件中工程量清单编制依据和合同约定的计量原则，本次磋商及竣工结算采用陕西省2009 工程量清单计价规则及与相关规范。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3.其他说明：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1）暂列金</w:t>
            </w:r>
            <w:r>
              <w:rPr>
                <w:rFonts w:ascii="仿宋_GB2312" w:hAnsi="仿宋_GB2312" w:cs="仿宋_GB2312" w:eastAsia="仿宋_GB2312"/>
                <w:sz w:val="21"/>
                <w:color w:val="000000"/>
              </w:rPr>
              <w:t>：</w:t>
            </w:r>
            <w:r>
              <w:rPr>
                <w:rFonts w:ascii="仿宋_GB2312" w:hAnsi="仿宋_GB2312" w:cs="仿宋_GB2312" w:eastAsia="仿宋_GB2312"/>
                <w:sz w:val="21"/>
                <w:color w:val="000000"/>
              </w:rPr>
              <w:t>30万元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9"/>
              </w:rPr>
              <w:t>项目概况：</w:t>
            </w:r>
          </w:p>
          <w:p>
            <w:pPr>
              <w:pStyle w:val="null3"/>
              <w:jc w:val="both"/>
            </w:pPr>
            <w:r>
              <w:rPr>
                <w:rFonts w:ascii="仿宋_GB2312" w:hAnsi="仿宋_GB2312" w:cs="仿宋_GB2312" w:eastAsia="仿宋_GB2312"/>
                <w:sz w:val="19"/>
              </w:rPr>
              <w:t>1.改造内容：对照长安区住房和城乡建设局2024年7月4日和2025年5月22日出具的《建设工程消防技术服务函》中的整改意见以及西安市建筑设计研究院有限公司、陕西同济土木建筑设计有限公司根据整改意见给出的整改施工方案，计划新建长安校区室外消防管网并对水泵房进行改造，主要包括：</w:t>
            </w:r>
          </w:p>
          <w:p>
            <w:pPr>
              <w:pStyle w:val="null3"/>
              <w:jc w:val="both"/>
            </w:pPr>
            <w:r>
              <w:rPr>
                <w:rFonts w:ascii="仿宋_GB2312" w:hAnsi="仿宋_GB2312" w:cs="仿宋_GB2312" w:eastAsia="仿宋_GB2312"/>
                <w:sz w:val="19"/>
              </w:rPr>
              <w:t>（一）新建长安校区室外消火栓管网、室内消火栓管网、消防电室外管网，新装室外消火栓等，消火栓管网与各单体建筑对接，消防电室外管线与各单体的消防主机连接；</w:t>
            </w:r>
          </w:p>
          <w:p>
            <w:pPr>
              <w:pStyle w:val="null3"/>
              <w:jc w:val="both"/>
            </w:pPr>
            <w:r>
              <w:rPr>
                <w:rFonts w:ascii="仿宋_GB2312" w:hAnsi="仿宋_GB2312" w:cs="仿宋_GB2312" w:eastAsia="仿宋_GB2312"/>
                <w:sz w:val="19"/>
              </w:rPr>
              <w:t>（二）对长安校区水泵房进行改造，拆除</w:t>
            </w:r>
            <w:r>
              <w:rPr>
                <w:rFonts w:ascii="仿宋_GB2312" w:hAnsi="仿宋_GB2312" w:cs="仿宋_GB2312" w:eastAsia="仿宋_GB2312"/>
                <w:sz w:val="19"/>
              </w:rPr>
              <w:t>4台室内消火栓水泵，新装两台室外消火栓水泵以及相应的电气系统改造；</w:t>
            </w:r>
          </w:p>
          <w:p>
            <w:pPr>
              <w:pStyle w:val="null3"/>
              <w:jc w:val="both"/>
            </w:pPr>
            <w:r>
              <w:rPr>
                <w:rFonts w:ascii="仿宋_GB2312" w:hAnsi="仿宋_GB2312" w:cs="仿宋_GB2312" w:eastAsia="仿宋_GB2312"/>
                <w:sz w:val="19"/>
              </w:rPr>
              <w:t>（三）为长安校区中心水泵房和学生食堂消防泵房引入第二路应急电源。</w:t>
            </w:r>
          </w:p>
          <w:p>
            <w:pPr>
              <w:pStyle w:val="null3"/>
              <w:jc w:val="both"/>
            </w:pPr>
            <w:r>
              <w:rPr>
                <w:rFonts w:ascii="仿宋_GB2312" w:hAnsi="仿宋_GB2312" w:cs="仿宋_GB2312" w:eastAsia="仿宋_GB2312"/>
                <w:sz w:val="19"/>
              </w:rPr>
              <w:t>（四）配合室内部分施工单位及检测单位完成整体消防系统调试，协助建设单位办理消防验收手续并完成</w:t>
            </w:r>
            <w:r>
              <w:rPr>
                <w:rFonts w:ascii="仿宋_GB2312" w:hAnsi="仿宋_GB2312" w:cs="仿宋_GB2312" w:eastAsia="仿宋_GB2312"/>
                <w:sz w:val="19"/>
              </w:rPr>
              <w:t>“取证”。</w:t>
            </w:r>
          </w:p>
          <w:p>
            <w:pPr>
              <w:pStyle w:val="null3"/>
              <w:jc w:val="both"/>
            </w:pPr>
            <w:r>
              <w:rPr>
                <w:rFonts w:ascii="仿宋_GB2312" w:hAnsi="仿宋_GB2312" w:cs="仿宋_GB2312" w:eastAsia="仿宋_GB2312"/>
                <w:sz w:val="19"/>
              </w:rPr>
              <w:t>2.主要功能或目标：</w:t>
            </w:r>
          </w:p>
          <w:p>
            <w:pPr>
              <w:pStyle w:val="null3"/>
              <w:jc w:val="both"/>
            </w:pPr>
            <w:r>
              <w:rPr>
                <w:rFonts w:ascii="仿宋_GB2312" w:hAnsi="仿宋_GB2312" w:cs="仿宋_GB2312" w:eastAsia="仿宋_GB2312"/>
                <w:sz w:val="19"/>
              </w:rPr>
              <w:t>通过本次维修改造，能够解决长安校区室外消防管网无法使用的问题，保障各单体建筑消防管道通水、火灾报警系统能够联通，为其他建筑的消防整改和</w:t>
            </w:r>
            <w:r>
              <w:rPr>
                <w:rFonts w:ascii="仿宋_GB2312" w:hAnsi="仿宋_GB2312" w:cs="仿宋_GB2312" w:eastAsia="仿宋_GB2312"/>
                <w:sz w:val="19"/>
              </w:rPr>
              <w:t>“取证”提供保障，解决了学校长期以来的消防隐患问题。</w:t>
            </w:r>
          </w:p>
          <w:p>
            <w:pPr>
              <w:pStyle w:val="null3"/>
              <w:jc w:val="both"/>
            </w:pPr>
            <w:r>
              <w:rPr>
                <w:rFonts w:ascii="仿宋_GB2312" w:hAnsi="仿宋_GB2312" w:cs="仿宋_GB2312" w:eastAsia="仿宋_GB2312"/>
                <w:sz w:val="19"/>
              </w:rPr>
              <w:t>3.需满足的技术规格、服务及验收要求：</w:t>
            </w:r>
          </w:p>
          <w:p>
            <w:pPr>
              <w:pStyle w:val="null3"/>
              <w:jc w:val="both"/>
            </w:pPr>
            <w:r>
              <w:rPr>
                <w:rFonts w:ascii="仿宋_GB2312" w:hAnsi="仿宋_GB2312" w:cs="仿宋_GB2312" w:eastAsia="仿宋_GB2312"/>
                <w:sz w:val="19"/>
              </w:rPr>
              <w:t>严格遵守国家现行有效的消防法律法规、技术规范标准及地方消防部门规定；符合教育部门关于学校建筑消防安全管理的相关要求；负责通过消防部门验收并取得合格文件。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商务要求：</w:t>
            </w:r>
          </w:p>
          <w:tbl>
            <w:tblPr>
              <w:tblInd w:type="dxa" w:w="120"/>
              <w:tblBorders>
                <w:top w:val="none" w:color="000000" w:sz="4"/>
                <w:left w:val="none" w:color="000000" w:sz="4"/>
                <w:bottom w:val="none" w:color="000000" w:sz="4"/>
                <w:right w:val="none" w:color="000000" w:sz="4"/>
                <w:insideH w:val="none"/>
                <w:insideV w:val="none"/>
              </w:tblBorders>
            </w:tblPr>
            <w:tblGrid>
              <w:gridCol w:w="166"/>
              <w:gridCol w:w="307"/>
              <w:gridCol w:w="2080"/>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要求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付款方式</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工程部分：</w:t>
                  </w:r>
                </w:p>
                <w:p>
                  <w:pPr>
                    <w:pStyle w:val="null3"/>
                    <w:jc w:val="both"/>
                  </w:pPr>
                  <w:r>
                    <w:rPr>
                      <w:rFonts w:ascii="仿宋_GB2312" w:hAnsi="仿宋_GB2312" w:cs="仿宋_GB2312" w:eastAsia="仿宋_GB2312"/>
                      <w:sz w:val="19"/>
                    </w:rPr>
                    <w:t>采购包1：合同签订后10个工作日内预付20%。工程施工完毕后，付至合同总价的50%，剩余部分按照校方审计后的金额扣除质保金后2026年付款。剩余3%质保期满无质量问题，可无息退还。质保期自甲方验收合格之日起满2年，供应商未能提供符合采购人要求的发票的，采购人有权拒绝付款且不承担逾期付款责任，供应商仍应按照合同约定履行合同义务。工程决算与采购验收所产生的费用由供应商承担。</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项目完工期</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30</w:t>
                  </w:r>
                  <w:r>
                    <w:rPr>
                      <w:rFonts w:ascii="仿宋_GB2312" w:hAnsi="仿宋_GB2312" w:cs="仿宋_GB2312" w:eastAsia="仿宋_GB2312"/>
                      <w:sz w:val="19"/>
                      <w:color w:val="000000"/>
                    </w:rPr>
                    <w:t>日内。</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自验收合格之日提供</w:t>
                  </w:r>
                  <w:r>
                    <w:rPr>
                      <w:rFonts w:ascii="仿宋_GB2312" w:hAnsi="仿宋_GB2312" w:cs="仿宋_GB2312" w:eastAsia="仿宋_GB2312"/>
                      <w:sz w:val="19"/>
                    </w:rPr>
                    <w:t>2</w:t>
                  </w:r>
                  <w:r>
                    <w:rPr>
                      <w:rFonts w:ascii="仿宋_GB2312" w:hAnsi="仿宋_GB2312" w:cs="仿宋_GB2312" w:eastAsia="仿宋_GB2312"/>
                      <w:sz w:val="19"/>
                    </w:rPr>
                    <w:t>年质保</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报价函 标的清单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供应商认为有必要说明的问题.docx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供应商须具备建筑工程施工总承包三级及以上或消防设施工程专业承包二级及以上资质；同时须具备有效的安全生产许可证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拟派项目经理具有机电工程专业二级及以上注册建造师资格及有效的安全生产考核合格证书，且无其他在建项目（提供无在建工程的承诺函）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w:t>
            </w:r>
          </w:p>
        </w:tc>
        <w:tc>
          <w:tcPr>
            <w:tcW w:type="dxa" w:w="3322"/>
          </w:tcPr>
          <w:p>
            <w:pPr>
              <w:pStyle w:val="null3"/>
            </w:pPr>
            <w:r>
              <w:rPr>
                <w:rFonts w:ascii="仿宋_GB2312" w:hAnsi="仿宋_GB2312" w:cs="仿宋_GB2312" w:eastAsia="仿宋_GB2312"/>
              </w:rPr>
              <w:t>供应商及项目经理须在“陕西省住房和城乡建设厅”可查询且无不良记录</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已标价工程量清单 报价函 标的清单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已标价工程量清单 报价函 标的清单 技术服务合同条款及其他商务要求应答表 响应函 供应商认为有必要说明的问题.docx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供应商提供自2022年1月1日至本项目响应文件递交截止时间前完成的类似业绩证明材料，提供1个得1分，最多得5分。未提供的不得分。 评审依据：提供施工合同的复印件（证明材料包括中标通知书、合同和竣工资料复印件，原件备查），时间以合同签订时间为准。 注：类似业绩证明材料意指消防设施施工、维修或改造相关业绩。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详细评审---企业业绩.docx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拟派项目经理的职称： 拟派项目经理具备相关专业高级及以上职称证书，得3分，中级职称证书得1分，其余情况不得分。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详细评审---项目经理.docx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提供自2022年1月1日至本项目响应文件递交截止时间前完成的类似业绩证明材料，提供1个得1分，最多得5分。未提供的不得分。 评审依据：提供施工合同的复印件（证明材料包括中标通知书、合同和竣工资料复印件，原件备查），时间以合同签订时间为准,合同须能体现项目经理姓名，可与企业业绩重复计分。 注：类似业绩证明材料意指消防设施施工、维修或改造相关业绩。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详细评审---项目经理业绩.docx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拟派项目部其它管理人员，除拟派项目经理及拟派项目技术负责人以外，至少应包括：施工员1人、资料员1人、材料员1人、安全员1人、质量员1人。 1.满足以上全部要求的得5分，任意一项不满足要求的得0分； 评审依据：提供人员开标前半年内任意一个月社保（或劳动合同）、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详细评审---项目部人员构成.docx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根据供应商针对项目实施过程中的总体实施方案进行评审。 总体实施方案目标设定合理、实施范围全面、实施步骤清晰有序，整体部署具有逻辑性和连贯性的、符合本项目采购需求得8分；方案不完整或不符合实际要求或不满足实施要求或套用其他项目内容的扣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详细评审---总体实施方案.docx</w:t>
            </w:r>
          </w:p>
        </w:tc>
      </w:tr>
      <w:tr>
        <w:tc>
          <w:tcPr>
            <w:tcW w:type="dxa" w:w="831"/>
            <w:vMerge/>
          </w:tcPr>
          <w:p/>
        </w:tc>
        <w:tc>
          <w:tcPr>
            <w:tcW w:type="dxa" w:w="1661"/>
          </w:tcPr>
          <w:p>
            <w:pPr>
              <w:pStyle w:val="null3"/>
            </w:pPr>
            <w:r>
              <w:rPr>
                <w:rFonts w:ascii="仿宋_GB2312" w:hAnsi="仿宋_GB2312" w:cs="仿宋_GB2312" w:eastAsia="仿宋_GB2312"/>
              </w:rPr>
              <w:t>确保工期的方案及措施</w:t>
            </w:r>
          </w:p>
        </w:tc>
        <w:tc>
          <w:tcPr>
            <w:tcW w:type="dxa" w:w="2492"/>
          </w:tcPr>
          <w:p>
            <w:pPr>
              <w:pStyle w:val="null3"/>
            </w:pPr>
            <w:r>
              <w:rPr>
                <w:rFonts w:ascii="仿宋_GB2312" w:hAnsi="仿宋_GB2312" w:cs="仿宋_GB2312" w:eastAsia="仿宋_GB2312"/>
              </w:rPr>
              <w:t>供应商针对本项目提供完整的工期计划及保障措施方案，包括但不限于：①实施计划及进度计划；②确保工程按期按质完成措施；方案各部分内容全面详细、阐述条理清晰详尽、符合本项目采购需求得6分；以上分项每缺少一项内容扣3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详细评审---确保工期的方案及措施.docx</w:t>
            </w:r>
          </w:p>
        </w:tc>
      </w:tr>
      <w:tr>
        <w:tc>
          <w:tcPr>
            <w:tcW w:type="dxa" w:w="831"/>
            <w:vMerge/>
          </w:tcPr>
          <w:p/>
        </w:tc>
        <w:tc>
          <w:tcPr>
            <w:tcW w:type="dxa" w:w="1661"/>
          </w:tcPr>
          <w:p>
            <w:pPr>
              <w:pStyle w:val="null3"/>
            </w:pPr>
            <w:r>
              <w:rPr>
                <w:rFonts w:ascii="仿宋_GB2312" w:hAnsi="仿宋_GB2312" w:cs="仿宋_GB2312" w:eastAsia="仿宋_GB2312"/>
              </w:rPr>
              <w:t>优化方案及技术措施</w:t>
            </w:r>
          </w:p>
        </w:tc>
        <w:tc>
          <w:tcPr>
            <w:tcW w:type="dxa" w:w="2492"/>
          </w:tcPr>
          <w:p>
            <w:pPr>
              <w:pStyle w:val="null3"/>
            </w:pPr>
            <w:r>
              <w:rPr>
                <w:rFonts w:ascii="仿宋_GB2312" w:hAnsi="仿宋_GB2312" w:cs="仿宋_GB2312" w:eastAsia="仿宋_GB2312"/>
              </w:rPr>
              <w:t>供应商针对本项目重难点提供优化方案及技术措施，包括但不限于：①关键节点、复杂环节理解分析；②针对关键节点、复杂环节的优化方案和具体措施；方案各部分内容全面详细、阐述条理清晰详尽、符合本项目采购需求得6分；以上分项每缺少一项内容扣3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详细评审---优化方案及技术措施.docx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特点制定质量保证措施，包括但不限于：①质量控制目标分析②质量保证措施。方案各部分内容全面详细、阐述条理清晰详尽、符合本项目采购需求得6分；以上分项每缺少一项内容扣3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详细评审---质量保证措施.docx</w:t>
            </w:r>
          </w:p>
        </w:tc>
      </w:tr>
      <w:tr>
        <w:tc>
          <w:tcPr>
            <w:tcW w:type="dxa" w:w="831"/>
            <w:vMerge/>
          </w:tcPr>
          <w:p/>
        </w:tc>
        <w:tc>
          <w:tcPr>
            <w:tcW w:type="dxa" w:w="1661"/>
          </w:tcPr>
          <w:p>
            <w:pPr>
              <w:pStyle w:val="null3"/>
            </w:pPr>
            <w:r>
              <w:rPr>
                <w:rFonts w:ascii="仿宋_GB2312" w:hAnsi="仿宋_GB2312" w:cs="仿宋_GB2312" w:eastAsia="仿宋_GB2312"/>
              </w:rPr>
              <w:t>安全文明施工</w:t>
            </w:r>
          </w:p>
        </w:tc>
        <w:tc>
          <w:tcPr>
            <w:tcW w:type="dxa" w:w="2492"/>
          </w:tcPr>
          <w:p>
            <w:pPr>
              <w:pStyle w:val="null3"/>
            </w:pPr>
            <w:r>
              <w:rPr>
                <w:rFonts w:ascii="仿宋_GB2312" w:hAnsi="仿宋_GB2312" w:cs="仿宋_GB2312" w:eastAsia="仿宋_GB2312"/>
              </w:rPr>
              <w:t>根据供应商提供安全文明施工方案，包括但不限于：①安全生产、文明施工、环保施工、防尘降噪等保证措施②应急保证措施。 方案各部分内容全面详细、阐述条理清晰详尽、符合本项目采购需求得6分；以上分项每缺少一项内容扣3分；有某一项不完整或不符合实际要求或不满足实施要求或套用其他项目内容的扣2分；未提供不得分。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详细评审---安全文明施工.docx</w:t>
            </w:r>
          </w:p>
        </w:tc>
      </w:tr>
      <w:tr>
        <w:tc>
          <w:tcPr>
            <w:tcW w:type="dxa" w:w="831"/>
            <w:vMerge/>
          </w:tcPr>
          <w:p/>
        </w:tc>
        <w:tc>
          <w:tcPr>
            <w:tcW w:type="dxa" w:w="1661"/>
          </w:tcPr>
          <w:p>
            <w:pPr>
              <w:pStyle w:val="null3"/>
            </w:pPr>
            <w:r>
              <w:rPr>
                <w:rFonts w:ascii="仿宋_GB2312" w:hAnsi="仿宋_GB2312" w:cs="仿宋_GB2312" w:eastAsia="仿宋_GB2312"/>
              </w:rPr>
              <w:t>售后服务及质保期服务承诺</w:t>
            </w:r>
          </w:p>
        </w:tc>
        <w:tc>
          <w:tcPr>
            <w:tcW w:type="dxa" w:w="2492"/>
          </w:tcPr>
          <w:p>
            <w:pPr>
              <w:pStyle w:val="null3"/>
            </w:pPr>
            <w:r>
              <w:rPr>
                <w:rFonts w:ascii="仿宋_GB2312" w:hAnsi="仿宋_GB2312" w:cs="仿宋_GB2312" w:eastAsia="仿宋_GB2312"/>
              </w:rPr>
              <w:t>根据供应商提供满足采购文件要求的质保期服务承诺和售后服务方案进行评审，包括但不限于①应急处理方案②售后服务范围及响应时间③售后服务体系④建设完成后的消防专项技术培训⑤质保期服务承诺。 方案各部分内容全面详细、阐述条理清晰详尽、符合本项目采购需求得5分；以上分项每缺少一项内容扣2分；有某一项不完整或不符合实际要求或不满足实施要求或套用其他项目内容的扣1分；未提供不得分。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详细评审---售后服务及质保期服务承诺.docx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磋商报价得分=（评审基准价/磋商报价）×45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详见附件：详细评审---安全文明施工.docx</w:t>
      </w:r>
    </w:p>
    <w:p>
      <w:pPr>
        <w:pStyle w:val="null3"/>
        <w:ind w:firstLine="960"/>
      </w:pPr>
      <w:r>
        <w:rPr>
          <w:rFonts w:ascii="仿宋_GB2312" w:hAnsi="仿宋_GB2312" w:cs="仿宋_GB2312" w:eastAsia="仿宋_GB2312"/>
        </w:rPr>
        <w:t>详见附件：详细评审---企业业绩.docx</w:t>
      </w:r>
    </w:p>
    <w:p>
      <w:pPr>
        <w:pStyle w:val="null3"/>
        <w:ind w:firstLine="960"/>
      </w:pPr>
      <w:r>
        <w:rPr>
          <w:rFonts w:ascii="仿宋_GB2312" w:hAnsi="仿宋_GB2312" w:cs="仿宋_GB2312" w:eastAsia="仿宋_GB2312"/>
        </w:rPr>
        <w:t>详见附件：详细评审---确保工期的方案及措施.docx</w:t>
      </w:r>
    </w:p>
    <w:p>
      <w:pPr>
        <w:pStyle w:val="null3"/>
        <w:ind w:firstLine="960"/>
      </w:pPr>
      <w:r>
        <w:rPr>
          <w:rFonts w:ascii="仿宋_GB2312" w:hAnsi="仿宋_GB2312" w:cs="仿宋_GB2312" w:eastAsia="仿宋_GB2312"/>
        </w:rPr>
        <w:t>详见附件：详细评审---售后服务及质保期服务承诺.docx</w:t>
      </w:r>
    </w:p>
    <w:p>
      <w:pPr>
        <w:pStyle w:val="null3"/>
        <w:ind w:firstLine="960"/>
      </w:pPr>
      <w:r>
        <w:rPr>
          <w:rFonts w:ascii="仿宋_GB2312" w:hAnsi="仿宋_GB2312" w:cs="仿宋_GB2312" w:eastAsia="仿宋_GB2312"/>
        </w:rPr>
        <w:t>详见附件：详细评审---项目部人员构成.docx</w:t>
      </w:r>
    </w:p>
    <w:p>
      <w:pPr>
        <w:pStyle w:val="null3"/>
        <w:ind w:firstLine="960"/>
      </w:pPr>
      <w:r>
        <w:rPr>
          <w:rFonts w:ascii="仿宋_GB2312" w:hAnsi="仿宋_GB2312" w:cs="仿宋_GB2312" w:eastAsia="仿宋_GB2312"/>
        </w:rPr>
        <w:t>详见附件：详细评审---项目经理.docx</w:t>
      </w:r>
    </w:p>
    <w:p>
      <w:pPr>
        <w:pStyle w:val="null3"/>
        <w:ind w:firstLine="960"/>
      </w:pPr>
      <w:r>
        <w:rPr>
          <w:rFonts w:ascii="仿宋_GB2312" w:hAnsi="仿宋_GB2312" w:cs="仿宋_GB2312" w:eastAsia="仿宋_GB2312"/>
        </w:rPr>
        <w:t>详见附件：详细评审---项目经理业绩.docx</w:t>
      </w:r>
    </w:p>
    <w:p>
      <w:pPr>
        <w:pStyle w:val="null3"/>
        <w:ind w:firstLine="960"/>
      </w:pPr>
      <w:r>
        <w:rPr>
          <w:rFonts w:ascii="仿宋_GB2312" w:hAnsi="仿宋_GB2312" w:cs="仿宋_GB2312" w:eastAsia="仿宋_GB2312"/>
        </w:rPr>
        <w:t>详见附件：详细评审---优化方案及技术措施.docx</w:t>
      </w:r>
    </w:p>
    <w:p>
      <w:pPr>
        <w:pStyle w:val="null3"/>
        <w:ind w:firstLine="960"/>
      </w:pPr>
      <w:r>
        <w:rPr>
          <w:rFonts w:ascii="仿宋_GB2312" w:hAnsi="仿宋_GB2312" w:cs="仿宋_GB2312" w:eastAsia="仿宋_GB2312"/>
        </w:rPr>
        <w:t>详见附件：详细评审---质量保证措施.docx</w:t>
      </w:r>
    </w:p>
    <w:p>
      <w:pPr>
        <w:pStyle w:val="null3"/>
        <w:ind w:firstLine="960"/>
      </w:pPr>
      <w:r>
        <w:rPr>
          <w:rFonts w:ascii="仿宋_GB2312" w:hAnsi="仿宋_GB2312" w:cs="仿宋_GB2312" w:eastAsia="仿宋_GB2312"/>
        </w:rPr>
        <w:t>详见附件：详细评审---总体实施方案.docx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