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F33DC">
      <w:pPr>
        <w:pStyle w:val="5"/>
        <w:rPr>
          <w:rFonts w:hint="eastAsia" w:ascii="黑体" w:hAnsi="黑体" w:eastAsia="黑体" w:cs="黑体"/>
          <w:color w:val="000000"/>
          <w:sz w:val="44"/>
          <w:szCs w:val="44"/>
        </w:rPr>
      </w:pPr>
    </w:p>
    <w:p w14:paraId="272550F8">
      <w:pPr>
        <w:pStyle w:val="5"/>
        <w:jc w:val="both"/>
        <w:rPr>
          <w:rFonts w:hint="eastAsia" w:ascii="黑体" w:hAnsi="黑体" w:eastAsia="仿宋" w:cs="黑体"/>
          <w:color w:val="000000"/>
          <w:sz w:val="44"/>
          <w:szCs w:val="44"/>
        </w:rPr>
      </w:pPr>
      <w:r>
        <w:rPr>
          <w:rFonts w:hint="eastAsia" w:ascii="仿宋" w:hAnsi="仿宋" w:eastAsia="仿宋" w:cs="仿宋"/>
          <w:sz w:val="28"/>
          <w:szCs w:val="28"/>
        </w:rPr>
        <w:t>合同编号：</w:t>
      </w:r>
    </w:p>
    <w:p w14:paraId="5DA00FF6">
      <w:pPr>
        <w:pStyle w:val="5"/>
        <w:rPr>
          <w:rFonts w:hint="eastAsia" w:ascii="黑体" w:hAnsi="黑体" w:eastAsia="黑体" w:cs="黑体"/>
          <w:color w:val="000000"/>
          <w:sz w:val="44"/>
          <w:szCs w:val="44"/>
        </w:rPr>
      </w:pPr>
    </w:p>
    <w:p w14:paraId="6817F093">
      <w:pPr>
        <w:pStyle w:val="5"/>
        <w:jc w:val="center"/>
        <w:rPr>
          <w:rFonts w:hint="eastAsia" w:ascii="黑体" w:hAnsi="黑体" w:eastAsia="黑体" w:cs="黑体"/>
          <w:color w:val="000000"/>
          <w:sz w:val="44"/>
          <w:szCs w:val="44"/>
        </w:rPr>
      </w:pPr>
      <w:r>
        <w:rPr>
          <w:rFonts w:hint="eastAsia" w:ascii="黑体" w:hAnsi="黑体" w:eastAsia="黑体" w:cs="黑体"/>
          <w:color w:val="000000"/>
          <w:sz w:val="44"/>
          <w:szCs w:val="44"/>
          <w:lang w:val="en-US" w:eastAsia="zh-CN"/>
        </w:rPr>
        <w:t>备案主体、代理机构分级分类评价项目</w:t>
      </w:r>
    </w:p>
    <w:p w14:paraId="60913059">
      <w:pPr>
        <w:pStyle w:val="5"/>
        <w:jc w:val="center"/>
        <w:rPr>
          <w:rFonts w:hint="eastAsia" w:ascii="仿宋" w:hAnsi="仿宋" w:eastAsia="仿宋" w:cs="仿宋"/>
          <w:sz w:val="32"/>
          <w:szCs w:val="32"/>
        </w:rPr>
      </w:pPr>
      <w:r>
        <w:rPr>
          <w:rFonts w:hint="eastAsia" w:ascii="黑体" w:hAnsi="黑体" w:eastAsia="黑体" w:cs="黑体"/>
          <w:color w:val="000000"/>
          <w:sz w:val="44"/>
          <w:szCs w:val="44"/>
        </w:rPr>
        <w:t>合同书</w:t>
      </w:r>
    </w:p>
    <w:p w14:paraId="3CF8BA52">
      <w:pPr>
        <w:pStyle w:val="5"/>
        <w:ind w:firstLine="640" w:firstLineChars="200"/>
        <w:jc w:val="center"/>
        <w:rPr>
          <w:rFonts w:hint="eastAsia" w:ascii="仿宋" w:hAnsi="仿宋" w:eastAsia="仿宋" w:cs="仿宋"/>
          <w:sz w:val="32"/>
          <w:szCs w:val="32"/>
        </w:rPr>
      </w:pPr>
    </w:p>
    <w:p w14:paraId="2D10BC86">
      <w:pPr>
        <w:pStyle w:val="5"/>
        <w:ind w:firstLine="640" w:firstLineChars="200"/>
        <w:rPr>
          <w:rFonts w:hint="eastAsia" w:ascii="仿宋" w:hAnsi="仿宋" w:eastAsia="仿宋" w:cs="仿宋"/>
          <w:sz w:val="32"/>
          <w:szCs w:val="32"/>
        </w:rPr>
      </w:pPr>
    </w:p>
    <w:p w14:paraId="761D2742">
      <w:pPr>
        <w:pStyle w:val="5"/>
        <w:ind w:firstLine="640" w:firstLineChars="200"/>
        <w:rPr>
          <w:rFonts w:hint="eastAsia" w:ascii="仿宋" w:hAnsi="仿宋" w:eastAsia="仿宋" w:cs="仿宋"/>
          <w:sz w:val="32"/>
          <w:szCs w:val="32"/>
        </w:rPr>
      </w:pPr>
    </w:p>
    <w:p w14:paraId="57781339">
      <w:pPr>
        <w:rPr>
          <w:rFonts w:hint="eastAsia" w:ascii="仿宋" w:hAnsi="仿宋" w:eastAsia="仿宋" w:cs="仿宋"/>
          <w:sz w:val="32"/>
          <w:szCs w:val="32"/>
        </w:rPr>
      </w:pPr>
    </w:p>
    <w:p w14:paraId="3486627A">
      <w:pPr>
        <w:pStyle w:val="8"/>
        <w:rPr>
          <w:rFonts w:hint="eastAsia" w:ascii="仿宋" w:hAnsi="仿宋" w:eastAsia="仿宋" w:cs="仿宋"/>
          <w:sz w:val="32"/>
          <w:szCs w:val="32"/>
        </w:rPr>
      </w:pPr>
    </w:p>
    <w:p w14:paraId="227CA3F6"/>
    <w:p w14:paraId="33F9528F">
      <w:pPr>
        <w:pStyle w:val="5"/>
        <w:rPr>
          <w:rFonts w:hint="eastAsia" w:ascii="仿宋" w:hAnsi="仿宋" w:eastAsia="仿宋" w:cs="仿宋"/>
          <w:sz w:val="32"/>
          <w:szCs w:val="32"/>
        </w:rPr>
      </w:pPr>
    </w:p>
    <w:p w14:paraId="4EF085B4">
      <w:pPr>
        <w:pStyle w:val="5"/>
        <w:rPr>
          <w:rFonts w:hint="eastAsia" w:ascii="仿宋" w:hAnsi="仿宋" w:eastAsia="仿宋" w:cs="仿宋"/>
          <w:sz w:val="32"/>
          <w:szCs w:val="32"/>
        </w:rPr>
      </w:pPr>
    </w:p>
    <w:p w14:paraId="22AACC57">
      <w:pPr>
        <w:pStyle w:val="5"/>
        <w:rPr>
          <w:rFonts w:hint="eastAsia" w:ascii="仿宋_GB2312" w:hAnsi="仿宋_GB2312" w:eastAsia="仿宋_GB2312" w:cs="仿宋_GB2312"/>
          <w:sz w:val="32"/>
          <w:szCs w:val="32"/>
          <w:u w:val="single"/>
        </w:rPr>
      </w:pPr>
      <w:r>
        <w:rPr>
          <w:rFonts w:hint="eastAsia" w:ascii="仿宋" w:hAnsi="仿宋" w:eastAsia="仿宋" w:cs="仿宋"/>
          <w:sz w:val="32"/>
          <w:szCs w:val="32"/>
        </w:rPr>
        <w:t>项目名称：</w:t>
      </w:r>
      <w:r>
        <w:rPr>
          <w:rFonts w:hint="eastAsia" w:ascii="仿宋" w:hAnsi="仿宋" w:eastAsia="仿宋" w:cs="仿宋"/>
          <w:sz w:val="32"/>
          <w:szCs w:val="32"/>
          <w:u w:val="single"/>
          <w:lang w:val="en-US" w:eastAsia="zh-CN"/>
        </w:rPr>
        <w:t>备案主体、代理机构分级分类评价项目</w:t>
      </w:r>
    </w:p>
    <w:p w14:paraId="0D6DF362">
      <w:pPr>
        <w:pStyle w:val="5"/>
        <w:rPr>
          <w:rFonts w:hint="eastAsia" w:ascii="仿宋" w:hAnsi="仿宋" w:eastAsia="仿宋" w:cs="仿宋"/>
          <w:sz w:val="32"/>
          <w:szCs w:val="32"/>
          <w:u w:val="single"/>
        </w:rPr>
      </w:pPr>
      <w:r>
        <w:rPr>
          <w:rFonts w:hint="eastAsia" w:ascii="仿宋" w:hAnsi="仿宋" w:eastAsia="仿宋" w:cs="仿宋"/>
          <w:sz w:val="32"/>
          <w:szCs w:val="32"/>
        </w:rPr>
        <w:t>采购人（甲方）：</w:t>
      </w:r>
      <w:r>
        <w:rPr>
          <w:rFonts w:hint="eastAsia" w:ascii="仿宋" w:hAnsi="仿宋" w:eastAsia="仿宋" w:cs="仿宋"/>
          <w:sz w:val="32"/>
          <w:szCs w:val="32"/>
          <w:u w:val="single"/>
        </w:rPr>
        <w:t xml:space="preserve">陕西省知识产权保护中心               </w:t>
      </w:r>
    </w:p>
    <w:p w14:paraId="4E1EBEE8">
      <w:pPr>
        <w:pStyle w:val="5"/>
        <w:rPr>
          <w:rFonts w:hint="eastAsia" w:ascii="仿宋" w:hAnsi="仿宋" w:eastAsia="仿宋" w:cs="仿宋"/>
          <w:sz w:val="32"/>
          <w:szCs w:val="32"/>
          <w:u w:val="single"/>
        </w:rPr>
      </w:pPr>
      <w:r>
        <w:rPr>
          <w:rFonts w:hint="eastAsia" w:ascii="仿宋" w:hAnsi="仿宋" w:eastAsia="仿宋" w:cs="仿宋"/>
          <w:sz w:val="32"/>
          <w:szCs w:val="32"/>
        </w:rPr>
        <w:t>成交供应商（乙方）：</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0C8EAEFD">
      <w:pPr>
        <w:pStyle w:val="5"/>
        <w:rPr>
          <w:rFonts w:hint="eastAsia" w:ascii="仿宋" w:hAnsi="仿宋" w:eastAsia="仿宋" w:cs="仿宋"/>
          <w:sz w:val="32"/>
          <w:szCs w:val="32"/>
          <w:u w:val="single"/>
        </w:rPr>
      </w:pPr>
      <w:r>
        <w:rPr>
          <w:rFonts w:hint="eastAsia" w:ascii="仿宋" w:hAnsi="仿宋" w:eastAsia="仿宋" w:cs="仿宋"/>
          <w:sz w:val="32"/>
          <w:szCs w:val="32"/>
        </w:rPr>
        <w:t>承担单位地址：</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58DBD82E">
      <w:pPr>
        <w:pStyle w:val="5"/>
        <w:rPr>
          <w:rFonts w:hint="eastAsia" w:ascii="仿宋" w:hAnsi="仿宋" w:eastAsia="仿宋" w:cs="仿宋"/>
          <w:sz w:val="32"/>
          <w:szCs w:val="32"/>
          <w:u w:val="single"/>
        </w:rPr>
      </w:pPr>
      <w:r>
        <w:rPr>
          <w:rFonts w:hint="eastAsia" w:ascii="仿宋" w:hAnsi="仿宋" w:eastAsia="仿宋" w:cs="仿宋"/>
          <w:sz w:val="32"/>
          <w:szCs w:val="32"/>
        </w:rPr>
        <w:t>承担单位项目负责人：</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联系方式：</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0501465D">
      <w:pPr>
        <w:pStyle w:val="5"/>
        <w:ind w:firstLine="640" w:firstLineChars="200"/>
        <w:jc w:val="center"/>
        <w:rPr>
          <w:rFonts w:hint="eastAsia" w:ascii="仿宋" w:hAnsi="仿宋" w:eastAsia="仿宋" w:cs="仿宋"/>
          <w:sz w:val="32"/>
          <w:szCs w:val="32"/>
        </w:rPr>
      </w:pPr>
    </w:p>
    <w:p w14:paraId="1CF5159C">
      <w:pPr>
        <w:rPr>
          <w:rFonts w:hint="eastAsia" w:ascii="仿宋" w:hAnsi="仿宋" w:eastAsia="仿宋" w:cs="仿宋"/>
          <w:sz w:val="32"/>
          <w:szCs w:val="32"/>
        </w:rPr>
      </w:pPr>
      <w:r>
        <w:rPr>
          <w:rFonts w:hint="eastAsia" w:ascii="仿宋" w:hAnsi="仿宋" w:eastAsia="仿宋" w:cs="仿宋"/>
          <w:sz w:val="32"/>
          <w:szCs w:val="32"/>
        </w:rPr>
        <w:br w:type="page"/>
      </w:r>
    </w:p>
    <w:p w14:paraId="7B877ED7">
      <w:pPr>
        <w:pStyle w:val="5"/>
        <w:spacing w:line="480" w:lineRule="exact"/>
        <w:ind w:firstLine="640" w:firstLineChars="200"/>
        <w:jc w:val="left"/>
        <w:rPr>
          <w:rFonts w:hint="eastAsia" w:ascii="仿宋" w:hAnsi="仿宋" w:eastAsia="仿宋" w:cs="仿宋"/>
          <w:sz w:val="32"/>
          <w:szCs w:val="32"/>
        </w:rPr>
      </w:pPr>
      <w:bookmarkStart w:id="0" w:name="_Toc532895264"/>
      <w:r>
        <w:rPr>
          <w:rFonts w:hint="eastAsia" w:ascii="仿宋" w:hAnsi="仿宋" w:eastAsia="仿宋" w:cs="仿宋"/>
          <w:sz w:val="32"/>
          <w:szCs w:val="32"/>
        </w:rPr>
        <w:t>根据《中华人民共和国政府采购法》《中华人民共和国民法典》等有关法律法规规定，</w:t>
      </w:r>
      <w:r>
        <w:rPr>
          <w:rFonts w:hint="eastAsia" w:ascii="仿宋" w:hAnsi="仿宋" w:eastAsia="仿宋" w:cs="仿宋"/>
          <w:sz w:val="32"/>
          <w:szCs w:val="32"/>
          <w:u w:val="single"/>
        </w:rPr>
        <w:t>陕西省知识产权保护中心 （</w:t>
      </w:r>
      <w:r>
        <w:rPr>
          <w:rFonts w:hint="eastAsia" w:ascii="仿宋" w:hAnsi="仿宋" w:eastAsia="仿宋" w:cs="仿宋"/>
          <w:sz w:val="32"/>
          <w:szCs w:val="32"/>
        </w:rPr>
        <w:t>采购人名称）（以下简称：“甲方”）通过</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组织单一来源采购（项目编</w:t>
      </w:r>
      <w:r>
        <w:rPr>
          <w:rFonts w:hint="eastAsia" w:ascii="仿宋" w:hAnsi="仿宋" w:eastAsia="仿宋" w:cs="仿宋"/>
          <w:sz w:val="32"/>
          <w:szCs w:val="32"/>
          <w:lang w:val="en-US" w:eastAsia="zh-CN"/>
        </w:rPr>
        <w:t xml:space="preserve">号：            </w:t>
      </w:r>
      <w:r>
        <w:rPr>
          <w:rFonts w:hint="eastAsia" w:ascii="仿宋" w:hAnsi="仿宋" w:eastAsia="仿宋" w:cs="仿宋"/>
          <w:sz w:val="32"/>
          <w:szCs w:val="32"/>
        </w:rPr>
        <w:t>），确定</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w:t>
      </w:r>
      <w:r>
        <w:rPr>
          <w:rFonts w:hint="eastAsia" w:ascii="仿宋" w:hAnsi="仿宋" w:eastAsia="仿宋" w:cs="仿宋"/>
          <w:sz w:val="32"/>
          <w:szCs w:val="32"/>
        </w:rPr>
        <w:t>供应商名称）（以下简称：“乙方”）为</w:t>
      </w:r>
      <w:r>
        <w:rPr>
          <w:rFonts w:hint="eastAsia" w:ascii="仿宋" w:hAnsi="仿宋" w:eastAsia="仿宋" w:cs="仿宋"/>
          <w:sz w:val="32"/>
          <w:szCs w:val="32"/>
          <w:u w:val="single"/>
          <w:lang w:val="en-US" w:eastAsia="zh-CN"/>
        </w:rPr>
        <w:t>备案主体、代理机构分级分类评价项目</w:t>
      </w:r>
      <w:r>
        <w:rPr>
          <w:rFonts w:hint="eastAsia" w:ascii="仿宋" w:hAnsi="仿宋" w:eastAsia="仿宋" w:cs="仿宋"/>
          <w:sz w:val="32"/>
          <w:szCs w:val="32"/>
        </w:rPr>
        <w:t>的成交供应商。甲乙双方在协商一致的基础上同意签署《</w:t>
      </w:r>
      <w:r>
        <w:rPr>
          <w:rFonts w:hint="eastAsia" w:ascii="仿宋" w:hAnsi="仿宋" w:eastAsia="仿宋" w:cs="仿宋"/>
          <w:sz w:val="32"/>
          <w:szCs w:val="32"/>
          <w:lang w:val="en-US" w:eastAsia="zh-CN"/>
        </w:rPr>
        <w:t>备案主体、代理机构分级分类评价项目</w:t>
      </w:r>
      <w:r>
        <w:rPr>
          <w:rFonts w:hint="eastAsia" w:ascii="仿宋_GB2312" w:hAnsi="仿宋_GB2312" w:eastAsia="仿宋_GB2312" w:cs="仿宋_GB2312"/>
          <w:sz w:val="32"/>
          <w:szCs w:val="32"/>
        </w:rPr>
        <w:t>合同书</w:t>
      </w:r>
      <w:r>
        <w:rPr>
          <w:rFonts w:hint="eastAsia" w:ascii="仿宋" w:hAnsi="仿宋" w:eastAsia="仿宋" w:cs="仿宋"/>
          <w:sz w:val="32"/>
          <w:szCs w:val="32"/>
        </w:rPr>
        <w:t>》以下简称：“合同”）。</w:t>
      </w:r>
    </w:p>
    <w:p w14:paraId="181A0847">
      <w:pPr>
        <w:pStyle w:val="5"/>
        <w:numPr>
          <w:ilvl w:val="0"/>
          <w:numId w:val="1"/>
        </w:numPr>
        <w:spacing w:line="480" w:lineRule="exact"/>
        <w:ind w:left="-10" w:leftChars="0" w:firstLine="640" w:firstLineChars="0"/>
        <w:rPr>
          <w:rFonts w:hint="eastAsia" w:ascii="黑体" w:hAnsi="黑体" w:eastAsia="黑体" w:cs="黑体"/>
          <w:sz w:val="32"/>
          <w:szCs w:val="32"/>
        </w:rPr>
      </w:pPr>
      <w:r>
        <w:rPr>
          <w:rFonts w:hint="eastAsia" w:ascii="黑体" w:hAnsi="黑体" w:eastAsia="黑体" w:cs="黑体"/>
          <w:sz w:val="32"/>
          <w:szCs w:val="32"/>
        </w:rPr>
        <w:t>组成本合同的文件</w:t>
      </w:r>
    </w:p>
    <w:p w14:paraId="39BC3D2C">
      <w:pPr>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下列文件为本合同的组成部分，构成履行本项目的整体要求。如下列文件出现不一致的情形，在保证按照招标文件确定的事项前提下，组成本合同的多份文件的优先适用顺序如下：</w:t>
      </w:r>
    </w:p>
    <w:p w14:paraId="05838F5D">
      <w:pPr>
        <w:pStyle w:val="5"/>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1.合同条款；</w:t>
      </w:r>
    </w:p>
    <w:p w14:paraId="231F961D">
      <w:pPr>
        <w:pStyle w:val="5"/>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2.成交通知书；</w:t>
      </w:r>
    </w:p>
    <w:p w14:paraId="0DCE9A46">
      <w:pPr>
        <w:pStyle w:val="5"/>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3.采购文件；</w:t>
      </w:r>
    </w:p>
    <w:p w14:paraId="4A012AB3">
      <w:pPr>
        <w:pStyle w:val="5"/>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4.响应文件；</w:t>
      </w:r>
    </w:p>
    <w:p w14:paraId="29CFE281">
      <w:pPr>
        <w:pStyle w:val="5"/>
        <w:spacing w:line="480" w:lineRule="exact"/>
        <w:ind w:firstLine="640" w:firstLineChars="200"/>
        <w:rPr>
          <w:sz w:val="32"/>
          <w:szCs w:val="32"/>
        </w:rPr>
      </w:pPr>
      <w:r>
        <w:rPr>
          <w:rFonts w:hint="eastAsia" w:ascii="仿宋_GB2312" w:hAnsi="仿宋_GB2312" w:eastAsia="仿宋_GB2312" w:cs="仿宋_GB2312"/>
          <w:sz w:val="32"/>
          <w:szCs w:val="32"/>
        </w:rPr>
        <w:t>5.其他（根据实际情况需要增加的内容）。</w:t>
      </w:r>
    </w:p>
    <w:p w14:paraId="273141A9">
      <w:pPr>
        <w:pStyle w:val="5"/>
        <w:numPr>
          <w:ilvl w:val="0"/>
          <w:numId w:val="1"/>
        </w:numPr>
        <w:spacing w:line="480" w:lineRule="exact"/>
        <w:ind w:left="-10" w:leftChars="0" w:firstLine="640" w:firstLineChars="0"/>
        <w:rPr>
          <w:rFonts w:hint="eastAsia" w:ascii="黑体" w:hAnsi="黑体" w:eastAsia="黑体" w:cs="黑体"/>
          <w:sz w:val="32"/>
          <w:szCs w:val="32"/>
        </w:rPr>
      </w:pPr>
      <w:r>
        <w:rPr>
          <w:rFonts w:hint="eastAsia" w:ascii="黑体" w:hAnsi="黑体" w:eastAsia="黑体" w:cs="黑体"/>
          <w:sz w:val="32"/>
          <w:szCs w:val="32"/>
        </w:rPr>
        <w:t>项目概况</w:t>
      </w:r>
    </w:p>
    <w:p w14:paraId="27B0BF39">
      <w:pPr>
        <w:pStyle w:val="8"/>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14:paraId="68E3D0AA">
      <w:pPr>
        <w:pStyle w:val="8"/>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系统化实施我省备案主体和代理机构分级分类评价工作，构建“精准管理、动态优化、效能提升”的知识产权服务生态，实现对备案主体和代理机构精准画像与溯源治理。全面掌握其创新实力、服务能力和合规情况</w:t>
      </w:r>
      <w:r>
        <w:rPr>
          <w:rFonts w:hint="eastAsia" w:ascii="仿宋_GB2312" w:hAnsi="仿宋_GB2312" w:eastAsia="仿宋_GB2312" w:cs="仿宋_GB2312"/>
          <w:sz w:val="32"/>
          <w:szCs w:val="32"/>
        </w:rPr>
        <w:t>。</w:t>
      </w:r>
    </w:p>
    <w:p w14:paraId="4146D40E">
      <w:pPr>
        <w:pStyle w:val="8"/>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（二）项目内容</w:t>
      </w:r>
    </w:p>
    <w:p w14:paraId="4B8095C1">
      <w:pPr>
        <w:pStyle w:val="8"/>
        <w:spacing w:line="5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1.分级分类评价实施。根据指标体系采集备案主体及代理机构相关数据，并依据指标体系确定相应等级；及时处理、反馈有异议的评价结果，确保分级结果应用质效。</w:t>
      </w:r>
    </w:p>
    <w:p w14:paraId="20E72D03">
      <w:pPr>
        <w:pStyle w:val="8"/>
        <w:spacing w:line="5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2.分级分类支持与咨询服务。解答创新主体、代理机构关于分级分类评价工作流程、材料要求、填报要求等方面的咨询，保障分级分类评价工作顺利开展。</w:t>
      </w:r>
    </w:p>
    <w:p w14:paraId="6D7CF4AB">
      <w:pPr>
        <w:pStyle w:val="8"/>
        <w:spacing w:line="5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3.工作机制保障。动态开展分级分类评价指标体系、权重分配、评分规则、申诉复核流程以及分级分类管理办法修订工作。</w:t>
      </w:r>
    </w:p>
    <w:p w14:paraId="21C0DE1A">
      <w:pPr>
        <w:pStyle w:val="8"/>
        <w:spacing w:line="50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4.分级分类效能反馈。完成分级分类管理效能分析报告，涵盖评价工作完成情况，备案主体、代理机构等级分布及问题总结、提升建议意见等内容。</w:t>
      </w:r>
    </w:p>
    <w:p w14:paraId="70765F7B">
      <w:pPr>
        <w:spacing w:line="480" w:lineRule="exact"/>
        <w:ind w:firstLine="640" w:firstLineChars="200"/>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三、工作标准</w:t>
      </w:r>
    </w:p>
    <w:p w14:paraId="0D545E22">
      <w:pPr>
        <w:pStyle w:val="8"/>
        <w:spacing w:line="5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数据采集精准、适用，评价过程公开透明，异议处理及时有效，效能分析报告内容全面，意见建议具有可操作性。评价工作能够全面反映备案主体和代理机构的创新实力、服务能力等综合情况。</w:t>
      </w:r>
    </w:p>
    <w:p w14:paraId="0839F2F0">
      <w:pPr>
        <w:pStyle w:val="8"/>
        <w:spacing w:line="5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四、合同签订地点和交付时间</w:t>
      </w:r>
    </w:p>
    <w:p w14:paraId="3229A167">
      <w:pPr>
        <w:pStyle w:val="8"/>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1.合同签订地点：陕西省西安市。</w:t>
      </w:r>
    </w:p>
    <w:p w14:paraId="0221B973">
      <w:pPr>
        <w:pStyle w:val="8"/>
        <w:spacing w:line="500" w:lineRule="exact"/>
        <w:ind w:firstLine="640" w:firstLineChars="200"/>
        <w:rPr>
          <w:sz w:val="32"/>
          <w:szCs w:val="32"/>
        </w:rPr>
      </w:pPr>
      <w:r>
        <w:rPr>
          <w:rFonts w:hint="eastAsia" w:ascii="仿宋_GB2312" w:hAnsi="仿宋_GB2312" w:eastAsia="仿宋_GB2312" w:cs="仿宋_GB2312"/>
          <w:sz w:val="32"/>
          <w:szCs w:val="32"/>
        </w:rPr>
        <w:t>2.合同交付时间：</w:t>
      </w:r>
      <w:r>
        <w:rPr>
          <w:rFonts w:hint="eastAsia" w:ascii="仿宋_GB2312" w:hAnsi="仿宋_GB2312" w:eastAsia="仿宋_GB2312" w:cs="仿宋_GB2312"/>
          <w:color w:val="000000" w:themeColor="text1"/>
          <w:kern w:val="0"/>
          <w:sz w:val="32"/>
          <w:szCs w:val="32"/>
          <w14:textFill>
            <w14:solidFill>
              <w14:schemeClr w14:val="tx1"/>
            </w14:solidFill>
          </w14:textFill>
        </w:rPr>
        <w:t>2025年底前完成</w:t>
      </w:r>
    </w:p>
    <w:p w14:paraId="62D419C3">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五、合同金额及付款方式</w:t>
      </w:r>
    </w:p>
    <w:p w14:paraId="7DED3564">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（一）合同金额</w:t>
      </w:r>
    </w:p>
    <w:p w14:paraId="10262F39">
      <w:pPr>
        <w:pStyle w:val="5"/>
        <w:spacing w:line="480" w:lineRule="exact"/>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本合同总金额为人民币</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元（大写）（</w:t>
      </w:r>
      <w:r>
        <w:rPr>
          <w:rFonts w:hint="eastAsia" w:ascii="仿宋" w:hAnsi="仿宋" w:eastAsia="仿宋" w:cs="仿宋"/>
          <w:sz w:val="32"/>
          <w:szCs w:val="32"/>
        </w:rPr>
        <w:t>￥_</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_）。本合同金额已包含但不限于乙方为提供服务所产生的全部成本、预期利益、售后服务、税费和合同中规定乙方应承担的其他义务的费用等。</w:t>
      </w:r>
    </w:p>
    <w:p w14:paraId="23EE54C8">
      <w:pPr>
        <w:pStyle w:val="5"/>
        <w:spacing w:line="48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（二）付款方式</w:t>
      </w:r>
    </w:p>
    <w:p w14:paraId="0937438B">
      <w:pPr>
        <w:pStyle w:val="5"/>
        <w:spacing w:line="48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合同签订后，达到付款条件起 15日内，支付合同总金额的 100.00%</w:t>
      </w:r>
      <w:r>
        <w:rPr>
          <w:rFonts w:hint="eastAsia" w:ascii="仿宋" w:hAnsi="仿宋" w:eastAsia="仿宋" w:cs="仿宋"/>
          <w:color w:val="000000"/>
          <w:sz w:val="32"/>
          <w:szCs w:val="32"/>
          <w:lang w:eastAsia="zh-CN"/>
        </w:rPr>
        <w:t>。</w:t>
      </w:r>
    </w:p>
    <w:p w14:paraId="754D933F">
      <w:pPr>
        <w:pStyle w:val="5"/>
        <w:spacing w:line="48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.乙方应于甲方每次付款前向甲方开具等额发票。</w:t>
      </w:r>
    </w:p>
    <w:p w14:paraId="3C16E0C8">
      <w:pPr>
        <w:ind w:firstLine="64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.支付方式：</w:t>
      </w:r>
      <w:bookmarkStart w:id="1" w:name="_GoBack"/>
      <w:bookmarkEnd w:id="1"/>
    </w:p>
    <w:p w14:paraId="54BA2D19">
      <w:pPr>
        <w:pStyle w:val="8"/>
        <w:spacing w:line="480" w:lineRule="exact"/>
        <w:ind w:firstLine="640"/>
        <w:rPr>
          <w:rFonts w:hint="eastAsia" w:ascii="仿宋" w:hAnsi="仿宋" w:eastAsia="仿宋" w:cs="仿宋"/>
          <w:color w:val="000000"/>
          <w:sz w:val="32"/>
          <w:szCs w:val="32"/>
          <w:lang w:eastAsia="zh-CN"/>
        </w:rPr>
      </w:pPr>
      <w:r>
        <w:rPr>
          <w:rFonts w:ascii="仿宋" w:hAnsi="仿宋" w:eastAsia="仿宋" w:cs="仿宋"/>
          <w:color w:val="000000"/>
          <w:sz w:val="32"/>
          <w:szCs w:val="32"/>
        </w:rPr>
        <w:t>单位名称：</w:t>
      </w:r>
      <w:r>
        <w:rPr>
          <w:rFonts w:hint="eastAsia" w:ascii="仿宋" w:hAnsi="仿宋" w:eastAsia="仿宋" w:cs="仿宋"/>
          <w:color w:val="000000"/>
          <w:sz w:val="32"/>
          <w:szCs w:val="32"/>
          <w:lang w:val="en-US" w:eastAsia="zh-CN"/>
        </w:rPr>
        <w:t xml:space="preserve"> </w:t>
      </w:r>
    </w:p>
    <w:p w14:paraId="05610D20">
      <w:pPr>
        <w:pStyle w:val="8"/>
        <w:spacing w:line="480" w:lineRule="exact"/>
        <w:ind w:firstLine="640"/>
        <w:rPr>
          <w:rFonts w:hint="eastAsia" w:ascii="仿宋" w:hAnsi="仿宋" w:eastAsia="仿宋" w:cs="仿宋"/>
          <w:color w:val="000000"/>
          <w:sz w:val="32"/>
          <w:szCs w:val="32"/>
          <w:lang w:eastAsia="zh-CN"/>
        </w:rPr>
      </w:pPr>
      <w:r>
        <w:rPr>
          <w:rFonts w:ascii="仿宋" w:hAnsi="仿宋" w:eastAsia="仿宋" w:cs="仿宋"/>
          <w:color w:val="000000"/>
          <w:sz w:val="32"/>
          <w:szCs w:val="32"/>
        </w:rPr>
        <w:t>开 户 行：</w:t>
      </w:r>
      <w:r>
        <w:rPr>
          <w:rFonts w:hint="eastAsia" w:ascii="仿宋" w:hAnsi="仿宋" w:eastAsia="仿宋" w:cs="仿宋"/>
          <w:color w:val="000000"/>
          <w:sz w:val="32"/>
          <w:szCs w:val="32"/>
          <w:lang w:val="en-US" w:eastAsia="zh-CN"/>
        </w:rPr>
        <w:t xml:space="preserve"> </w:t>
      </w:r>
    </w:p>
    <w:p w14:paraId="77412D75">
      <w:pPr>
        <w:pStyle w:val="8"/>
        <w:spacing w:line="480" w:lineRule="exact"/>
        <w:ind w:firstLine="640"/>
        <w:rPr>
          <w:rFonts w:hint="eastAsia" w:ascii="仿宋" w:hAnsi="仿宋" w:eastAsia="仿宋" w:cs="仿宋"/>
          <w:color w:val="000000"/>
          <w:sz w:val="32"/>
          <w:szCs w:val="32"/>
          <w:lang w:eastAsia="zh-CN"/>
        </w:rPr>
      </w:pPr>
      <w:r>
        <w:rPr>
          <w:rFonts w:ascii="仿宋" w:hAnsi="仿宋" w:eastAsia="仿宋" w:cs="仿宋"/>
          <w:color w:val="000000"/>
          <w:sz w:val="32"/>
          <w:szCs w:val="32"/>
        </w:rPr>
        <w:t>银行</w:t>
      </w:r>
      <w:r>
        <w:rPr>
          <w:rFonts w:hint="eastAsia" w:ascii="仿宋" w:hAnsi="仿宋" w:eastAsia="仿宋" w:cs="仿宋"/>
          <w:color w:val="000000"/>
          <w:sz w:val="32"/>
          <w:szCs w:val="32"/>
        </w:rPr>
        <w:t>账</w:t>
      </w:r>
      <w:r>
        <w:rPr>
          <w:rFonts w:ascii="仿宋" w:hAnsi="仿宋" w:eastAsia="仿宋" w:cs="仿宋"/>
          <w:color w:val="000000"/>
          <w:sz w:val="32"/>
          <w:szCs w:val="32"/>
        </w:rPr>
        <w:t>号：</w:t>
      </w:r>
      <w:r>
        <w:rPr>
          <w:rFonts w:hint="eastAsia" w:ascii="仿宋" w:hAnsi="仿宋" w:eastAsia="仿宋" w:cs="仿宋"/>
          <w:color w:val="000000"/>
          <w:sz w:val="32"/>
          <w:szCs w:val="32"/>
          <w:lang w:val="en-US" w:eastAsia="zh-CN"/>
        </w:rPr>
        <w:t xml:space="preserve"> </w:t>
      </w:r>
    </w:p>
    <w:p w14:paraId="1A79E17C">
      <w:pPr>
        <w:pStyle w:val="8"/>
        <w:spacing w:line="480" w:lineRule="exact"/>
        <w:ind w:firstLine="640"/>
        <w:rPr>
          <w:rFonts w:hint="eastAsia" w:ascii="仿宋" w:hAnsi="仿宋" w:eastAsia="仿宋" w:cs="仿宋"/>
          <w:color w:val="000000"/>
          <w:sz w:val="32"/>
          <w:szCs w:val="32"/>
          <w:lang w:eastAsia="zh-CN"/>
        </w:rPr>
      </w:pPr>
      <w:r>
        <w:rPr>
          <w:rFonts w:ascii="仿宋" w:hAnsi="仿宋" w:eastAsia="仿宋" w:cs="仿宋"/>
          <w:color w:val="000000"/>
          <w:sz w:val="32"/>
          <w:szCs w:val="32"/>
        </w:rPr>
        <w:t>税    号：</w:t>
      </w:r>
      <w:r>
        <w:rPr>
          <w:rFonts w:hint="eastAsia" w:ascii="仿宋" w:hAnsi="仿宋" w:eastAsia="仿宋" w:cs="仿宋"/>
          <w:color w:val="000000"/>
          <w:sz w:val="32"/>
          <w:szCs w:val="32"/>
          <w:lang w:val="en-US" w:eastAsia="zh-CN"/>
        </w:rPr>
        <w:t xml:space="preserve"> </w:t>
      </w:r>
    </w:p>
    <w:p w14:paraId="50CC0ED0">
      <w:pPr>
        <w:pStyle w:val="8"/>
        <w:spacing w:line="480" w:lineRule="exact"/>
        <w:ind w:firstLine="640"/>
        <w:rPr>
          <w:rFonts w:hint="eastAsia" w:eastAsia="仿宋"/>
          <w:lang w:eastAsia="zh-CN"/>
        </w:rPr>
      </w:pPr>
      <w:r>
        <w:rPr>
          <w:rFonts w:ascii="仿宋" w:hAnsi="仿宋" w:eastAsia="仿宋" w:cs="仿宋"/>
          <w:color w:val="000000"/>
          <w:sz w:val="32"/>
          <w:szCs w:val="32"/>
        </w:rPr>
        <w:t>办公地址：</w:t>
      </w:r>
      <w:r>
        <w:rPr>
          <w:rFonts w:hint="eastAsia" w:ascii="仿宋" w:hAnsi="仿宋" w:eastAsia="仿宋" w:cs="仿宋"/>
          <w:color w:val="000000"/>
          <w:sz w:val="32"/>
          <w:szCs w:val="32"/>
          <w:lang w:val="en-US" w:eastAsia="zh-CN"/>
        </w:rPr>
        <w:t xml:space="preserve">  </w:t>
      </w:r>
    </w:p>
    <w:p w14:paraId="3F612751">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六、双方权利义务</w:t>
      </w:r>
    </w:p>
    <w:p w14:paraId="0D2E1B88">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（一）甲方的权利与义务</w:t>
      </w:r>
    </w:p>
    <w:p w14:paraId="3CE2E05C">
      <w:pPr>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1.甲方在项目执行过程中应该明确项目实施的具体要求，为乙方提供必要的工作便利与指导，确保乙方项目实施符合项目实施目的和标准要求。</w:t>
      </w:r>
    </w:p>
    <w:p w14:paraId="66C60CDA">
      <w:pPr>
        <w:spacing w:line="480" w:lineRule="exact"/>
        <w:rPr>
          <w:rFonts w:hint="eastAsia" w:ascii="仿宋" w:hAnsi="仿宋" w:eastAsia="仿宋" w:cs="仿宋"/>
          <w:sz w:val="32"/>
          <w:szCs w:val="32"/>
        </w:rPr>
      </w:pPr>
      <w:r>
        <w:rPr>
          <w:rFonts w:hint="eastAsia" w:ascii="仿宋" w:hAnsi="仿宋" w:eastAsia="仿宋" w:cs="仿宋"/>
          <w:sz w:val="32"/>
          <w:szCs w:val="32"/>
        </w:rPr>
        <w:t xml:space="preserve">    2.甲方有权监督乙方合同的履行情况，发现项目实施过程中出现问题的，有权提出纠正意见，乙方拒不履行甲方纠正意见的，视同乙方违约并应承担相应的违约责任。</w:t>
      </w:r>
    </w:p>
    <w:p w14:paraId="56E7E275">
      <w:pPr>
        <w:pStyle w:val="8"/>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3.甲方应在乙方完成相关服务工作后及时对服务质量、技术指标、服务成果进行验收。</w:t>
      </w:r>
    </w:p>
    <w:p w14:paraId="18E7857D">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4.甲方应按照合同规定的付款方式和时间支付乙方的服务费用。</w:t>
      </w:r>
    </w:p>
    <w:p w14:paraId="04F8BDDE">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（二）乙方的权利义务</w:t>
      </w:r>
    </w:p>
    <w:p w14:paraId="55989CA1">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1.乙方应保证所提供的服务，符合合同规定的技术要求。如不符时，乙方应负全责并尽快处理解决，由此造成的损失和相关费用由乙方负责。</w:t>
      </w:r>
    </w:p>
    <w:p w14:paraId="5ABDA20E">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2.乙方应保证通过执行项目方案，可以取得本合同规定的结果，达到本合同规定的预期目标。</w:t>
      </w:r>
    </w:p>
    <w:p w14:paraId="37FEDD8F">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3.乙方在项目实施过程中，应配备相应的具有专业能力的工作人员，项目实施过程建立项目重要阶段向甲方报告，确保项目实施与要求不出现偏离。</w:t>
      </w:r>
    </w:p>
    <w:p w14:paraId="4786950F">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4.乙方应按照合同要求，完成项目后积极参加甲方组织的项目验收，完成验收工作。</w:t>
      </w:r>
    </w:p>
    <w:p w14:paraId="11113FB0">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5.乙方应保证所提供的服务免受第三方提出侵犯其知识产权（专利权、商标权、版权等）的起诉。</w:t>
      </w:r>
    </w:p>
    <w:p w14:paraId="5DC4F13E">
      <w:pPr>
        <w:pStyle w:val="5"/>
        <w:spacing w:line="480" w:lineRule="exact"/>
        <w:ind w:firstLine="640" w:firstLineChars="200"/>
        <w:rPr>
          <w:rFonts w:hint="eastAsia" w:ascii="仿宋" w:hAnsi="仿宋" w:eastAsia="仿宋" w:cs="仿宋"/>
          <w:sz w:val="32"/>
          <w:szCs w:val="32"/>
        </w:rPr>
      </w:pPr>
      <w:r>
        <w:rPr>
          <w:rFonts w:hint="eastAsia"/>
          <w:sz w:val="32"/>
          <w:szCs w:val="32"/>
        </w:rPr>
        <w:t xml:space="preserve"> </w:t>
      </w:r>
      <w:r>
        <w:rPr>
          <w:rFonts w:hint="eastAsia" w:ascii="黑体" w:hAnsi="黑体" w:eastAsia="黑体" w:cs="黑体"/>
          <w:sz w:val="32"/>
          <w:szCs w:val="32"/>
        </w:rPr>
        <w:t>七、保密条款</w:t>
      </w:r>
    </w:p>
    <w:p w14:paraId="6767BB1A">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1.甲乙双方应对在本合同签订或履行过程中所接触的对方信息，包括但不限于知识产权、技术资料、内部管理及其他相关信息，负有保密义务。</w:t>
      </w:r>
    </w:p>
    <w:p w14:paraId="1181BDA6">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2.乙方在使用甲方为乙方及其工作人员提供的数据资料及甲方相关的业务和技术文档应遵循审慎态度避免泄漏。</w:t>
      </w:r>
    </w:p>
    <w:p w14:paraId="39553DAE">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3.甲乙双方如出现泄密行为，泄密方应承担相关的法律责任，包括但不限于对由此给对方造成的经济损失进行赔偿。</w:t>
      </w:r>
    </w:p>
    <w:p w14:paraId="162C14C7">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八、违约责任</w:t>
      </w:r>
    </w:p>
    <w:p w14:paraId="3425E498">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1.如乙方提供的服务不符合本合同约定以及响应文件关于服务的要求和承诺，乙方应承担违约责任。</w:t>
      </w:r>
    </w:p>
    <w:p w14:paraId="2CBF6DF1">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2.在履行合同过程中，如乙方遇到可能妨碍按时提供服务的情形时，应及时将迟延的事实、可能迟延的期限和理由通知甲方。甲方在收到乙方通知后，应尽快对情况进行评价，并确定是否同意延期提供服务。</w:t>
      </w:r>
    </w:p>
    <w:p w14:paraId="46E97E68">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除甲乙双方另有约定外，如乙方没有按照合同规定的时间提供服务，且没有在甲方同意的延长的期限内进行补救时，甲方有权要求乙方赔偿。赔偿费每日按合同金额的0.5%计收，直至交货或提供服务为止。但误期赔偿费的最高限额不超过合同价的15%。</w:t>
      </w:r>
    </w:p>
    <w:p w14:paraId="06A33D0B">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4.甲乙双方在合同履行过程中，守约方有权终止全部或部分合同。由违约一方支付违约金，违约金不足以弥补守约方实际损失、可预见或者应当预见的损失，由违约方全额予以赔偿。</w:t>
      </w:r>
    </w:p>
    <w:p w14:paraId="3F6979A1">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九、不可抗力</w:t>
      </w:r>
    </w:p>
    <w:p w14:paraId="4C6BFCE4">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1.如果合同双方因不可抗力而导致合同实施延误或合同无法实施，不应该承担误期赔偿或不能履行合同义务的责任。</w:t>
      </w:r>
    </w:p>
    <w:p w14:paraId="65D183C7">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2.本条所述的“不可抗力”系指那些双方不可预见、不可避免、不可克服的客观情况，但不包括双方的违约或疏忽。这些事件包括但不限于：战争、严重火灾、洪水、台风、地震等。</w:t>
      </w:r>
    </w:p>
    <w:p w14:paraId="31B9580A">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十、合同纠纷的解决方式</w:t>
      </w:r>
    </w:p>
    <w:p w14:paraId="2E733CF1">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1.合同各方应通过友好协商，解决在执行合同过程中所发生的或与合同有关的一切争端。如协商30日内不能解决，应由</w:t>
      </w:r>
      <w:r>
        <w:rPr>
          <w:rFonts w:hint="eastAsia" w:ascii="仿宋" w:hAnsi="仿宋" w:eastAsia="仿宋" w:cs="仿宋"/>
          <w:sz w:val="32"/>
          <w:szCs w:val="32"/>
          <w:u w:val="single"/>
        </w:rPr>
        <w:t>甲方住所地</w:t>
      </w:r>
      <w:r>
        <w:rPr>
          <w:rFonts w:hint="eastAsia" w:ascii="仿宋" w:hAnsi="仿宋" w:eastAsia="仿宋" w:cs="仿宋"/>
          <w:sz w:val="32"/>
          <w:szCs w:val="32"/>
        </w:rPr>
        <w:t>人民法院管辖，受理双方合同争议诉讼。</w:t>
      </w:r>
    </w:p>
    <w:p w14:paraId="15F5C411">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十一、合同修改或变更</w:t>
      </w:r>
    </w:p>
    <w:p w14:paraId="106F83D7">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1.如无重大变故，甲乙双方不得擅自变更合同。</w:t>
      </w:r>
    </w:p>
    <w:p w14:paraId="21218368">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2.如确需变更合同，甲乙双方应签署书面变更协议。变更协议为本合同不可分割的一部分。</w:t>
      </w:r>
    </w:p>
    <w:p w14:paraId="1DBAFE61">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3.在不改变合同其他条款的前提下，甲方有权在合同价款10%的范围内追加与合同标的相同的货物或服务，并就此与乙方签订补充合同，乙方不得拒绝。</w:t>
      </w:r>
    </w:p>
    <w:p w14:paraId="29BDA1A9">
      <w:pPr>
        <w:pStyle w:val="5"/>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十二、合同生效和效力</w:t>
      </w:r>
    </w:p>
    <w:p w14:paraId="6AEFA2BD">
      <w:pPr>
        <w:pStyle w:val="5"/>
        <w:spacing w:line="4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本合同一式肆份，甲方执贰份、乙方执壹份、采购代理机构（见证方）执壹份。在甲、乙双方签字盖章后生效。</w:t>
      </w:r>
    </w:p>
    <w:p w14:paraId="06431E68">
      <w:pPr>
        <w:rPr>
          <w:rFonts w:hint="eastAsia" w:ascii="仿宋" w:hAnsi="仿宋" w:eastAsia="仿宋" w:cs="仿宋"/>
          <w:sz w:val="32"/>
          <w:szCs w:val="32"/>
        </w:rPr>
      </w:pPr>
    </w:p>
    <w:tbl>
      <w:tblPr>
        <w:tblStyle w:val="11"/>
        <w:tblW w:w="9146" w:type="dxa"/>
        <w:tblInd w:w="-251" w:type="dxa"/>
        <w:tblLayout w:type="autofit"/>
        <w:tblCellMar>
          <w:top w:w="0" w:type="dxa"/>
          <w:left w:w="108" w:type="dxa"/>
          <w:bottom w:w="0" w:type="dxa"/>
          <w:right w:w="108" w:type="dxa"/>
        </w:tblCellMar>
      </w:tblPr>
      <w:tblGrid>
        <w:gridCol w:w="4893"/>
        <w:gridCol w:w="4253"/>
      </w:tblGrid>
      <w:tr w14:paraId="26B52091">
        <w:tblPrEx>
          <w:tblCellMar>
            <w:top w:w="0" w:type="dxa"/>
            <w:left w:w="108" w:type="dxa"/>
            <w:bottom w:w="0" w:type="dxa"/>
            <w:right w:w="108" w:type="dxa"/>
          </w:tblCellMar>
        </w:tblPrEx>
        <w:trPr>
          <w:trHeight w:val="390" w:hRule="atLeast"/>
        </w:trPr>
        <w:tc>
          <w:tcPr>
            <w:tcW w:w="4893" w:type="dxa"/>
            <w:tcBorders>
              <w:top w:val="single" w:color="auto" w:sz="8" w:space="0"/>
              <w:left w:val="single" w:color="auto" w:sz="8" w:space="0"/>
              <w:bottom w:val="single" w:color="auto" w:sz="8" w:space="0"/>
              <w:right w:val="single" w:color="auto" w:sz="8" w:space="0"/>
            </w:tcBorders>
            <w:vAlign w:val="center"/>
          </w:tcPr>
          <w:p w14:paraId="57F22511">
            <w:pPr>
              <w:widowControl/>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甲  方：陕西省知识产权保护中心</w:t>
            </w:r>
          </w:p>
        </w:tc>
        <w:tc>
          <w:tcPr>
            <w:tcW w:w="4253" w:type="dxa"/>
            <w:tcBorders>
              <w:top w:val="single" w:color="auto" w:sz="8" w:space="0"/>
              <w:left w:val="nil"/>
              <w:bottom w:val="single" w:color="auto" w:sz="8" w:space="0"/>
              <w:right w:val="single" w:color="auto" w:sz="8" w:space="0"/>
            </w:tcBorders>
            <w:vAlign w:val="center"/>
          </w:tcPr>
          <w:p w14:paraId="7F84DA3C">
            <w:pPr>
              <w:widowControl/>
              <w:spacing w:line="480" w:lineRule="exact"/>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乙  方：</w:t>
            </w:r>
            <w:r>
              <w:rPr>
                <w:rFonts w:hint="eastAsia" w:ascii="仿宋" w:hAnsi="仿宋" w:eastAsia="仿宋" w:cs="仿宋"/>
                <w:color w:val="000000"/>
                <w:kern w:val="0"/>
                <w:sz w:val="32"/>
                <w:szCs w:val="32"/>
                <w:lang w:val="en-US" w:eastAsia="zh-CN"/>
              </w:rPr>
              <w:t xml:space="preserve"> </w:t>
            </w:r>
          </w:p>
        </w:tc>
      </w:tr>
      <w:tr w14:paraId="7A4CAD4E">
        <w:tblPrEx>
          <w:tblCellMar>
            <w:top w:w="0" w:type="dxa"/>
            <w:left w:w="108" w:type="dxa"/>
            <w:bottom w:w="0" w:type="dxa"/>
            <w:right w:w="108" w:type="dxa"/>
          </w:tblCellMar>
        </w:tblPrEx>
        <w:trPr>
          <w:trHeight w:val="735" w:hRule="atLeast"/>
        </w:trPr>
        <w:tc>
          <w:tcPr>
            <w:tcW w:w="4893" w:type="dxa"/>
            <w:vMerge w:val="restart"/>
            <w:tcBorders>
              <w:top w:val="nil"/>
              <w:left w:val="single" w:color="auto" w:sz="8" w:space="0"/>
              <w:bottom w:val="single" w:color="000000" w:sz="8" w:space="0"/>
              <w:right w:val="single" w:color="auto" w:sz="8" w:space="0"/>
            </w:tcBorders>
            <w:vAlign w:val="center"/>
          </w:tcPr>
          <w:p w14:paraId="0DAF1C64">
            <w:pPr>
              <w:widowControl/>
              <w:spacing w:line="480" w:lineRule="exact"/>
              <w:jc w:val="center"/>
            </w:pPr>
          </w:p>
          <w:p w14:paraId="11E0E745">
            <w:pPr>
              <w:widowControl/>
              <w:spacing w:line="480" w:lineRule="exact"/>
              <w:jc w:val="center"/>
              <w:rPr>
                <w:rFonts w:hint="eastAsia" w:ascii="仿宋" w:hAnsi="仿宋" w:eastAsia="仿宋" w:cs="仿宋"/>
                <w:color w:val="000000"/>
                <w:kern w:val="0"/>
                <w:sz w:val="32"/>
                <w:szCs w:val="32"/>
              </w:rPr>
            </w:pPr>
          </w:p>
          <w:p w14:paraId="7C150BB8">
            <w:pPr>
              <w:widowControl/>
              <w:spacing w:line="480" w:lineRule="exact"/>
              <w:jc w:val="center"/>
              <w:rPr>
                <w:rFonts w:hint="eastAsia" w:ascii="仿宋" w:hAnsi="仿宋" w:eastAsia="仿宋" w:cs="仿宋"/>
                <w:color w:val="000000"/>
                <w:kern w:val="0"/>
                <w:sz w:val="32"/>
                <w:szCs w:val="32"/>
              </w:rPr>
            </w:pPr>
          </w:p>
          <w:p w14:paraId="4E6F80E3">
            <w:pPr>
              <w:widowControl/>
              <w:spacing w:line="480" w:lineRule="exact"/>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（盖章）</w:t>
            </w:r>
          </w:p>
          <w:p w14:paraId="26B065CC">
            <w:pPr>
              <w:pStyle w:val="8"/>
              <w:ind w:left="0" w:leftChars="0"/>
            </w:pPr>
          </w:p>
          <w:p w14:paraId="583E1B13"/>
        </w:tc>
        <w:tc>
          <w:tcPr>
            <w:tcW w:w="4253" w:type="dxa"/>
            <w:tcBorders>
              <w:top w:val="nil"/>
              <w:left w:val="nil"/>
              <w:bottom w:val="nil"/>
              <w:right w:val="single" w:color="auto" w:sz="8" w:space="0"/>
            </w:tcBorders>
            <w:vAlign w:val="center"/>
          </w:tcPr>
          <w:p w14:paraId="61A18B2E">
            <w:pPr>
              <w:widowControl/>
              <w:spacing w:line="480" w:lineRule="exact"/>
              <w:jc w:val="center"/>
              <w:rPr>
                <w:rFonts w:hint="eastAsia" w:ascii="仿宋" w:hAnsi="仿宋" w:eastAsia="仿宋" w:cs="仿宋"/>
                <w:color w:val="000000"/>
                <w:kern w:val="0"/>
                <w:sz w:val="32"/>
                <w:szCs w:val="32"/>
              </w:rPr>
            </w:pPr>
          </w:p>
          <w:p w14:paraId="0D655767">
            <w:pPr>
              <w:widowControl/>
              <w:spacing w:line="480" w:lineRule="exact"/>
              <w:jc w:val="center"/>
              <w:rPr>
                <w:rFonts w:hint="eastAsia" w:ascii="仿宋" w:hAnsi="仿宋" w:eastAsia="仿宋" w:cs="仿宋"/>
                <w:color w:val="000000"/>
                <w:kern w:val="0"/>
                <w:sz w:val="32"/>
                <w:szCs w:val="32"/>
              </w:rPr>
            </w:pPr>
          </w:p>
          <w:p w14:paraId="03D6CF48">
            <w:pPr>
              <w:widowControl/>
              <w:spacing w:line="480" w:lineRule="exact"/>
              <w:jc w:val="center"/>
              <w:rPr>
                <w:rFonts w:hint="eastAsia" w:ascii="仿宋" w:hAnsi="仿宋" w:eastAsia="仿宋" w:cs="仿宋"/>
                <w:color w:val="000000"/>
                <w:kern w:val="0"/>
                <w:sz w:val="32"/>
                <w:szCs w:val="32"/>
              </w:rPr>
            </w:pPr>
          </w:p>
          <w:p w14:paraId="62DAADDC">
            <w:pPr>
              <w:widowControl/>
              <w:spacing w:line="480" w:lineRule="exact"/>
              <w:jc w:val="center"/>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（盖章）</w:t>
            </w:r>
          </w:p>
        </w:tc>
      </w:tr>
      <w:tr w14:paraId="71F0904D">
        <w:tblPrEx>
          <w:tblCellMar>
            <w:top w:w="0" w:type="dxa"/>
            <w:left w:w="108" w:type="dxa"/>
            <w:bottom w:w="0" w:type="dxa"/>
            <w:right w:w="108" w:type="dxa"/>
          </w:tblCellMar>
        </w:tblPrEx>
        <w:trPr>
          <w:trHeight w:val="235" w:hRule="atLeast"/>
        </w:trPr>
        <w:tc>
          <w:tcPr>
            <w:tcW w:w="4893" w:type="dxa"/>
            <w:vMerge w:val="continue"/>
            <w:tcBorders>
              <w:top w:val="nil"/>
              <w:left w:val="single" w:color="auto" w:sz="8" w:space="0"/>
              <w:bottom w:val="single" w:color="000000" w:sz="8" w:space="0"/>
              <w:right w:val="single" w:color="auto" w:sz="8" w:space="0"/>
            </w:tcBorders>
            <w:vAlign w:val="center"/>
          </w:tcPr>
          <w:p w14:paraId="6AA1881D">
            <w:pPr>
              <w:widowControl/>
              <w:spacing w:line="480" w:lineRule="exact"/>
              <w:jc w:val="left"/>
              <w:rPr>
                <w:rFonts w:hint="eastAsia" w:ascii="仿宋" w:hAnsi="仿宋" w:eastAsia="仿宋" w:cs="仿宋"/>
                <w:color w:val="000000"/>
                <w:kern w:val="0"/>
                <w:sz w:val="32"/>
                <w:szCs w:val="32"/>
              </w:rPr>
            </w:pPr>
          </w:p>
        </w:tc>
        <w:tc>
          <w:tcPr>
            <w:tcW w:w="4253" w:type="dxa"/>
            <w:tcBorders>
              <w:top w:val="nil"/>
              <w:left w:val="nil"/>
              <w:bottom w:val="single" w:color="auto" w:sz="8" w:space="0"/>
              <w:right w:val="single" w:color="auto" w:sz="8" w:space="0"/>
            </w:tcBorders>
            <w:vAlign w:val="center"/>
          </w:tcPr>
          <w:p w14:paraId="51EFA743">
            <w:pPr>
              <w:widowControl/>
              <w:spacing w:line="480" w:lineRule="exact"/>
              <w:jc w:val="center"/>
              <w:rPr>
                <w:rFonts w:hint="eastAsia" w:ascii="仿宋" w:hAnsi="仿宋" w:eastAsia="仿宋" w:cs="仿宋"/>
                <w:color w:val="000000"/>
                <w:kern w:val="0"/>
                <w:sz w:val="32"/>
                <w:szCs w:val="32"/>
              </w:rPr>
            </w:pPr>
          </w:p>
        </w:tc>
      </w:tr>
      <w:tr w14:paraId="0DC7BDAE">
        <w:tblPrEx>
          <w:tblCellMar>
            <w:top w:w="0" w:type="dxa"/>
            <w:left w:w="108" w:type="dxa"/>
            <w:bottom w:w="0" w:type="dxa"/>
            <w:right w:w="108" w:type="dxa"/>
          </w:tblCellMar>
        </w:tblPrEx>
        <w:trPr>
          <w:trHeight w:val="390" w:hRule="atLeast"/>
        </w:trPr>
        <w:tc>
          <w:tcPr>
            <w:tcW w:w="4893" w:type="dxa"/>
            <w:tcBorders>
              <w:top w:val="nil"/>
              <w:left w:val="single" w:color="auto" w:sz="8" w:space="0"/>
              <w:bottom w:val="single" w:color="auto" w:sz="8" w:space="0"/>
              <w:right w:val="single" w:color="auto" w:sz="8" w:space="0"/>
            </w:tcBorders>
            <w:vAlign w:val="center"/>
          </w:tcPr>
          <w:p w14:paraId="34DCC772">
            <w:pPr>
              <w:pStyle w:val="5"/>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地址：</w:t>
            </w:r>
          </w:p>
          <w:p w14:paraId="14DC226E">
            <w:pPr>
              <w:widowControl/>
              <w:spacing w:line="480" w:lineRule="exact"/>
              <w:jc w:val="left"/>
              <w:rPr>
                <w:rFonts w:hint="eastAsia" w:ascii="仿宋" w:hAnsi="仿宋" w:eastAsia="仿宋" w:cs="仿宋"/>
                <w:color w:val="000000"/>
                <w:kern w:val="0"/>
                <w:sz w:val="32"/>
                <w:szCs w:val="32"/>
              </w:rPr>
            </w:pPr>
          </w:p>
        </w:tc>
        <w:tc>
          <w:tcPr>
            <w:tcW w:w="4253" w:type="dxa"/>
            <w:tcBorders>
              <w:top w:val="nil"/>
              <w:left w:val="nil"/>
              <w:bottom w:val="single" w:color="auto" w:sz="8" w:space="0"/>
              <w:right w:val="single" w:color="auto" w:sz="8" w:space="0"/>
            </w:tcBorders>
            <w:vAlign w:val="center"/>
          </w:tcPr>
          <w:p w14:paraId="5C218A69">
            <w:pPr>
              <w:widowControl/>
              <w:spacing w:line="480" w:lineRule="exact"/>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w:t>
            </w:r>
            <w:r>
              <w:rPr>
                <w:rFonts w:hint="eastAsia" w:ascii="仿宋" w:hAnsi="仿宋" w:eastAsia="仿宋" w:cs="仿宋"/>
                <w:color w:val="000000"/>
                <w:kern w:val="0"/>
                <w:sz w:val="32"/>
                <w:szCs w:val="32"/>
                <w:lang w:val="en-US" w:eastAsia="zh-CN"/>
              </w:rPr>
              <w:t xml:space="preserve"> </w:t>
            </w:r>
          </w:p>
        </w:tc>
      </w:tr>
      <w:tr w14:paraId="122C82EF">
        <w:tblPrEx>
          <w:tblCellMar>
            <w:top w:w="0" w:type="dxa"/>
            <w:left w:w="108" w:type="dxa"/>
            <w:bottom w:w="0" w:type="dxa"/>
            <w:right w:w="108" w:type="dxa"/>
          </w:tblCellMar>
        </w:tblPrEx>
        <w:trPr>
          <w:trHeight w:val="390" w:hRule="atLeast"/>
        </w:trPr>
        <w:tc>
          <w:tcPr>
            <w:tcW w:w="4893" w:type="dxa"/>
            <w:tcBorders>
              <w:top w:val="nil"/>
              <w:left w:val="single" w:color="auto" w:sz="8" w:space="0"/>
              <w:bottom w:val="single" w:color="auto" w:sz="8" w:space="0"/>
              <w:right w:val="single" w:color="auto" w:sz="8" w:space="0"/>
            </w:tcBorders>
            <w:vAlign w:val="center"/>
          </w:tcPr>
          <w:p w14:paraId="42C48664">
            <w:pPr>
              <w:widowControl/>
              <w:spacing w:line="480" w:lineRule="exact"/>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邮编：</w:t>
            </w:r>
            <w:r>
              <w:rPr>
                <w:rFonts w:hint="eastAsia" w:ascii="仿宋" w:hAnsi="仿宋" w:eastAsia="仿宋" w:cs="仿宋"/>
                <w:color w:val="000000"/>
                <w:kern w:val="0"/>
                <w:sz w:val="32"/>
                <w:szCs w:val="32"/>
                <w:lang w:val="en-US" w:eastAsia="zh-CN"/>
              </w:rPr>
              <w:t xml:space="preserve"> </w:t>
            </w:r>
          </w:p>
        </w:tc>
        <w:tc>
          <w:tcPr>
            <w:tcW w:w="4253" w:type="dxa"/>
            <w:tcBorders>
              <w:top w:val="nil"/>
              <w:left w:val="nil"/>
              <w:bottom w:val="single" w:color="auto" w:sz="8" w:space="0"/>
              <w:right w:val="single" w:color="auto" w:sz="8" w:space="0"/>
            </w:tcBorders>
            <w:vAlign w:val="center"/>
          </w:tcPr>
          <w:p w14:paraId="08647D6D">
            <w:pPr>
              <w:widowControl/>
              <w:spacing w:line="480" w:lineRule="exact"/>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邮编：</w:t>
            </w:r>
            <w:r>
              <w:rPr>
                <w:rFonts w:hint="eastAsia" w:ascii="仿宋" w:hAnsi="仿宋" w:eastAsia="仿宋" w:cs="仿宋"/>
                <w:color w:val="000000"/>
                <w:kern w:val="0"/>
                <w:sz w:val="32"/>
                <w:szCs w:val="32"/>
                <w:lang w:val="en-US" w:eastAsia="zh-CN"/>
              </w:rPr>
              <w:t xml:space="preserve"> </w:t>
            </w:r>
          </w:p>
        </w:tc>
      </w:tr>
      <w:tr w14:paraId="39E5CB98">
        <w:tblPrEx>
          <w:tblCellMar>
            <w:top w:w="0" w:type="dxa"/>
            <w:left w:w="108" w:type="dxa"/>
            <w:bottom w:w="0" w:type="dxa"/>
            <w:right w:w="108" w:type="dxa"/>
          </w:tblCellMar>
        </w:tblPrEx>
        <w:trPr>
          <w:trHeight w:val="894" w:hRule="atLeast"/>
        </w:trPr>
        <w:tc>
          <w:tcPr>
            <w:tcW w:w="4893" w:type="dxa"/>
            <w:tcBorders>
              <w:top w:val="single" w:color="auto" w:sz="8" w:space="0"/>
              <w:left w:val="single" w:color="auto" w:sz="8" w:space="0"/>
              <w:bottom w:val="single" w:color="auto" w:sz="8" w:space="0"/>
              <w:right w:val="single" w:color="auto" w:sz="8" w:space="0"/>
            </w:tcBorders>
            <w:vAlign w:val="center"/>
          </w:tcPr>
          <w:p w14:paraId="50A7D77A">
            <w:pPr>
              <w:widowControl/>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甲方代表签字：</w:t>
            </w:r>
          </w:p>
        </w:tc>
        <w:tc>
          <w:tcPr>
            <w:tcW w:w="4253" w:type="dxa"/>
            <w:tcBorders>
              <w:top w:val="single" w:color="auto" w:sz="8" w:space="0"/>
              <w:left w:val="single" w:color="auto" w:sz="8" w:space="0"/>
              <w:bottom w:val="single" w:color="auto" w:sz="8" w:space="0"/>
              <w:right w:val="single" w:color="auto" w:sz="8" w:space="0"/>
            </w:tcBorders>
            <w:vAlign w:val="center"/>
          </w:tcPr>
          <w:p w14:paraId="52023631">
            <w:pPr>
              <w:widowControl/>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乙方代表签字：</w:t>
            </w:r>
          </w:p>
        </w:tc>
      </w:tr>
      <w:tr w14:paraId="23F57EDB">
        <w:tblPrEx>
          <w:tblCellMar>
            <w:top w:w="0" w:type="dxa"/>
            <w:left w:w="108" w:type="dxa"/>
            <w:bottom w:w="0" w:type="dxa"/>
            <w:right w:w="108" w:type="dxa"/>
          </w:tblCellMar>
        </w:tblPrEx>
        <w:trPr>
          <w:trHeight w:val="204" w:hRule="atLeast"/>
        </w:trPr>
        <w:tc>
          <w:tcPr>
            <w:tcW w:w="4893" w:type="dxa"/>
            <w:tcBorders>
              <w:top w:val="single" w:color="auto" w:sz="8" w:space="0"/>
              <w:left w:val="single" w:color="auto" w:sz="8" w:space="0"/>
              <w:bottom w:val="single" w:color="auto" w:sz="8" w:space="0"/>
              <w:right w:val="single" w:color="auto" w:sz="8" w:space="0"/>
            </w:tcBorders>
            <w:vAlign w:val="center"/>
          </w:tcPr>
          <w:p w14:paraId="3FC05F3C">
            <w:pPr>
              <w:pStyle w:val="8"/>
              <w:ind w:left="0" w:leftChars="0"/>
            </w:pPr>
            <w:r>
              <w:rPr>
                <w:rFonts w:hint="eastAsia" w:ascii="仿宋" w:hAnsi="仿宋" w:eastAsia="仿宋" w:cs="仿宋"/>
                <w:color w:val="000000"/>
                <w:kern w:val="0"/>
                <w:sz w:val="32"/>
                <w:szCs w:val="32"/>
              </w:rPr>
              <w:t>项目联系人：</w:t>
            </w:r>
          </w:p>
        </w:tc>
        <w:tc>
          <w:tcPr>
            <w:tcW w:w="4253" w:type="dxa"/>
            <w:tcBorders>
              <w:top w:val="single" w:color="auto" w:sz="8" w:space="0"/>
              <w:left w:val="single" w:color="auto" w:sz="8" w:space="0"/>
              <w:bottom w:val="single" w:color="auto" w:sz="8" w:space="0"/>
              <w:right w:val="single" w:color="auto" w:sz="8" w:space="0"/>
            </w:tcBorders>
            <w:vAlign w:val="center"/>
          </w:tcPr>
          <w:p w14:paraId="5212528B">
            <w:pPr>
              <w:widowControl/>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项目联系人：</w:t>
            </w:r>
          </w:p>
        </w:tc>
      </w:tr>
      <w:tr w14:paraId="458F5803">
        <w:tblPrEx>
          <w:tblCellMar>
            <w:top w:w="0" w:type="dxa"/>
            <w:left w:w="108" w:type="dxa"/>
            <w:bottom w:w="0" w:type="dxa"/>
            <w:right w:w="108" w:type="dxa"/>
          </w:tblCellMar>
        </w:tblPrEx>
        <w:trPr>
          <w:trHeight w:val="390" w:hRule="atLeast"/>
        </w:trPr>
        <w:tc>
          <w:tcPr>
            <w:tcW w:w="4893" w:type="dxa"/>
            <w:tcBorders>
              <w:top w:val="single" w:color="auto" w:sz="8" w:space="0"/>
              <w:left w:val="single" w:color="auto" w:sz="8" w:space="0"/>
              <w:bottom w:val="single" w:color="auto" w:sz="8" w:space="0"/>
              <w:right w:val="single" w:color="auto" w:sz="8" w:space="0"/>
            </w:tcBorders>
            <w:vAlign w:val="center"/>
          </w:tcPr>
          <w:p w14:paraId="1C1061AA">
            <w:pPr>
              <w:pStyle w:val="5"/>
              <w:spacing w:line="480" w:lineRule="exact"/>
              <w:jc w:val="left"/>
              <w:rPr>
                <w:rFonts w:hint="eastAsia" w:ascii="仿宋" w:hAnsi="仿宋" w:eastAsia="仿宋" w:cs="仿宋"/>
                <w:color w:val="000000"/>
                <w:kern w:val="0"/>
                <w:sz w:val="32"/>
                <w:szCs w:val="32"/>
              </w:rPr>
            </w:pPr>
          </w:p>
          <w:p w14:paraId="3B7F82E3">
            <w:pPr>
              <w:pStyle w:val="5"/>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电话：</w:t>
            </w:r>
          </w:p>
        </w:tc>
        <w:tc>
          <w:tcPr>
            <w:tcW w:w="4253" w:type="dxa"/>
            <w:tcBorders>
              <w:top w:val="single" w:color="auto" w:sz="8" w:space="0"/>
              <w:left w:val="nil"/>
              <w:bottom w:val="single" w:color="auto" w:sz="8" w:space="0"/>
              <w:right w:val="single" w:color="auto" w:sz="8" w:space="0"/>
            </w:tcBorders>
            <w:vAlign w:val="center"/>
          </w:tcPr>
          <w:p w14:paraId="25CD06EC">
            <w:pPr>
              <w:widowControl/>
              <w:spacing w:line="480" w:lineRule="exact"/>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电话：</w:t>
            </w:r>
            <w:r>
              <w:rPr>
                <w:rFonts w:hint="eastAsia" w:ascii="仿宋" w:hAnsi="仿宋" w:eastAsia="仿宋" w:cs="仿宋"/>
                <w:color w:val="000000"/>
                <w:kern w:val="0"/>
                <w:sz w:val="32"/>
                <w:szCs w:val="32"/>
                <w:lang w:val="en-US" w:eastAsia="zh-CN"/>
              </w:rPr>
              <w:t xml:space="preserve"> </w:t>
            </w:r>
          </w:p>
        </w:tc>
      </w:tr>
      <w:tr w14:paraId="306C1AEC">
        <w:tblPrEx>
          <w:tblCellMar>
            <w:top w:w="0" w:type="dxa"/>
            <w:left w:w="108" w:type="dxa"/>
            <w:bottom w:w="0" w:type="dxa"/>
            <w:right w:w="108" w:type="dxa"/>
          </w:tblCellMar>
        </w:tblPrEx>
        <w:trPr>
          <w:trHeight w:val="391" w:hRule="atLeast"/>
        </w:trPr>
        <w:tc>
          <w:tcPr>
            <w:tcW w:w="4893" w:type="dxa"/>
            <w:tcBorders>
              <w:top w:val="nil"/>
              <w:left w:val="single" w:color="auto" w:sz="8" w:space="0"/>
              <w:bottom w:val="single" w:color="auto" w:sz="8" w:space="0"/>
              <w:right w:val="single" w:color="auto" w:sz="8" w:space="0"/>
            </w:tcBorders>
            <w:vAlign w:val="center"/>
          </w:tcPr>
          <w:p w14:paraId="2730417C">
            <w:pPr>
              <w:widowControl/>
              <w:spacing w:line="480" w:lineRule="exact"/>
              <w:jc w:val="left"/>
              <w:rPr>
                <w:rFonts w:hint="eastAsia" w:ascii="仿宋" w:hAnsi="仿宋" w:eastAsia="仿宋" w:cs="仿宋"/>
                <w:color w:val="000000"/>
                <w:kern w:val="0"/>
                <w:sz w:val="32"/>
                <w:szCs w:val="32"/>
              </w:rPr>
            </w:pPr>
          </w:p>
          <w:p w14:paraId="014CF616">
            <w:pPr>
              <w:widowControl/>
              <w:spacing w:line="480" w:lineRule="exact"/>
              <w:jc w:val="left"/>
            </w:pPr>
            <w:r>
              <w:rPr>
                <w:rFonts w:hint="eastAsia" w:ascii="仿宋" w:hAnsi="仿宋" w:eastAsia="仿宋" w:cs="仿宋"/>
                <w:color w:val="000000"/>
                <w:kern w:val="0"/>
                <w:sz w:val="32"/>
                <w:szCs w:val="32"/>
              </w:rPr>
              <w:t>日期：  年   月   日</w:t>
            </w:r>
          </w:p>
        </w:tc>
        <w:tc>
          <w:tcPr>
            <w:tcW w:w="4253" w:type="dxa"/>
            <w:tcBorders>
              <w:top w:val="nil"/>
              <w:left w:val="nil"/>
              <w:bottom w:val="single" w:color="auto" w:sz="8" w:space="0"/>
              <w:right w:val="single" w:color="auto" w:sz="8" w:space="0"/>
            </w:tcBorders>
            <w:vAlign w:val="center"/>
          </w:tcPr>
          <w:p w14:paraId="00895AC6">
            <w:pPr>
              <w:widowControl/>
              <w:spacing w:line="480" w:lineRule="exact"/>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日期：   年   月  日</w:t>
            </w:r>
          </w:p>
        </w:tc>
      </w:tr>
    </w:tbl>
    <w:p w14:paraId="3E51AF87">
      <w:pPr>
        <w:pStyle w:val="5"/>
        <w:spacing w:line="480" w:lineRule="exact"/>
        <w:ind w:firstLine="640" w:firstLineChars="200"/>
      </w:pPr>
      <w:r>
        <w:rPr>
          <w:rFonts w:hint="eastAsia" w:ascii="仿宋" w:hAnsi="仿宋" w:eastAsia="仿宋" w:cs="仿宋"/>
          <w:sz w:val="32"/>
          <w:szCs w:val="32"/>
        </w:rPr>
        <w:t>　</w:t>
      </w:r>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40EC8C"/>
    <w:multiLevelType w:val="singleLevel"/>
    <w:tmpl w:val="1C40EC8C"/>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2ZTc4ZDhkNmE5ZDk1MWMyNjJkNjZiMjM5YjNkYzAifQ=="/>
  </w:docVars>
  <w:rsids>
    <w:rsidRoot w:val="5B3D06BC"/>
    <w:rsid w:val="000E1992"/>
    <w:rsid w:val="001D562C"/>
    <w:rsid w:val="0035547B"/>
    <w:rsid w:val="0062625A"/>
    <w:rsid w:val="00840D08"/>
    <w:rsid w:val="008E5B3D"/>
    <w:rsid w:val="00A6088A"/>
    <w:rsid w:val="00A703F1"/>
    <w:rsid w:val="00CC7524"/>
    <w:rsid w:val="00D46FDE"/>
    <w:rsid w:val="00D85CE1"/>
    <w:rsid w:val="00FF7384"/>
    <w:rsid w:val="01537164"/>
    <w:rsid w:val="0B5C3E34"/>
    <w:rsid w:val="0C0B585A"/>
    <w:rsid w:val="0C517711"/>
    <w:rsid w:val="0DD56120"/>
    <w:rsid w:val="0EBE6BB4"/>
    <w:rsid w:val="0F3F7CF5"/>
    <w:rsid w:val="13A9398F"/>
    <w:rsid w:val="19F45B80"/>
    <w:rsid w:val="1A081BBA"/>
    <w:rsid w:val="224F6049"/>
    <w:rsid w:val="2263692C"/>
    <w:rsid w:val="2432352D"/>
    <w:rsid w:val="25113A8A"/>
    <w:rsid w:val="281F64BE"/>
    <w:rsid w:val="302D0C57"/>
    <w:rsid w:val="32632CF1"/>
    <w:rsid w:val="37C60704"/>
    <w:rsid w:val="3D4F2F4A"/>
    <w:rsid w:val="47DA0264"/>
    <w:rsid w:val="4C2F1349"/>
    <w:rsid w:val="4C7F454C"/>
    <w:rsid w:val="4E2242F5"/>
    <w:rsid w:val="4F71741D"/>
    <w:rsid w:val="51840FBC"/>
    <w:rsid w:val="53773416"/>
    <w:rsid w:val="54C65448"/>
    <w:rsid w:val="5B3D06BC"/>
    <w:rsid w:val="5D616655"/>
    <w:rsid w:val="5D906C56"/>
    <w:rsid w:val="5EBA426F"/>
    <w:rsid w:val="60C25BD3"/>
    <w:rsid w:val="62917095"/>
    <w:rsid w:val="66D439F4"/>
    <w:rsid w:val="6A4E7F61"/>
    <w:rsid w:val="6EBE56B6"/>
    <w:rsid w:val="6EED131F"/>
    <w:rsid w:val="6F0532E4"/>
    <w:rsid w:val="6FCE7B7A"/>
    <w:rsid w:val="78CA10FB"/>
    <w:rsid w:val="79E9735F"/>
    <w:rsid w:val="7E5731E9"/>
    <w:rsid w:val="7F211349"/>
    <w:rsid w:val="7FAD3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Plain Text"/>
    <w:basedOn w:val="1"/>
    <w:next w:val="1"/>
    <w:qFormat/>
    <w:uiPriority w:val="99"/>
    <w:rPr>
      <w:rFonts w:ascii="宋体" w:hAnsi="Courier New"/>
      <w:szCs w:val="21"/>
    </w:rPr>
  </w:style>
  <w:style w:type="paragraph" w:styleId="6">
    <w:name w:val="footer"/>
    <w:basedOn w:val="1"/>
    <w:link w:val="14"/>
    <w:qFormat/>
    <w:uiPriority w:val="0"/>
    <w:pPr>
      <w:tabs>
        <w:tab w:val="center" w:pos="4153"/>
        <w:tab w:val="right" w:pos="8306"/>
      </w:tabs>
      <w:snapToGrid w:val="0"/>
      <w:spacing w:line="240" w:lineRule="auto"/>
      <w:jc w:val="left"/>
    </w:pPr>
    <w:rPr>
      <w:sz w:val="18"/>
      <w:szCs w:val="18"/>
    </w:rPr>
  </w:style>
  <w:style w:type="paragraph" w:styleId="7">
    <w:name w:val="header"/>
    <w:basedOn w:val="1"/>
    <w:link w:val="13"/>
    <w:qFormat/>
    <w:uiPriority w:val="0"/>
    <w:pPr>
      <w:tabs>
        <w:tab w:val="center" w:pos="4153"/>
        <w:tab w:val="right" w:pos="8306"/>
      </w:tabs>
      <w:snapToGrid w:val="0"/>
      <w:spacing w:line="240" w:lineRule="auto"/>
      <w:jc w:val="center"/>
    </w:pPr>
    <w:rPr>
      <w:sz w:val="18"/>
      <w:szCs w:val="18"/>
    </w:rPr>
  </w:style>
  <w:style w:type="paragraph" w:styleId="8">
    <w:name w:val="toc 1"/>
    <w:basedOn w:val="1"/>
    <w:next w:val="1"/>
    <w:qFormat/>
    <w:uiPriority w:val="39"/>
    <w:pPr>
      <w:tabs>
        <w:tab w:val="right" w:leader="middleDot" w:pos="9000"/>
      </w:tabs>
      <w:spacing w:line="700" w:lineRule="exact"/>
      <w:ind w:left="120" w:leftChars="57"/>
    </w:pPr>
  </w:style>
  <w:style w:type="paragraph" w:styleId="9">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0">
    <w:name w:val="Normal (Web)"/>
    <w:basedOn w:val="1"/>
    <w:qFormat/>
    <w:uiPriority w:val="0"/>
    <w:rPr>
      <w:sz w:val="24"/>
    </w:rPr>
  </w:style>
  <w:style w:type="character" w:customStyle="1" w:styleId="13">
    <w:name w:val="页眉 字符"/>
    <w:basedOn w:val="12"/>
    <w:link w:val="7"/>
    <w:qFormat/>
    <w:uiPriority w:val="0"/>
    <w:rPr>
      <w:rFonts w:ascii="Times New Roman" w:hAnsi="Times New Roman" w:eastAsia="宋体" w:cs="Times New Roman"/>
      <w:kern w:val="2"/>
      <w:sz w:val="18"/>
      <w:szCs w:val="18"/>
    </w:rPr>
  </w:style>
  <w:style w:type="character" w:customStyle="1" w:styleId="14">
    <w:name w:val="页脚 字符"/>
    <w:basedOn w:val="12"/>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2642</Words>
  <Characters>2696</Characters>
  <Lines>23</Lines>
  <Paragraphs>6</Paragraphs>
  <TotalTime>198</TotalTime>
  <ScaleCrop>false</ScaleCrop>
  <LinksUpToDate>false</LinksUpToDate>
  <CharactersWithSpaces>2936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2024-07-23T01:30:00Z</dcterms:created>
  <dc:creator>放翁</dc:creator>
  <cp:lastModifiedBy>向阳</cp:lastModifiedBy>
  <dcterms:modified xsi:type="dcterms:W3CDTF">2025-07-23T09:02:52Z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B2FFCF61729E4248BB63841F4C1103BE_13</vt:lpwstr>
  </property>
  <property fmtid="{D5CDD505-2E9C-101B-9397-08002B2CF9AE}" pid="4" name="KSOTemplateDocerSaveRecord">
    <vt:lpwstr>eyJoZGlkIjoiNzk1ZTU4YjNjOGI3MzhhYTkxZmI3NzRmY2VhYmU5MTIiLCJ1c2VySWQiOiI5MDUwMzI5NTYifQ==</vt:lpwstr>
  </property>
</Properties>
</file>