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版本号：SXXZ-DY-202506002.20250723001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备案主体、代理机构分级分类评价项目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SXXZ-DY-202506002.</w:t>
      </w:r>
      <w:r>
        <w:br/>
      </w:r>
      <w:r>
        <w:br/>
      </w:r>
      <w:r>
        <w:br/>
      </w:r>
    </w:p>
    <w:p>
      <w:pPr>
        <w:pStyle w:val="null3"/>
        <w:jc w:val="center"/>
        <w:outlineLvl w:val="5"/>
      </w:pPr>
      <w:r>
        <w:rPr>
          <w:rFonts w:ascii="仿宋_GB2312" w:hAnsi="仿宋_GB2312" w:cs="仿宋_GB2312" w:eastAsia="仿宋_GB2312"/>
          <w:sz w:val="15"/>
          <w:b/>
        </w:rPr>
        <w:t>陕西省知识产权保护中心</w:t>
      </w:r>
    </w:p>
    <w:p>
      <w:pPr>
        <w:pStyle w:val="null3"/>
        <w:jc w:val="center"/>
        <w:outlineLvl w:val="5"/>
      </w:pPr>
      <w:r>
        <w:rPr>
          <w:rFonts w:ascii="仿宋_GB2312" w:hAnsi="仿宋_GB2312" w:cs="仿宋_GB2312" w:eastAsia="仿宋_GB2312"/>
          <w:sz w:val="15"/>
          <w:b/>
        </w:rPr>
        <w:t>陕西晓筑项目管理有限公司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备案主体、代理机构分级分类评价项目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SXXZ-DY-202506002.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备案主体、代理机构分级分类评价项目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系统化实施我省备案主体和代理机构分级分类评价工作，构建“精准管理、动态优化、效能提升”的知识产权服务生态，实现对备案主体和代理机构精准画像与溯源治理。全面掌握其创新实力、服务能力和合规情况。</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1、信用查询：在磋商截止时间，供应商不得存在列入失信被 执行人（“中国执行信息公开网”http://zxgk.co urt.gov.cn/shixin/）的情形、不得存在列入信 用中国（www.creditchina.gov.cn）重大税收 违法失信主体和政府采购严重违法失信行为记 录名单的情形， 不得存在列入中国政府采购网 （www.ccgp.gov.cn）政府采购严重违法失信 行为记录名单的情形。</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029-85719689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lt;招标代理服务收费管理暂行办法&gt;的通知》（计价格【2002】1980号）及《关于招标代理服务收费有关问题的通知》（发改办价格【2003】857号）文件规定标准收取。若代理服务费不足捌仟元按捌仟元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系统化实施我省备案主体和代理机构分级分类评价工作，构建“精准管理、动态优化、效能提升”的知识产权服务生态，实现对备案主体和代理机构精准画像与溯源治理。全面掌握其创新实力、服务能力和合规情况。</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备案主体、代理机构 分级分类评价项目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标的名称：备案主体、代理机构 分级分类评价项目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采购内容</w:t>
            </w:r>
          </w:p>
          <w:p>
            <w:pPr>
              <w:pStyle w:val="null3"/>
            </w:pPr>
            <w:r>
              <w:rPr>
                <w:rFonts w:ascii="仿宋_GB2312" w:hAnsi="仿宋_GB2312" w:cs="仿宋_GB2312" w:eastAsia="仿宋_GB2312"/>
              </w:rPr>
              <w:t>1.</w:t>
            </w:r>
            <w:r>
              <w:rPr>
                <w:rFonts w:ascii="仿宋_GB2312" w:hAnsi="仿宋_GB2312" w:cs="仿宋_GB2312" w:eastAsia="仿宋_GB2312"/>
              </w:rPr>
              <w:t>分级分类评价实施。根据指标体系采集备案主体及代理机构相关数据，并依据指标体系确定相应等级；及时处理、反馈有异议的评价结果，确保分级结果应用质效。</w:t>
            </w:r>
          </w:p>
          <w:p>
            <w:pPr>
              <w:pStyle w:val="null3"/>
            </w:pPr>
            <w:r>
              <w:rPr>
                <w:rFonts w:ascii="仿宋_GB2312" w:hAnsi="仿宋_GB2312" w:cs="仿宋_GB2312" w:eastAsia="仿宋_GB2312"/>
              </w:rPr>
              <w:t>2.</w:t>
            </w:r>
            <w:r>
              <w:rPr>
                <w:rFonts w:ascii="仿宋_GB2312" w:hAnsi="仿宋_GB2312" w:cs="仿宋_GB2312" w:eastAsia="仿宋_GB2312"/>
              </w:rPr>
              <w:t>分级分类支持与咨询服务。解答创新主体、代理机构关于分级分类评价工作流程、材料要求、填报要求等方面的咨询，保障分级分类评价工作顺利开展。</w:t>
            </w:r>
          </w:p>
          <w:p>
            <w:pPr>
              <w:pStyle w:val="null3"/>
            </w:pPr>
            <w:r>
              <w:rPr>
                <w:rFonts w:ascii="仿宋_GB2312" w:hAnsi="仿宋_GB2312" w:cs="仿宋_GB2312" w:eastAsia="仿宋_GB2312"/>
              </w:rPr>
              <w:t>3.</w:t>
            </w:r>
            <w:r>
              <w:rPr>
                <w:rFonts w:ascii="仿宋_GB2312" w:hAnsi="仿宋_GB2312" w:cs="仿宋_GB2312" w:eastAsia="仿宋_GB2312"/>
              </w:rPr>
              <w:t>工作机制保障。动态开展分级分类评价指标体系、权重分配、评分规则、申诉复核流程以及分级分类管理办法修订工作。</w:t>
            </w:r>
          </w:p>
          <w:p>
            <w:pPr>
              <w:pStyle w:val="null3"/>
            </w:pPr>
            <w:r>
              <w:rPr>
                <w:rFonts w:ascii="仿宋_GB2312" w:hAnsi="仿宋_GB2312" w:cs="仿宋_GB2312" w:eastAsia="仿宋_GB2312"/>
              </w:rPr>
              <w:t>4.</w:t>
            </w:r>
            <w:r>
              <w:rPr>
                <w:rFonts w:ascii="仿宋_GB2312" w:hAnsi="仿宋_GB2312" w:cs="仿宋_GB2312" w:eastAsia="仿宋_GB2312"/>
              </w:rPr>
              <w:t>分级分类效能反馈。完成分级分类管理效能分析报告，涵盖评价工作完成情况，备案主体、代理机构等级分布及问题总结、提升建议意见等内容。</w:t>
            </w:r>
          </w:p>
          <w:p>
            <w:pPr>
              <w:pStyle w:val="null3"/>
            </w:pPr>
            <w:r>
              <w:rPr>
                <w:rFonts w:ascii="仿宋_GB2312" w:hAnsi="仿宋_GB2312" w:cs="仿宋_GB2312" w:eastAsia="仿宋_GB2312"/>
              </w:rPr>
              <w:t>二</w:t>
            </w:r>
            <w:r>
              <w:rPr>
                <w:rFonts w:ascii="仿宋_GB2312" w:hAnsi="仿宋_GB2312" w:cs="仿宋_GB2312" w:eastAsia="仿宋_GB2312"/>
              </w:rPr>
              <w:t>、工作标准</w:t>
            </w:r>
          </w:p>
          <w:p>
            <w:pPr>
              <w:pStyle w:val="null3"/>
            </w:pPr>
            <w:r>
              <w:rPr>
                <w:rFonts w:ascii="仿宋_GB2312" w:hAnsi="仿宋_GB2312" w:cs="仿宋_GB2312" w:eastAsia="仿宋_GB2312"/>
              </w:rPr>
              <w:t>数据采集精准、适用，</w:t>
            </w:r>
            <w:r>
              <w:rPr>
                <w:rFonts w:ascii="仿宋_GB2312" w:hAnsi="仿宋_GB2312" w:cs="仿宋_GB2312" w:eastAsia="仿宋_GB2312"/>
              </w:rPr>
              <w:t>评价过程公开透明，异议处理及时有效，效能分析报告内容全面，</w:t>
            </w:r>
            <w:r>
              <w:rPr>
                <w:rFonts w:ascii="仿宋_GB2312" w:hAnsi="仿宋_GB2312" w:cs="仿宋_GB2312" w:eastAsia="仿宋_GB2312"/>
              </w:rPr>
              <w:t>意见</w:t>
            </w:r>
            <w:r>
              <w:rPr>
                <w:rFonts w:ascii="仿宋_GB2312" w:hAnsi="仿宋_GB2312" w:cs="仿宋_GB2312" w:eastAsia="仿宋_GB2312"/>
              </w:rPr>
              <w:t>建议具有可操作性。</w:t>
            </w:r>
            <w:r>
              <w:rPr>
                <w:rFonts w:ascii="仿宋_GB2312" w:hAnsi="仿宋_GB2312" w:cs="仿宋_GB2312" w:eastAsia="仿宋_GB2312"/>
              </w:rPr>
              <w:t>评价工作能够全面</w:t>
            </w:r>
            <w:r>
              <w:rPr>
                <w:rFonts w:ascii="仿宋_GB2312" w:hAnsi="仿宋_GB2312" w:cs="仿宋_GB2312" w:eastAsia="仿宋_GB2312"/>
              </w:rPr>
              <w:t>反映备案主体和代理机构的创新实力、服务能力</w:t>
            </w:r>
            <w:r>
              <w:rPr>
                <w:rFonts w:ascii="仿宋_GB2312" w:hAnsi="仿宋_GB2312" w:cs="仿宋_GB2312" w:eastAsia="仿宋_GB2312"/>
              </w:rPr>
              <w:t>等综合</w:t>
            </w:r>
            <w:r>
              <w:rPr>
                <w:rFonts w:ascii="仿宋_GB2312" w:hAnsi="仿宋_GB2312" w:cs="仿宋_GB2312" w:eastAsia="仿宋_GB2312"/>
              </w:rPr>
              <w:t>情况。</w:t>
            </w:r>
          </w:p>
          <w:p>
            <w:pPr>
              <w:pStyle w:val="null3"/>
            </w:pPr>
            <w:r>
              <w:rPr>
                <w:rFonts w:ascii="仿宋_GB2312" w:hAnsi="仿宋_GB2312" w:cs="仿宋_GB2312" w:eastAsia="仿宋_GB2312"/>
              </w:rPr>
              <w:t>三、项目周期</w:t>
            </w:r>
          </w:p>
          <w:p>
            <w:pPr>
              <w:pStyle w:val="null3"/>
              <w:jc w:val="both"/>
            </w:pPr>
            <w:r>
              <w:rPr>
                <w:rFonts w:ascii="仿宋_GB2312" w:hAnsi="仿宋_GB2312" w:cs="仿宋_GB2312" w:eastAsia="仿宋_GB2312"/>
                <w:sz w:val="21"/>
              </w:rPr>
              <w:t>项目周期严格控制在</w:t>
            </w:r>
            <w:r>
              <w:rPr>
                <w:rFonts w:ascii="仿宋_GB2312" w:hAnsi="仿宋_GB2312" w:cs="仿宋_GB2312" w:eastAsia="仿宋_GB2312"/>
                <w:sz w:val="21"/>
              </w:rPr>
              <w:t>2025</w:t>
            </w:r>
            <w:r>
              <w:rPr>
                <w:rFonts w:ascii="仿宋_GB2312" w:hAnsi="仿宋_GB2312" w:cs="仿宋_GB2312" w:eastAsia="仿宋_GB2312"/>
                <w:sz w:val="21"/>
              </w:rPr>
              <w:t>年底前完成。</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2025年底前完成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合同签订后，达到付款条件起 15日内，支付合同总金额的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按照响应文件及合同相关条款</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按照响应文件及合同相关条款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需在项目电子化交易系统中按要求填写《投标函》完成承诺并进行电子签章。2、提供注册登记凭证（营业执照、其他组织经营的合法凭证，自然人的提供身份证明文件）。 3、具有良好的商业信誉和健全的财务会计制度。提供2023年度或2024年度经审计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声明；以上四种形式的资料提供任何一种即可。4、具有履行合同所必需的设备和专业技术能力。提供声明文件。5、具有依法缴纳税收的良好记录。提供缴费2024年1月1日以来已缴纳任意一个月份（磋商截止时间当月不计入）的增值税（或所得税）缴费凭据或税务机关出具的完税证明/在法规范围内不需提供的应出具书面说明和证明文件/或具有依法缴纳税收的诚信声明。6、具有依法缴纳社会保障资金的良好记录。提供缴费2024年1月1日以来已缴纳任意一个月份（磋商截止时间当月不计入）的缴费凭据或社保机关出具的缴费证明/在法规范围内不需提供的应出具书面说明和证明文件/或具有依法缴纳社会保障资金的缴纳记录的诚信声明。 7、参加政府采购活动前3年内在经营活动中没有重大违法记录的书面声明。 备注：供应商需在项目电子化交易系统中按要求上传相应证明文件并进行电子签章。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法定代表人身份证明.docx 法人代表授权书.docx 供应商基本情况表.docx 响应函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在磋商截止时间，供应商不得存在列入失信被 执行人（“中国执行信息公开网”http://zxgk.co urt.gov.cn/shixin/）的情形、不得存在列入信 用中国（www.creditchina.gov.cn）重大税收 违法失信主体和政府采购严重违法失信行为记 录名单的情形， 不得存在列入中国政府采购网 （www.ccgp.gov.cn）政府采购严重违法失信 行为记录名单的情形。</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响应文件是否按照单一来源文件要求的格式编写； 响应文件内容是否有重大缺漏项。</w:t>
            </w:r>
          </w:p>
        </w:tc>
        <w:tc>
          <w:tcPr>
            <w:tcW w:type="dxa" w:w="1661"/>
          </w:tcPr>
          <w:p>
            <w:pPr>
              <w:pStyle w:val="null3"/>
            </w:pPr>
            <w:r>
              <w:rPr>
                <w:rFonts w:ascii="仿宋_GB2312" w:hAnsi="仿宋_GB2312" w:cs="仿宋_GB2312" w:eastAsia="仿宋_GB2312"/>
              </w:rPr>
              <w:t>服务内容及服务邀请应答表 法定代表人身份证明.docx 法人代表授权书.docx 中小企业声明函 商务应答表 报价表 资格证明文件.docx 响应文件封面 残疾人福利性单位声明函 供应商基本情况表.docx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服务内容及服务邀请应答表 法定代表人身份证明.docx 法人代表授权书.docx 中小企业声明函 商务应答表 报价表 资格证明文件.docx 响应文件封面 残疾人福利性单位声明函 供应商基本情况表.docx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① 响应报价是否超过采购预算；② 响应报价有效期是否符合单一来源文件的要求；③ 响应文件内容是否符合国家法律法规，没有重大偏离。</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响应文件封面 残疾人福利性单位声明函 供应商基本情况表.docx 服务方案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详见附件：法人代表授权书.docx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详见附件：备案主体、代理机构分级分类评价项目合同书.docx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