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9226C">
      <w:pPr>
        <w:jc w:val="left"/>
        <w:rPr>
          <w:rFonts w:hint="eastAsia" w:asciiTheme="minorEastAsia" w:hAnsi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政府采购合同                        合同编号：</w:t>
      </w:r>
    </w:p>
    <w:p w14:paraId="124D0AAA">
      <w:pPr>
        <w:pStyle w:val="2"/>
        <w:rPr>
          <w:rFonts w:hint="eastAsia" w:asciiTheme="minorEastAsia" w:hAnsi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B64E970">
      <w:pPr>
        <w:pStyle w:val="2"/>
        <w:rPr>
          <w:rFonts w:hint="eastAsia" w:asciiTheme="minorEastAsia" w:hAnsi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598246B">
      <w:pPr>
        <w:pStyle w:val="2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9FE4F4B">
      <w:pPr>
        <w:jc w:val="center"/>
        <w:rPr>
          <w:rFonts w:hint="eastAsia" w:asciiTheme="minorEastAsia" w:hAnsiTheme="minorEastAsia" w:cstheme="minorEastAsia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44"/>
          <w:szCs w:val="44"/>
          <w:u w:val="single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采购项目</w:t>
      </w:r>
    </w:p>
    <w:p w14:paraId="56C16954">
      <w:pP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5E4E9374">
      <w:pP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37B7B007">
      <w:pPr>
        <w:pStyle w:val="2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60D43CA">
      <w:pPr>
        <w:pStyle w:val="2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F4A5215">
      <w:pP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0B337A8">
      <w:pPr>
        <w:rPr>
          <w:rFonts w:hint="eastAsia"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 w14:paraId="7FC8FCF1">
      <w:pPr>
        <w:jc w:val="center"/>
        <w:rPr>
          <w:rFonts w:hint="eastAsia" w:asciiTheme="minorEastAsia" w:hAnsi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（示范文本仅供参考）</w:t>
      </w:r>
    </w:p>
    <w:p w14:paraId="3154026F">
      <w:pPr>
        <w:jc w:val="center"/>
        <w:rPr>
          <w:rFonts w:hint="eastAsia" w:asciiTheme="minorEastAsia" w:hAnsi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52A595C6">
      <w:pPr>
        <w:jc w:val="center"/>
        <w:rPr>
          <w:rFonts w:hint="eastAsia" w:asciiTheme="minorEastAsia" w:hAnsi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25246DD4">
      <w:pPr>
        <w:jc w:val="center"/>
        <w:rPr>
          <w:rFonts w:hint="eastAsia" w:asciiTheme="minorEastAsia" w:hAnsi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3CC5E6D4">
      <w:pPr>
        <w:jc w:val="center"/>
        <w:rPr>
          <w:rFonts w:hint="eastAsia" w:asciiTheme="minorEastAsia" w:hAnsiTheme="minorEastAsia" w:cstheme="minor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42A21449">
      <w:pPr>
        <w:spacing w:before="156" w:beforeLines="50" w:line="360" w:lineRule="auto"/>
        <w:rPr>
          <w:rFonts w:hint="eastAsia" w:asciiTheme="minorEastAsia" w:hAnsiTheme="minorEastAsia" w:cstheme="minorEastAsia"/>
          <w:bCs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 w14:paraId="4632ACA9">
      <w:pPr>
        <w:spacing w:before="156" w:beforeLines="50" w:line="360" w:lineRule="auto"/>
        <w:ind w:firstLine="1584" w:firstLineChars="493"/>
        <w:jc w:val="left"/>
        <w:rPr>
          <w:rFonts w:hint="eastAsia" w:asciiTheme="minorEastAsia" w:hAnsiTheme="minorEastAsia" w:cstheme="minor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采购人：</w:t>
      </w:r>
      <w:r>
        <w:rPr>
          <w:rFonts w:hint="eastAsia" w:asciiTheme="minorEastAsia" w:hAnsiTheme="minorEastAsia" w:cstheme="minor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</w:p>
    <w:p w14:paraId="462684D0">
      <w:pPr>
        <w:spacing w:before="156" w:beforeLines="50" w:line="360" w:lineRule="auto"/>
        <w:ind w:firstLine="1584" w:firstLineChars="493"/>
        <w:jc w:val="left"/>
        <w:rPr>
          <w:rFonts w:hint="eastAsia" w:asciiTheme="minorEastAsia" w:hAnsiTheme="minorEastAsia" w:cstheme="min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供应商：</w:t>
      </w:r>
      <w:r>
        <w:rPr>
          <w:rFonts w:hint="eastAsia" w:asciiTheme="minorEastAsia" w:hAnsiTheme="minorEastAsia" w:cstheme="minor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Theme="minorEastAsia" w:hAnsi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</w:t>
      </w:r>
    </w:p>
    <w:p w14:paraId="48319DD2">
      <w:pPr>
        <w:pStyle w:val="2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二〇二四年  月</w:t>
      </w:r>
      <w:r>
        <w:rPr>
          <w:rFonts w:hint="eastAsia" w:ascii="仿宋" w:hAnsi="仿宋" w:eastAsia="仿宋" w:cs="仿宋"/>
          <w:b/>
          <w:bCs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  <w:br w:type="page"/>
      </w:r>
    </w:p>
    <w:p w14:paraId="73286F4C">
      <w:pPr>
        <w:spacing w:before="156" w:beforeLines="50" w:line="360" w:lineRule="auto"/>
        <w:jc w:val="center"/>
        <w:rPr>
          <w:rFonts w:hint="eastAsia" w:asciiTheme="minorEastAsia" w:hAnsi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第一部分  协议书</w:t>
      </w:r>
    </w:p>
    <w:p w14:paraId="0237C5E1">
      <w:pPr>
        <w:adjustRightInd w:val="0"/>
        <w:snapToGrid w:val="0"/>
        <w:spacing w:line="360" w:lineRule="auto"/>
        <w:ind w:firstLine="482" w:firstLineChars="200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采购人（甲方）：</w:t>
      </w:r>
      <w:r>
        <w:rPr>
          <w:rFonts w:hint="eastAsia" w:asciiTheme="minorEastAsia" w:hAnsiTheme="minorEastAsia" w:cstheme="minorEastAsia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</w:p>
    <w:p w14:paraId="7D9DD510">
      <w:pPr>
        <w:adjustRightInd w:val="0"/>
        <w:snapToGrid w:val="0"/>
        <w:spacing w:line="360" w:lineRule="auto"/>
        <w:ind w:firstLine="482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供应商（乙方）：</w:t>
      </w:r>
      <w:r>
        <w:rPr>
          <w:rFonts w:hint="eastAsia" w:asciiTheme="minorEastAsia" w:hAnsiTheme="minorEastAsia" w:cstheme="minorEastAsia"/>
          <w:b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</w:p>
    <w:p w14:paraId="12AECF5E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根据《中华人民共和国民法典》及其他有关法律法规，遵循平等、自愿、公平和诚信的原则，双方就下述项目范围与相关服务事项协商一致，订立本合同。</w:t>
      </w:r>
    </w:p>
    <w:p w14:paraId="1691B6C0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一、项目概况</w:t>
      </w:r>
    </w:p>
    <w:p w14:paraId="37CF9CF3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1.项目名称：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</w:p>
    <w:p w14:paraId="0AFCF69D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2.采 购 包：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</w:p>
    <w:p w14:paraId="1362B55A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3.项目地点：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 w14:paraId="1D31AD49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二、组成本合同的文件</w:t>
      </w:r>
    </w:p>
    <w:p w14:paraId="3608A54C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 协议书；</w:t>
      </w:r>
    </w:p>
    <w:p w14:paraId="7B144962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 成交通知书、响应文件、竞争性磋商文件、澄清、措施补充文件；</w:t>
      </w:r>
    </w:p>
    <w:p w14:paraId="4862118D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 相关服务建议书；</w:t>
      </w:r>
    </w:p>
    <w:p w14:paraId="140E087B">
      <w:pPr>
        <w:adjustRightInd w:val="0"/>
        <w:snapToGrid w:val="0"/>
        <w:spacing w:line="360" w:lineRule="auto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4. 附录，即：附表内相关服务的范围和内容；</w:t>
      </w:r>
    </w:p>
    <w:p w14:paraId="30AA4D66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本合同签订后，双方依法签订的补充协议也是本合同文件的组成部分。</w:t>
      </w:r>
    </w:p>
    <w:p w14:paraId="43DFF038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三、合同金额</w:t>
      </w:r>
    </w:p>
    <w:p w14:paraId="63B4779F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合同总价（含税金额）：人民币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元（¥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）。</w:t>
      </w:r>
    </w:p>
    <w:p w14:paraId="23503AFE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合同总价即成交价，为一次性报价，不受市场价变化影响。合同总价为含税价，成交供应商提供服务所发生的一切税（包括增值税）费等都已包含于合同总价中。</w:t>
      </w:r>
    </w:p>
    <w:p w14:paraId="43966593">
      <w:pPr>
        <w:adjustRightInd w:val="0"/>
        <w:snapToGrid w:val="0"/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四、结算方式</w:t>
      </w:r>
    </w:p>
    <w:p w14:paraId="53F3FF0B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1.结算单位：银行转账，由甲方负责结算。</w:t>
      </w:r>
      <w:r>
        <w:rPr>
          <w:rFonts w:hint="eastAsia" w:asciiTheme="minorEastAsia" w:hAnsiTheme="minorEastAsia" w:cstheme="minorEastAsia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甲方付款前，乙方须向甲方开具合同全额合格增值税普通发票，若乙方开具的发票不合格，甲方有权迟延支付款项，且不承担逾期付款的违约责任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 w14:paraId="41B74116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2.付款方式：</w:t>
      </w:r>
    </w:p>
    <w:p w14:paraId="018CCE73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自本合同生效之日起，甲方收到乙方开具的全额合格增值税普通发票后，达到付款条件起60个日内，支付合同总金额的100.00%。</w:t>
      </w:r>
    </w:p>
    <w:p w14:paraId="3F606F22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3.乙方收款账户信息：</w:t>
      </w:r>
    </w:p>
    <w:p w14:paraId="12341796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（1）户名： 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</w:p>
    <w:p w14:paraId="3BF30407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（2）账号： 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</w:p>
    <w:p w14:paraId="214B3ED4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（3）开户行：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</w:p>
    <w:p w14:paraId="38E3EA6F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乙方需对上述账户信息的真实性、准确性、安全性、完整性及合法性负责，如需变更需提前10日书面通知甲方，否则由此产生的一切损失由乙方承担。</w:t>
      </w:r>
    </w:p>
    <w:p w14:paraId="2E33E3A3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五、服务期  </w:t>
      </w:r>
    </w:p>
    <w:p w14:paraId="1D5231FD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自合同生效之日起，至项目工可研技术审查报告取得审批部门批复止（具体以合同签订为准）。</w:t>
      </w:r>
    </w:p>
    <w:p w14:paraId="125727F4">
      <w:pPr>
        <w:tabs>
          <w:tab w:val="left" w:pos="840"/>
        </w:tabs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六、内容及要求</w:t>
      </w:r>
    </w:p>
    <w:p w14:paraId="2ED069A0">
      <w:pPr>
        <w:pStyle w:val="2"/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详见磋商文件第三章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。</w:t>
      </w:r>
    </w:p>
    <w:p w14:paraId="4610D817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七、保密</w:t>
      </w:r>
    </w:p>
    <w:p w14:paraId="5EBE7128">
      <w:pPr>
        <w:tabs>
          <w:tab w:val="left" w:pos="1080"/>
        </w:tabs>
        <w:spacing w:line="360" w:lineRule="auto"/>
        <w:ind w:firstLine="360" w:firstLineChars="15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对工作中了解到的甲方的机密等进行严格保密，不得向他人泄漏。本合同的解除或终止不免除乙方应承担的保密义务。</w:t>
      </w:r>
    </w:p>
    <w:p w14:paraId="11A1A188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八、知识产权</w:t>
      </w:r>
    </w:p>
    <w:p w14:paraId="1977D6C4">
      <w:pPr>
        <w:spacing w:line="360" w:lineRule="auto"/>
        <w:ind w:firstLine="56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乙方应对所供服务具有或已取得合法知识产权，乙方应保证所供服务不会出现因第三方提出侵犯其专利权、商标权或其它知识产权而引发法律或经济纠纷，否则由乙方负责解决并承担全部责任；如因此影响到甲方的正常使用，甲方有权单方解除本合同，乙方应无条件向甲方退回已收取的全部合同价款，给甲方造成损失的，由乙方一并赔偿。</w:t>
      </w:r>
    </w:p>
    <w:p w14:paraId="34A85D7E">
      <w:pPr>
        <w:spacing w:line="360" w:lineRule="auto"/>
        <w:rPr>
          <w:rFonts w:hint="eastAsia" w:asciiTheme="minorEastAsia" w:hAnsiTheme="minorEastAsia" w:cs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九、验收</w:t>
      </w:r>
    </w:p>
    <w:p w14:paraId="4FDA8024">
      <w:pPr>
        <w:spacing w:line="360" w:lineRule="auto"/>
        <w:ind w:firstLine="480" w:firstLineChars="200"/>
        <w:jc w:val="left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乙方完成项目工可研技术审查工作，并经甲方组织内部验收通过后，向甲方提交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叁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份项目可研技术咨询意见（含电子版），报告须加盖单位公章。</w:t>
      </w:r>
    </w:p>
    <w:p w14:paraId="4B4B9DBD">
      <w:pPr>
        <w:spacing w:line="360" w:lineRule="auto"/>
        <w:jc w:val="left"/>
        <w:rPr>
          <w:rFonts w:hint="eastAsia" w:asciiTheme="minorEastAsia" w:hAnsiTheme="minorEastAsia" w:cs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十、不可抗力情况下的免责约定</w:t>
      </w:r>
    </w:p>
    <w:p w14:paraId="34CD0C22">
      <w:pPr>
        <w:spacing w:line="360" w:lineRule="auto"/>
        <w:jc w:val="left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在本合同执行过程中，若合同任何一方发生不可抗力，而导致不能或延误履行本合同义务时，甲乙双方应友好协商解决本合同继续执行、延迟执行或终止等相关问题。不可抗力包括但不限于战事、火灾、台风、地震、疫情，以及其他可由甲乙双方共同认可的事件。发生不可抗力一方必须在事故发生后立即告知另一方,并在事故发生十五天内，将书面证明发给对方。</w:t>
      </w:r>
    </w:p>
    <w:p w14:paraId="03F67EA2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十一、违约责任</w:t>
      </w:r>
    </w:p>
    <w:p w14:paraId="608DBCFB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依据《中华人民共和国民法典》《中华人民共和国政府采购法》《中华人民共和国政府采购法实施条例》的相关条款和本合同约定。合同签订生效后，因乙方原因终止合同，乙方除应向甲方退还已支付的所有款项外，还应向甲方支付合同总价款10%违约金，同时承担因此给甲方造成的所有损失。因甲方原因造成合同终止、解除的，甲方应按乙方实际工作量支付对应服务费用，并向乙方支付合同总价款10%的违约金。</w:t>
      </w:r>
    </w:p>
    <w:p w14:paraId="2D8B68EE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十二、双方权利和义务  </w:t>
      </w:r>
    </w:p>
    <w:p w14:paraId="6AEF0932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（一）甲方的权利和义务</w:t>
      </w:r>
    </w:p>
    <w:p w14:paraId="29280AB3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1.甲方负责向乙方提供项目可研报告等基础资料，组织相关单位开展项目现场踏勘调研、召开审查会议等工作。</w:t>
      </w:r>
    </w:p>
    <w:p w14:paraId="0F6F731E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2.甲方应当对乙方提交的相关成果文件及时进行确认，以保证项目按照进度实施。</w:t>
      </w:r>
    </w:p>
    <w:p w14:paraId="752B0B1C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3.合同执行过程中，工作内容、工作计划等若有重大调整，甲方应当以书面形式提前七日通知乙方，以便调整相应的工作安排，如因此造成的时间延长由甲方负责。</w:t>
      </w:r>
    </w:p>
    <w:p w14:paraId="10EB2CA2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（二）乙方的权利和义务</w:t>
      </w:r>
    </w:p>
    <w:p w14:paraId="13EC570C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乙方应按照本合同第六条内容和相关的竞争性磋商文件、磋商响应文件要求，明确相应的工作部门，以及足够的、相对固定的技术人员，提供所承担任务的全部工作环境，包括设备、场地等，作为完成该项目的技术支撑。</w:t>
      </w:r>
    </w:p>
    <w:p w14:paraId="56C3ACFC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乙方收到项目工可研技术审查任务后，应按照本合同第六条内容，根据现行有关规范标准和政策要求，负责对项目工可研报告开展现场踏勘调研、专家审查论证等咨询服务相关工作，并出具项目工可研技术审查意见，以及需满足的质量、服务、安全、时限等要求。</w:t>
      </w:r>
    </w:p>
    <w:p w14:paraId="681854A4">
      <w:pPr>
        <w:tabs>
          <w:tab w:val="left" w:pos="840"/>
        </w:tabs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乙方应根据现行有关法律、法规和技术标准与规范，遵循科学、客观、公正的原则，充分了解项目情况和相关各方意见，对项目可研报告编制质量和深度，对项目的建设必要性、交通量预测分析、路线方案比选、建设标准和规模、土地节约利用、节能环保、投资估算、经济评价和财务分析等内容进行全面审查，把握项目是否存在重大技术问题，并及时报告甲方。乙方提交的技术咨询相关成果应当重点突出、数据翔实、结论明确，能够为下阶段开展工作提供决策依据。</w:t>
      </w:r>
    </w:p>
    <w:p w14:paraId="71D51765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十三、合同争议的解决</w:t>
      </w:r>
    </w:p>
    <w:p w14:paraId="4C2FF24C">
      <w:pPr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合同执行中发生争议的，当事人双方应协商解决。协商达不成一致时，可向甲方住所地有管辖权的人民法院提起诉讼。</w:t>
      </w:r>
    </w:p>
    <w:p w14:paraId="4D557DAB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十四、其他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（在合同中具体明确）</w:t>
      </w:r>
    </w:p>
    <w:p w14:paraId="2586DE9F">
      <w:pPr>
        <w:spacing w:line="360" w:lineRule="auto"/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十五、合同订立</w:t>
      </w:r>
    </w:p>
    <w:p w14:paraId="6D49A8F0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1. 订立时间：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日。</w:t>
      </w:r>
    </w:p>
    <w:p w14:paraId="1C963BAF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2. 订立地点：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 w14:paraId="54DD27BE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3. 本合同一式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份，具有同等法律效力，双方各执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份，自双方法定代表人或授权代理人签字并加盖公章（或合同专用章）之日起生效，未尽事宜，双方协商解决。</w:t>
      </w:r>
    </w:p>
    <w:p w14:paraId="2450C426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甲方：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（盖章）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乙方：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（盖章）         </w:t>
      </w:r>
    </w:p>
    <w:p w14:paraId="5CAB4DC8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地址： 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地址：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</w:p>
    <w:p w14:paraId="3238B4EF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法定代表人或其授权                   法定代表人或其授权 </w:t>
      </w:r>
    </w:p>
    <w:p w14:paraId="5A2B9D0C">
      <w:pPr>
        <w:adjustRightInd w:val="0"/>
        <w:snapToGrid w:val="0"/>
        <w:spacing w:line="460" w:lineRule="exact"/>
        <w:ind w:firstLine="475" w:firstLineChars="198"/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的代理人：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（签字）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的代理人：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（签字）           </w:t>
      </w:r>
    </w:p>
    <w:p w14:paraId="32B19CCD">
      <w:pPr>
        <w:adjustRightInd w:val="0"/>
        <w:snapToGrid w:val="0"/>
        <w:spacing w:line="460" w:lineRule="exact"/>
        <w:ind w:firstLine="475" w:firstLineChars="198"/>
        <w:rPr>
          <w:color w:val="000000" w:themeColor="text1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订立时间：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订立时间：</w:t>
      </w:r>
      <w:r>
        <w:rPr>
          <w:rFonts w:hint="eastAsia" w:asciiTheme="minorEastAsia" w:hAnsiTheme="minorEastAsia" w:cstheme="minorEastAsia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</w:t>
      </w:r>
    </w:p>
    <w:p w14:paraId="1A83BDAF">
      <w:bookmarkStart w:id="0" w:name="_GoBack"/>
      <w:bookmarkEnd w:id="0"/>
    </w:p>
    <w:sectPr>
      <w:footerReference r:id="rId3" w:type="default"/>
      <w:pgSz w:w="11906" w:h="16838"/>
      <w:pgMar w:top="1417" w:right="1417" w:bottom="1417" w:left="141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AC010E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F7B571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F7B571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9141D"/>
    <w:rsid w:val="4839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2025-07-23T07:06:00Z</dcterms:created>
  <dc:creator>南风知我意~</dc:creator>
  <cp:lastModifiedBy>南风知我意~</cp:lastModifiedBy>
  <dcterms:modified xsi:type="dcterms:W3CDTF">2025-07-23T07:06:28Z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4396BB486920483EA38093BF81CDD42D_11</vt:lpwstr>
  </property>
  <property fmtid="{D5CDD505-2E9C-101B-9397-08002B2CF9AE}" pid="4" name="KSOTemplateDocerSaveRecord">
    <vt:lpwstr>eyJoZGlkIjoiYTE3M2ZhODIxYWIyMTBlN2MzNGQ1ZmY0NmI4YTQyNmYiLCJ1c2VySWQiOiI0MTcyOTk3NTgifQ==</vt:lpwstr>
  </property>
</Properties>
</file>