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版本号：XYTYXA2025-010-220250723001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2025年度高速公路工可研技术审查(第二批)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XYTYXA2025-010-2</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信宇腾远工程咨询集团有限公司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信宇腾远工程咨询集团有限公司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2025年度高速公路工可研技术审查(第二批)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XYTYXA2025-010-2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2025年度高速公路工可研技术审查(第二批)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标对G20青银线吴堡至子洲段改扩建、S23定吴高速石井子立交、G20青银高速吴堡服务区工可研技术审查，形成项目工可研报告技术审查意见；项目工可研报告技术咨询服务相关工作，主要包括项目建设必要性、交通量分析预测、技术标准、路线方案、建设规模、估算投资、资金筹措方案、经济评价等，以及需满足的质量、服务、安全、时限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全国投资项目在线审批监管平台查询：供应商应为全国投资项目在线审批监管平台（https://new.tzxm.gov.cn）备案的工程咨询单位，且工程咨询专业必须包含公路，服务范围必须包含评估咨询，且供应商名称与该名录中的相应企业名称完全一致；</w:t>
      </w:r>
    </w:p>
    <w:p>
      <w:pPr>
        <w:pStyle w:val="null3"/>
      </w:pPr>
      <w:r>
        <w:rPr>
          <w:rFonts w:ascii="仿宋_GB2312" w:hAnsi="仿宋_GB2312" w:cs="仿宋_GB2312" w:eastAsia="仿宋_GB2312"/>
        </w:rPr>
        <w:t>2、信誉要求：供应商未被“信用中国”网站（www.creditchina.gov.cn）中列入失信被执行人和重大税收违法失信主体，在中国政府采购网（www.ccgp.gov.cn）政府采购严重违法失信行为记录名单中未被财政部门禁止参加政府采购活动的供应商；</w:t>
      </w:r>
    </w:p>
    <w:p>
      <w:pPr>
        <w:pStyle w:val="null3"/>
      </w:pPr>
      <w:r>
        <w:rPr>
          <w:rFonts w:ascii="仿宋_GB2312" w:hAnsi="仿宋_GB2312" w:cs="仿宋_GB2312" w:eastAsia="仿宋_GB2312"/>
        </w:rPr>
        <w:t>3、其他要求：若是本采购包内任何一个项目的可研报告编制单位，不得参与本采购包的投标；</w:t>
      </w:r>
    </w:p>
    <w:p>
      <w:pPr>
        <w:pStyle w:val="null3"/>
      </w:pPr>
      <w:r>
        <w:rPr>
          <w:rFonts w:ascii="仿宋_GB2312" w:hAnsi="仿宋_GB2312" w:cs="仿宋_GB2312" w:eastAsia="仿宋_GB2312"/>
        </w:rPr>
        <w:t>4、法定代表人身份证明或授权委托书：法定代表人直接参加磋商的，须出具法定代表人身份证明；授权代表参加磋商的，须出具法定代表人授权书及授权代表身份证；</w:t>
      </w:r>
    </w:p>
    <w:p>
      <w:pPr>
        <w:pStyle w:val="null3"/>
      </w:pPr>
      <w:r>
        <w:rPr>
          <w:rFonts w:ascii="仿宋_GB2312" w:hAnsi="仿宋_GB2312" w:cs="仿宋_GB2312" w:eastAsia="仿宋_GB2312"/>
        </w:rPr>
        <w:t>5、不接受联合体声明：提供非联合体声明。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陕西省交通运输厅机关经办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029-88869050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信宇腾远工程咨询集团有限公司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西安市曲江新区雁展路1111号莱安中心T3-16层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029-87966866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开户名称：信宇腾远工程咨询集团有限公司</w:t>
            </w:r>
          </w:p>
          <w:p>
            <w:pPr>
              <w:pStyle w:val="null3"/>
            </w:pPr>
            <w:r>
              <w:rPr>
                <w:rFonts w:ascii="仿宋_GB2312" w:hAnsi="仿宋_GB2312" w:cs="仿宋_GB2312" w:eastAsia="仿宋_GB2312"/>
              </w:rPr>
              <w:t>开户银行：陕西商南农村商业银行股份有限公司</w:t>
            </w:r>
          </w:p>
          <w:p>
            <w:pPr>
              <w:pStyle w:val="null3"/>
            </w:pPr>
            <w:r>
              <w:rPr>
                <w:rFonts w:ascii="仿宋_GB2312" w:hAnsi="仿宋_GB2312" w:cs="仿宋_GB2312" w:eastAsia="仿宋_GB2312"/>
              </w:rPr>
              <w:t>银行账号：2708050101201000087857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限额以下定额收取，其他参照《国家计委关于印发〈招标代理服务收费管理暂行办法〉的通知》（计价格[2002]1980号）和国家发展改革委员会办公厅颁发的《关于招标代理服务收费有关问题的通知》（发改办价格[2003]857号）规定标准×90%收取，由成交单位在领取成交通知书3个工作日内，向代理机构缴纳。 代理费缴纳账户： 银行户名：信宇腾远工程咨询集团有限公司 纳税人识别号：916110233057087475 开户银行： 陕西商南农村商业银行股份有限公司 账 号：2708050101201000087857 银行联号：402803401227 联系人： 王工、李工 联系电话： 029-87966866 注：转账时须备注项目编号或者项目名称简称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信宇腾远工程咨询集团有限公司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信宇腾远工程咨询集团有限公司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信宇腾远工程咨询集团有限公司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信宇腾远工程咨询集团有限公司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联系人：王工、李工</w:t>
      </w:r>
    </w:p>
    <w:p>
      <w:pPr>
        <w:pStyle w:val="null3"/>
      </w:pPr>
      <w:r>
        <w:rPr>
          <w:rFonts w:ascii="仿宋_GB2312" w:hAnsi="仿宋_GB2312" w:cs="仿宋_GB2312" w:eastAsia="仿宋_GB2312"/>
        </w:rPr>
        <w:t>联系电话：029-87966866</w:t>
      </w:r>
    </w:p>
    <w:p>
      <w:pPr>
        <w:pStyle w:val="null3"/>
      </w:pPr>
      <w:r>
        <w:rPr>
          <w:rFonts w:ascii="仿宋_GB2312" w:hAnsi="仿宋_GB2312" w:cs="仿宋_GB2312" w:eastAsia="仿宋_GB2312"/>
        </w:rPr>
        <w:t>地址：西安市曲江新区雁展路1111号莱安中心T3-16层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标对G20青银线吴堡至子洲段改扩建、S23定吴高速石井子立交、G20青银高速吴堡服务区工可研技术审查，形成项目工可研报告技术审查意见；项目工可研报告技术审查服务相关工作，主要包括项目建设必要性、交通量分析预测、技术标准、路线方案、建设规模、估算投资、资金筹措方案、经济评价等，以及需满足的质量、服务、安全、时限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2025年度高速公路工可研技术审查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标的名称：2025年度高速公路工可研技术审查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一、项目概况</w:t>
            </w:r>
          </w:p>
          <w:p>
            <w:pPr>
              <w:pStyle w:val="null3"/>
              <w:ind w:firstLine="480"/>
            </w:pPr>
            <w:r>
              <w:rPr>
                <w:rFonts w:ascii="仿宋_GB2312" w:hAnsi="仿宋_GB2312" w:cs="仿宋_GB2312" w:eastAsia="仿宋_GB2312"/>
                <w:sz w:val="24"/>
                <w:color w:val="000000"/>
              </w:rPr>
              <w:t>本次招标对</w:t>
            </w:r>
            <w:r>
              <w:rPr>
                <w:rFonts w:ascii="仿宋_GB2312" w:hAnsi="仿宋_GB2312" w:cs="仿宋_GB2312" w:eastAsia="仿宋_GB2312"/>
                <w:sz w:val="24"/>
                <w:color w:val="000000"/>
              </w:rPr>
              <w:t>G20</w:t>
            </w:r>
            <w:r>
              <w:rPr>
                <w:rFonts w:ascii="仿宋_GB2312" w:hAnsi="仿宋_GB2312" w:cs="仿宋_GB2312" w:eastAsia="仿宋_GB2312"/>
                <w:sz w:val="24"/>
                <w:color w:val="000000"/>
              </w:rPr>
              <w:t>青银线吴堡至子洲段改扩建</w:t>
            </w:r>
            <w:r>
              <w:rPr>
                <w:rFonts w:ascii="仿宋_GB2312" w:hAnsi="仿宋_GB2312" w:cs="仿宋_GB2312" w:eastAsia="仿宋_GB2312"/>
                <w:sz w:val="24"/>
                <w:color w:val="000000"/>
              </w:rPr>
              <w:t>、</w:t>
            </w:r>
            <w:r>
              <w:rPr>
                <w:rFonts w:ascii="仿宋_GB2312" w:hAnsi="仿宋_GB2312" w:cs="仿宋_GB2312" w:eastAsia="仿宋_GB2312"/>
                <w:sz w:val="24"/>
                <w:color w:val="000000"/>
              </w:rPr>
              <w:t>S23</w:t>
            </w:r>
            <w:r>
              <w:rPr>
                <w:rFonts w:ascii="仿宋_GB2312" w:hAnsi="仿宋_GB2312" w:cs="仿宋_GB2312" w:eastAsia="仿宋_GB2312"/>
                <w:sz w:val="24"/>
                <w:color w:val="000000"/>
              </w:rPr>
              <w:t>定吴高速石井子立交、</w:t>
            </w:r>
            <w:r>
              <w:rPr>
                <w:rFonts w:ascii="仿宋_GB2312" w:hAnsi="仿宋_GB2312" w:cs="仿宋_GB2312" w:eastAsia="仿宋_GB2312"/>
                <w:sz w:val="24"/>
                <w:color w:val="000000"/>
              </w:rPr>
              <w:t>G20</w:t>
            </w:r>
            <w:r>
              <w:rPr>
                <w:rFonts w:ascii="仿宋_GB2312" w:hAnsi="仿宋_GB2312" w:cs="仿宋_GB2312" w:eastAsia="仿宋_GB2312"/>
                <w:sz w:val="24"/>
                <w:color w:val="000000"/>
              </w:rPr>
              <w:t>青银高速吴堡服务区工可研技术审查</w:t>
            </w:r>
            <w:r>
              <w:rPr>
                <w:rFonts w:ascii="仿宋_GB2312" w:hAnsi="仿宋_GB2312" w:cs="仿宋_GB2312" w:eastAsia="仿宋_GB2312"/>
                <w:sz w:val="24"/>
                <w:color w:val="000000"/>
              </w:rPr>
              <w:t>，</w:t>
            </w:r>
            <w:r>
              <w:rPr>
                <w:rFonts w:ascii="仿宋_GB2312" w:hAnsi="仿宋_GB2312" w:cs="仿宋_GB2312" w:eastAsia="仿宋_GB2312"/>
                <w:sz w:val="24"/>
                <w:color w:val="000000"/>
              </w:rPr>
              <w:t>形成项目工可研报告技术</w:t>
            </w:r>
            <w:r>
              <w:rPr>
                <w:rFonts w:ascii="仿宋_GB2312" w:hAnsi="仿宋_GB2312" w:cs="仿宋_GB2312" w:eastAsia="仿宋_GB2312"/>
                <w:sz w:val="24"/>
                <w:color w:val="000000"/>
              </w:rPr>
              <w:t>审查</w:t>
            </w:r>
            <w:r>
              <w:rPr>
                <w:rFonts w:ascii="仿宋_GB2312" w:hAnsi="仿宋_GB2312" w:cs="仿宋_GB2312" w:eastAsia="仿宋_GB2312"/>
                <w:sz w:val="24"/>
                <w:color w:val="000000"/>
              </w:rPr>
              <w:t>意见；项目工可研报告技术</w:t>
            </w:r>
            <w:r>
              <w:rPr>
                <w:rFonts w:ascii="仿宋_GB2312" w:hAnsi="仿宋_GB2312" w:cs="仿宋_GB2312" w:eastAsia="仿宋_GB2312"/>
                <w:sz w:val="24"/>
                <w:color w:val="000000"/>
              </w:rPr>
              <w:t>审查</w:t>
            </w:r>
            <w:r>
              <w:rPr>
                <w:rFonts w:ascii="仿宋_GB2312" w:hAnsi="仿宋_GB2312" w:cs="仿宋_GB2312" w:eastAsia="仿宋_GB2312"/>
                <w:sz w:val="24"/>
                <w:color w:val="000000"/>
              </w:rPr>
              <w:t>服务相关工作，主要包括项目建设必要性、交通量分析预测、技术标准、路线方案、建设规模、估算投资、资金筹措方案、经济评价等，以及需满足的质量、服务、安全、时限等要求。</w:t>
            </w:r>
          </w:p>
          <w:p>
            <w:pPr>
              <w:pStyle w:val="null3"/>
              <w:ind w:firstLine="482"/>
            </w:pPr>
            <w:r>
              <w:rPr>
                <w:rFonts w:ascii="仿宋_GB2312" w:hAnsi="仿宋_GB2312" w:cs="仿宋_GB2312" w:eastAsia="仿宋_GB2312"/>
                <w:sz w:val="24"/>
                <w:b/>
                <w:color w:val="000000"/>
              </w:rPr>
              <w:t>二、项目投资规模及建设内容</w:t>
            </w:r>
          </w:p>
          <w:p>
            <w:pPr>
              <w:pStyle w:val="null3"/>
              <w:ind w:firstLine="480"/>
            </w:pPr>
            <w:r>
              <w:rPr>
                <w:rFonts w:ascii="仿宋_GB2312" w:hAnsi="仿宋_GB2312" w:cs="仿宋_GB2312" w:eastAsia="仿宋_GB2312"/>
                <w:sz w:val="24"/>
                <w:color w:val="000000"/>
              </w:rPr>
              <w:t>（一）</w:t>
            </w:r>
            <w:r>
              <w:rPr>
                <w:rFonts w:ascii="仿宋_GB2312" w:hAnsi="仿宋_GB2312" w:cs="仿宋_GB2312" w:eastAsia="仿宋_GB2312"/>
                <w:sz w:val="24"/>
                <w:color w:val="000000"/>
              </w:rPr>
              <w:t>G20</w:t>
            </w:r>
            <w:r>
              <w:rPr>
                <w:rFonts w:ascii="仿宋_GB2312" w:hAnsi="仿宋_GB2312" w:cs="仿宋_GB2312" w:eastAsia="仿宋_GB2312"/>
                <w:sz w:val="24"/>
                <w:color w:val="000000"/>
              </w:rPr>
              <w:t>青银线吴堡至子洲段改扩建，全线按照另辟新线扩容改造，采用设计速度</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公里</w:t>
            </w:r>
            <w:r>
              <w:rPr>
                <w:rFonts w:ascii="仿宋_GB2312" w:hAnsi="仿宋_GB2312" w:cs="仿宋_GB2312" w:eastAsia="仿宋_GB2312"/>
                <w:sz w:val="24"/>
                <w:color w:val="000000"/>
              </w:rPr>
              <w:t>/</w:t>
            </w:r>
            <w:r>
              <w:rPr>
                <w:rFonts w:ascii="仿宋_GB2312" w:hAnsi="仿宋_GB2312" w:cs="仿宋_GB2312" w:eastAsia="仿宋_GB2312"/>
                <w:sz w:val="24"/>
                <w:color w:val="000000"/>
              </w:rPr>
              <w:t>小时双向四车道高速公路技术标准，全长</w:t>
            </w:r>
            <w:r>
              <w:rPr>
                <w:rFonts w:ascii="仿宋_GB2312" w:hAnsi="仿宋_GB2312" w:cs="仿宋_GB2312" w:eastAsia="仿宋_GB2312"/>
                <w:sz w:val="24"/>
                <w:color w:val="000000"/>
              </w:rPr>
              <w:t>81</w:t>
            </w:r>
            <w:r>
              <w:rPr>
                <w:rFonts w:ascii="仿宋_GB2312" w:hAnsi="仿宋_GB2312" w:cs="仿宋_GB2312" w:eastAsia="仿宋_GB2312"/>
                <w:sz w:val="24"/>
                <w:color w:val="000000"/>
              </w:rPr>
              <w:t>公里，估算投资</w:t>
            </w:r>
            <w:r>
              <w:rPr>
                <w:rFonts w:ascii="仿宋_GB2312" w:hAnsi="仿宋_GB2312" w:cs="仿宋_GB2312" w:eastAsia="仿宋_GB2312"/>
                <w:sz w:val="24"/>
                <w:color w:val="000000"/>
              </w:rPr>
              <w:t>140</w:t>
            </w:r>
            <w:r>
              <w:rPr>
                <w:rFonts w:ascii="仿宋_GB2312" w:hAnsi="仿宋_GB2312" w:cs="仿宋_GB2312" w:eastAsia="仿宋_GB2312"/>
                <w:sz w:val="24"/>
                <w:color w:val="000000"/>
              </w:rPr>
              <w:t>亿，拟设互通式立交</w:t>
            </w:r>
            <w:r>
              <w:rPr>
                <w:rFonts w:ascii="仿宋_GB2312" w:hAnsi="仿宋_GB2312" w:cs="仿宋_GB2312" w:eastAsia="仿宋_GB2312"/>
                <w:sz w:val="24"/>
                <w:color w:val="000000"/>
              </w:rPr>
              <w:t>7</w:t>
            </w:r>
            <w:r>
              <w:rPr>
                <w:rFonts w:ascii="仿宋_GB2312" w:hAnsi="仿宋_GB2312" w:cs="仿宋_GB2312" w:eastAsia="仿宋_GB2312"/>
                <w:sz w:val="24"/>
                <w:color w:val="000000"/>
              </w:rPr>
              <w:t>处。</w:t>
            </w:r>
          </w:p>
          <w:p>
            <w:pPr>
              <w:pStyle w:val="null3"/>
              <w:ind w:firstLine="480"/>
            </w:pPr>
            <w:r>
              <w:rPr>
                <w:rFonts w:ascii="仿宋_GB2312" w:hAnsi="仿宋_GB2312" w:cs="仿宋_GB2312" w:eastAsia="仿宋_GB2312"/>
                <w:sz w:val="24"/>
                <w:color w:val="000000"/>
              </w:rPr>
              <w:t>（二）</w:t>
            </w:r>
            <w:r>
              <w:rPr>
                <w:rFonts w:ascii="仿宋_GB2312" w:hAnsi="仿宋_GB2312" w:cs="仿宋_GB2312" w:eastAsia="仿宋_GB2312"/>
                <w:sz w:val="24"/>
                <w:color w:val="000000"/>
              </w:rPr>
              <w:t>S23</w:t>
            </w:r>
            <w:r>
              <w:rPr>
                <w:rFonts w:ascii="仿宋_GB2312" w:hAnsi="仿宋_GB2312" w:cs="仿宋_GB2312" w:eastAsia="仿宋_GB2312"/>
                <w:sz w:val="24"/>
                <w:color w:val="000000"/>
              </w:rPr>
              <w:t>定吴高速石井子立交，估算投资</w:t>
            </w:r>
            <w:r>
              <w:rPr>
                <w:rFonts w:ascii="仿宋_GB2312" w:hAnsi="仿宋_GB2312" w:cs="仿宋_GB2312" w:eastAsia="仿宋_GB2312"/>
                <w:sz w:val="24"/>
                <w:color w:val="000000"/>
              </w:rPr>
              <w:t>1.1</w:t>
            </w:r>
            <w:r>
              <w:rPr>
                <w:rFonts w:ascii="仿宋_GB2312" w:hAnsi="仿宋_GB2312" w:cs="仿宋_GB2312" w:eastAsia="仿宋_GB2312"/>
                <w:sz w:val="24"/>
                <w:color w:val="000000"/>
              </w:rPr>
              <w:t>亿。</w:t>
            </w:r>
          </w:p>
          <w:p>
            <w:pPr>
              <w:pStyle w:val="null3"/>
              <w:ind w:firstLine="480"/>
            </w:pPr>
            <w:r>
              <w:rPr>
                <w:rFonts w:ascii="仿宋_GB2312" w:hAnsi="仿宋_GB2312" w:cs="仿宋_GB2312" w:eastAsia="仿宋_GB2312"/>
                <w:sz w:val="24"/>
                <w:color w:val="000000"/>
              </w:rPr>
              <w:t>（三）</w:t>
            </w:r>
            <w:r>
              <w:rPr>
                <w:rFonts w:ascii="仿宋_GB2312" w:hAnsi="仿宋_GB2312" w:cs="仿宋_GB2312" w:eastAsia="仿宋_GB2312"/>
                <w:sz w:val="24"/>
                <w:color w:val="000000"/>
              </w:rPr>
              <w:t>G20</w:t>
            </w:r>
            <w:r>
              <w:rPr>
                <w:rFonts w:ascii="仿宋_GB2312" w:hAnsi="仿宋_GB2312" w:cs="仿宋_GB2312" w:eastAsia="仿宋_GB2312"/>
                <w:sz w:val="24"/>
                <w:color w:val="000000"/>
              </w:rPr>
              <w:t>青银高速吴堡服务区，估算投资</w:t>
            </w:r>
            <w:r>
              <w:rPr>
                <w:rFonts w:ascii="仿宋_GB2312" w:hAnsi="仿宋_GB2312" w:cs="仿宋_GB2312" w:eastAsia="仿宋_GB2312"/>
                <w:sz w:val="24"/>
                <w:color w:val="000000"/>
              </w:rPr>
              <w:t>3.4</w:t>
            </w:r>
            <w:r>
              <w:rPr>
                <w:rFonts w:ascii="仿宋_GB2312" w:hAnsi="仿宋_GB2312" w:cs="仿宋_GB2312" w:eastAsia="仿宋_GB2312"/>
                <w:sz w:val="24"/>
                <w:color w:val="000000"/>
              </w:rPr>
              <w:t>亿。</w:t>
            </w:r>
          </w:p>
          <w:p>
            <w:pPr>
              <w:pStyle w:val="null3"/>
              <w:ind w:firstLine="482"/>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、服务要求</w:t>
            </w:r>
          </w:p>
          <w:p>
            <w:pPr>
              <w:pStyle w:val="null3"/>
              <w:ind w:firstLine="480"/>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总体要求</w:t>
            </w:r>
          </w:p>
          <w:p>
            <w:pPr>
              <w:pStyle w:val="null3"/>
              <w:ind w:firstLine="480"/>
            </w:pPr>
            <w:r>
              <w:rPr>
                <w:rFonts w:ascii="仿宋_GB2312" w:hAnsi="仿宋_GB2312" w:cs="仿宋_GB2312" w:eastAsia="仿宋_GB2312"/>
                <w:sz w:val="24"/>
                <w:color w:val="000000"/>
              </w:rPr>
              <w:t>承担技术咨询任务的单位，应根据采购人关于</w:t>
            </w: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的技术咨询任务安排，明确相应的技术咨询部门，以及足够的、相对固定的技术人员，作为完成本次技术咨询任务的基本力量，建立明确的内部管理模式，建立健全质量保证体系，保证审查工作质量和进度。参与技术咨询任务的审查人员应当遵守国家法律法规，坚持原则，恪守职业道德，客观公正，责任心强，专业素质高，技术能力强，掌握现行相关标准、规范和政策。</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质量要求</w:t>
            </w:r>
          </w:p>
          <w:p>
            <w:pPr>
              <w:pStyle w:val="null3"/>
              <w:ind w:firstLine="480"/>
            </w:pPr>
            <w:r>
              <w:rPr>
                <w:rFonts w:ascii="仿宋_GB2312" w:hAnsi="仿宋_GB2312" w:cs="仿宋_GB2312" w:eastAsia="仿宋_GB2312"/>
                <w:sz w:val="24"/>
                <w:color w:val="000000"/>
              </w:rPr>
              <w:t>承担技术咨询任务的单位，需按照现行有关规范标准和政策要求，负责对合同段内项目工可研报告开展技术咨询审查服务相关工作，出具项目</w:t>
            </w:r>
            <w:r>
              <w:rPr>
                <w:rFonts w:ascii="仿宋_GB2312" w:hAnsi="仿宋_GB2312" w:cs="仿宋_GB2312" w:eastAsia="仿宋_GB2312"/>
                <w:sz w:val="24"/>
                <w:color w:val="000000"/>
              </w:rPr>
              <w:t>工可研技术审查</w:t>
            </w:r>
            <w:r>
              <w:rPr>
                <w:rFonts w:ascii="仿宋_GB2312" w:hAnsi="仿宋_GB2312" w:cs="仿宋_GB2312" w:eastAsia="仿宋_GB2312"/>
                <w:sz w:val="24"/>
                <w:color w:val="000000"/>
              </w:rPr>
              <w:t>审查意见，以及需满足的质量、服务、安全、时限等要求。</w:t>
            </w:r>
            <w:r>
              <w:rPr>
                <w:rFonts w:ascii="仿宋_GB2312" w:hAnsi="仿宋_GB2312" w:cs="仿宋_GB2312" w:eastAsia="仿宋_GB2312"/>
                <w:sz w:val="24"/>
                <w:color w:val="000000"/>
              </w:rPr>
              <w:t>各</w:t>
            </w:r>
            <w:r>
              <w:rPr>
                <w:rFonts w:ascii="仿宋_GB2312" w:hAnsi="仿宋_GB2312" w:cs="仿宋_GB2312" w:eastAsia="仿宋_GB2312"/>
                <w:sz w:val="24"/>
                <w:color w:val="000000"/>
              </w:rPr>
              <w:t>合同段内项目的咨询审查内容包括但不限于项目建设的必要性和建设时机、标准规模的适应性，技术方案可行性和经济合理性、实施的可能性，基础资料的真实性及可靠性，以及可行性研究报告的编制工作深度等</w:t>
            </w:r>
            <w:r>
              <w:rPr>
                <w:rFonts w:ascii="仿宋_GB2312" w:hAnsi="仿宋_GB2312" w:cs="仿宋_GB2312" w:eastAsia="仿宋_GB2312"/>
                <w:sz w:val="24"/>
                <w:color w:val="000000"/>
              </w:rPr>
              <w:t>。</w:t>
            </w:r>
          </w:p>
          <w:p>
            <w:pPr>
              <w:pStyle w:val="null3"/>
              <w:ind w:firstLine="480"/>
            </w:pPr>
            <w:r>
              <w:rPr>
                <w:rFonts w:ascii="仿宋_GB2312" w:hAnsi="仿宋_GB2312" w:cs="仿宋_GB2312" w:eastAsia="仿宋_GB2312"/>
                <w:sz w:val="24"/>
                <w:color w:val="000000"/>
              </w:rPr>
              <w:t>技术咨询审查应充分了解项目情况和各方意见，结合项目的实际提出明确的审查意见。应对项目可行性研究报告文件的依据文件和资料、建设需求、必要性和建设方案等主要内容进行审核，把握项目是否有重大技术问题和依据疏失，同时审核送审文件的质量是否满足相关要求等。咨询审查报告应当重点突出、数据翔实、观点鲜明、结论明确，重大方案意见应在报告中反映并有结论性建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、上述项目中，若存在受宏观政策变化等影响，且地方明确提出不再实施的项目，经双方友好协商，可对不再实施的项目予以更换调整为其他同等规模的类似项目，并签订相关补充协议。</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自合同生效之日起，至项目工可研技术审查报告取得审批部门批复止（具体以合同签订为准）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乙方完成项目工可研技术审查咨询工作，并经甲方组织内部验收通过后，向甲方提交叁份项目可研技术咨询意见（含电子版），报告须加盖单位公章。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自本合同生效之日起，甲方收到乙方开具的全额合格增值税普通发票后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合同签订生效后，因乙方原因终止合同，乙方除应向甲方退还已支付的所有款项外，还应向甲方支付合同总价款10%违约金，同时承担因此给甲方造成的所有损失。因甲方原因造成合同终止、解除的，甲方应按乙方实际工作量支付对应服务费用，并向乙方支付合同总价款10%的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1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 2.供应商应提供健全的财务会计制度的证明材料: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 3.税收缴纳证明：提供响应文件递交截止日前一年内已缴纳的至少一个月的纳税证明或完税证明，依法免税的单位应提供相关证明材料； 4.社会保障资金缴纳证明：提供响应文件递交截止日前一年内已缴存的至少一个月的社会保障资金缴存单据或社保机构开具的社会保险参保缴费情况证明，依法不需要缴纳社会保障资金的单位应提供相关证明材料； 5.提供具有履行本合同所必需的专业技术能力的声明:供应商具备履行合同所必需的设备和专业技术能力（提供承诺书原件） 6.参加本次政府采购活动前3年内在经营活动中没有重大违纪，以及未被列入失信被执行人、重大税收违法失信主体、政府采购严重违法失信行为记录名单的书面声明: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包括“四表一注”，即资产负债表、利润表、现金流量表、所有者权益变动表及其附注，成立时间至提交投标文件截止时间不足一年的可提供成立后任意时段的资产负债表），或其磋商前六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供应商需提供单位负责人为同一人或者存在直接控股、管理关系的不同供应商不得参加同一合同项下的政府采购活动； 为本项目提供整体设计、规范编制或者项目管理、监理、检测等服务的供应商，不得再参加该采购项目的其他采购活动的书面声明。</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供应商应为全国投资项目在线审批监管平台（https://new.tzxm.gov.cn）备案的工程咨询单位，且工程咨询专业必须包含公路，服务范围必须包含评估咨询，且供应商名称与该名录中的相应企业名称完全一致；</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www.creditchina.gov.cn）中列入失信被执行人和重大税收违法失信主体，在中国政府采购网（www.ccgp.gov.cn）政府采购严重违法失信行为记录名单中未被财政部门禁止参加政府采购活动的供应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若是本采购包内任何一个项目的可研报告编制单位，不得参与本采购包的投标；</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法定代表人直接参加磋商的，须出具法定代表人身份证明；授权代表参加磋商的，须出具法定代表人授权书及授权代表身份证；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不接受联合体声明</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服务内容及服务邀请应答表 中小企业声明函 拟派项目组人员一览表（格式）.docx 商务应答表 一般资格要求.docx 报价表 响应文件封面 特殊资格要求.docx 残疾人福利性单位声明函 服务方案 标的清单 企业业绩统计表（格式）.docx 响应函 拟派项目负责人简历表（格式）.docx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服务内容及服务邀请应答表 中小企业声明函 拟派项目组人员一览表（格式）.docx 商务应答表 一般资格要求.docx 报价表 响应文件封面 特殊资格要求.docx 残疾人福利性单位声明函 服务方案 标的清单 企业业绩统计表（格式）.docx 响应函 拟派项目负责人简历表（格式）.docx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 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自提交响应文件的截止之日起不少于90个日历日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一、评审内容 供应商针对本项目可研服务工作的理解，内容包含：①项目背景介绍及部署；②可研服务工作范围和内容；③目的和目标；④工作要求等方面。 二、评审标准 1、完整性：理解必须全面，对评审内容中的各项要求有详细描述； 2、可实施性：切合本项目实际情况，提出步骤清晰、合理的方案； 3、针对性：内容能够紧扣项目实际情况，内容科学合理。 三、赋分标准 ①项目背景介绍及部署：每完全满足一个评审标准得1分，基本满足得0.5分，不满足或未提供得0分，满分3分； ②可研服务工作范围和内容：每完全满足一个评审标准得1分，基本满足得0.5分，不满足或未提供得0分，满分3分； ③目的和目标：每完全满足一个评审标准得1分，基本满足得0.5分，不满足或未提供得0分，满分3分； ④工作要求：每完全满足一个评审标准得1分，基本满足得0.5分，不满足或未提供得0分，满分3分。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对本项目的总体思路、工作安排和各专业工程技术咨询特点的理解</w:t>
            </w:r>
          </w:p>
        </w:tc>
        <w:tc>
          <w:tcPr>
            <w:tcW w:type="dxa" w:w="2492"/>
          </w:tcPr>
          <w:p>
            <w:pPr>
              <w:pStyle w:val="null3"/>
            </w:pPr>
            <w:r>
              <w:rPr>
                <w:rFonts w:ascii="仿宋_GB2312" w:hAnsi="仿宋_GB2312" w:cs="仿宋_GB2312" w:eastAsia="仿宋_GB2312"/>
              </w:rPr>
              <w:t>一、评审内容 供应商针对本项目的总体思路、工作安排和各专业工程技术咨询特点的理解，内容包含：①总体思路；②工作计划和安排；③工作流程及实施步骤；④对各专业工程技术咨询特点的理解等方面。 二、评审标准 1、完整性：理解必须全面，对评审内容中的各项要求有详细描述； 2、可实施性：切合本项目实际情况，提出步骤清晰、合理的方案； 3、针对性：内容能够紧扣项目实际情况，内容科学合理。 三、赋分标准 ①总体思路：每完全满足一个评审标准得1分，基本满足得0.5分，不满足或未提供得0分，满分3分； ②工作计划和安排：每完全满足一个评审标准得1分，基本满足得0.5分，不满足或未提供得0分，满分3分； ③工作流程及实施步骤：每完全满足一个评审标准得1分，基本满足得0.5分，不满足或未提供得0分，满分3分； ④对各专业工程技术咨询特点的理解：每完全满足一个评审标准得1分，基本满足得0.5分，不满足或未提供得0分，满分3分。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对本项目的重难点分析、关键技术问题及对策措施</w:t>
            </w:r>
          </w:p>
        </w:tc>
        <w:tc>
          <w:tcPr>
            <w:tcW w:type="dxa" w:w="2492"/>
          </w:tcPr>
          <w:p>
            <w:pPr>
              <w:pStyle w:val="null3"/>
            </w:pPr>
            <w:r>
              <w:rPr>
                <w:rFonts w:ascii="仿宋_GB2312" w:hAnsi="仿宋_GB2312" w:cs="仿宋_GB2312" w:eastAsia="仿宋_GB2312"/>
              </w:rPr>
              <w:t>一、评审内容 供应商针对本项目采购需求，提供对本项目的重难点分析、关键技术问题的对策措施，内容包含：①项目需求分析；②重难点分析；③关键技术问题分析；④相关对策措施；⑤合理化建议等方面。 二、评审标准 1、完整性：理解必须全面，对评审内容中的各项要求有详细描述； 2、可实施性：切合本项目实际情况，提出步骤清晰、合理的方案； 3、针对性：内容能够紧扣项目实际情况，内容科学合理； 4、客观真实性：内容客观、真实、可验证，确保方案准确可靠。 三、赋分标准 ①项目需求分析：每完全满足一个评审标准得1分，基本满足得0.5分，不满足或未提供得0分，满分4分； ②重难点分析：每完全满足一个评审标准得1分，基本满足得0.5分，不满足或未提供得0分，满分4分； ③关键技术问题分析：每完全满足一个评审标准得1分，基本满足得0.5分，不满足或未提供得0分，满分4分； ④相关对策措施：每完全满足一个评审标准得1分，基本满足得0.5分，不满足或未提供得0分，满分4分； ⑤合理化建议：每完全满足一个评审标准得1分，基本满足得0.5分，不满足或未提供得0分，满分4分。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对本项目的进度及质量保证措施</w:t>
            </w:r>
          </w:p>
        </w:tc>
        <w:tc>
          <w:tcPr>
            <w:tcW w:type="dxa" w:w="2492"/>
          </w:tcPr>
          <w:p>
            <w:pPr>
              <w:pStyle w:val="null3"/>
            </w:pPr>
            <w:r>
              <w:rPr>
                <w:rFonts w:ascii="仿宋_GB2312" w:hAnsi="仿宋_GB2312" w:cs="仿宋_GB2312" w:eastAsia="仿宋_GB2312"/>
              </w:rPr>
              <w:t>一、评审内容 供应商针对本项目采购需求，提供对本项目的进度及质量保证措施，内容包含：①进度及质量承诺；②进度保证措施；③质量保证措施等方面。 二、评审标准 1、完整性：理解必须全面，对评审内容中的各项要求有详细描述； 2、可实施性：切合本项目实际情况，提出步骤清晰、合理的方案； 3、针对性：内容能够紧扣项目实际情况，内容科学合理。 三、赋分标准 ①进度及质量承诺：每完全满足一个评审标准得1分，基本满足得0.5分，不满足或未提供得0分，满分3分； ②进度保证措施：每完全满足一个评审标准得1分，基本满足得0.5分，不满足或未提供得0分，满分3分； ③质量保证措施：每完全满足一个评审标准得1分，基本满足得0.5分，不满足或未提供得0分，满分3分。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拟投入本项目的组织机构及人员配置方案</w:t>
            </w:r>
          </w:p>
        </w:tc>
        <w:tc>
          <w:tcPr>
            <w:tcW w:type="dxa" w:w="2492"/>
          </w:tcPr>
          <w:p>
            <w:pPr>
              <w:pStyle w:val="null3"/>
            </w:pPr>
            <w:r>
              <w:rPr>
                <w:rFonts w:ascii="仿宋_GB2312" w:hAnsi="仿宋_GB2312" w:cs="仿宋_GB2312" w:eastAsia="仿宋_GB2312"/>
              </w:rPr>
              <w:t>一、评审内容 供应商针对本项目采购需求，提供拟投入本项目的组织机构及人员配置方案，内容包含：①组织机构及岗位职责；②人员储备及从业经验；③组织安排计划；④团队管理制度等方面。 二、评审标准 1、完整性：理解必须全面，对评审内容中的各项要求有详细描述； 2、可实施性：切合本项目实际情况，提出步骤清晰、合理的方案； 3、针对性：内容能够紧扣项目实际情况，内容科学合理。 三、赋分标准 ①组织机构及岗位职责：每完全满足一个评审标准得1分，基本满足得0.5分，不满足或未提供得0分，满分3分； ②人员储备及从业经验：每完全满足一个评审标准得1分，基本满足得0.5分，不满足或未提供得0分，满分3分； ③组织安排计划：每完全满足一个评审标准得1分，基本满足得0.5分，不满足或未提供得0分，满分3分； ④团队管理制度：每完全满足一个评审标准得1分，基本满足得0.5分，不满足或未提供得0分，满分3分。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拟派项目组人员一览表（格式）.docx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1.具有公路相关专业高级工程师及以上职称的，得5分。 注：提供项目负责人2024年度连续3个月的社保缴纳证明资料，并提供证书复印件加盖公章，未提供不得分。 2.2022年01月01日至今，担任过1个同类业绩的项目负责人（或专项负责人），得4分，不满足该项要求不得分。每增加1个同类项目负责人（或专项负责人）的业绩，加2分，最多加6分。 注：提供中标（成交）通知书或合同复印件，需体现项目负责人姓名。如上述文件不能体现项目负责人姓名的，可提供对应项目采购单位出具的相关证明扫描件或带有项目名称、项目负责人签名的咨询审查报告文件关键页扫描件。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拟派项目负责人简历表（格式）.docx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2022年01月01日至今，具有1个同类业绩，得4分，不满足该项要求不得分。每增加1个同类业绩加1分，最多加6分。 注：提供中标（成交) 通知书或合同复印件加盖公章，合同内容完整，未提供不得分。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企业业绩统计表（格式）.docx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满足磋商文件要求且磋商报价价格最低的磋商报价为评审基准价，其价格分为满分。其他供应商的价格分统一按照下列公式计算：磋商报价得分=(评审基准价／磋商报价)×价格权值×100。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详见附件：企业业绩统计表（格式）.docx</w:t>
      </w:r>
    </w:p>
    <w:p>
      <w:pPr>
        <w:pStyle w:val="null3"/>
        <w:ind w:firstLine="960"/>
      </w:pPr>
      <w:r>
        <w:rPr>
          <w:rFonts w:ascii="仿宋_GB2312" w:hAnsi="仿宋_GB2312" w:cs="仿宋_GB2312" w:eastAsia="仿宋_GB2312"/>
        </w:rPr>
        <w:t>详见附件：拟派项目负责人简历表（格式）.docx</w:t>
      </w:r>
    </w:p>
    <w:p>
      <w:pPr>
        <w:pStyle w:val="null3"/>
        <w:ind w:firstLine="960"/>
      </w:pPr>
      <w:r>
        <w:rPr>
          <w:rFonts w:ascii="仿宋_GB2312" w:hAnsi="仿宋_GB2312" w:cs="仿宋_GB2312" w:eastAsia="仿宋_GB2312"/>
        </w:rPr>
        <w:t>详见附件：拟派项目组人员一览表（格式）.docx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