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版本号：SXWZ2025ZB-YXY-19020250724001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虚拟教研室建设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SXWZ2025ZB-YXY-190</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虚拟教研室建设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SXWZ2025ZB-YXY-190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虚拟教研室建设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西安医学院虚拟教研室建设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采购包1（虚拟教研室建设）：属于专门面向中小企业采购。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2、法定代表人证明及法定代表人授权委托书：非法定代表人参加投标的，须提供法定代表人授权委托书及被授权人身份证原件；法定代表人参加投标时,只须提供法定代表人证明书。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2024年度经审计的财务报告（注册会计师统一监管平台申请赋码可查询）或开标前六个月内其基本账户银行出具的资信证明（附开户许可证或基本账户证明）。</w:t>
      </w:r>
    </w:p>
    <w:p>
      <w:pPr>
        <w:pStyle w:val="null3"/>
      </w:pPr>
      <w:r>
        <w:rPr>
          <w:rFonts w:ascii="仿宋_GB2312" w:hAnsi="仿宋_GB2312" w:cs="仿宋_GB2312" w:eastAsia="仿宋_GB2312"/>
        </w:rPr>
        <w:t>4、税收缴纳证明：具有依法缴纳税收的良好记录，提供2024年6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社会保障资金缴纳证明：具有依法缴纳社会保障资金的良好记录，提供2024年6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7、中小企业声明函：本项目专门面向中小企业采购，需提供声明函。</w:t>
      </w:r>
    </w:p>
    <w:p>
      <w:pPr>
        <w:pStyle w:val="null3"/>
      </w:pPr>
      <w:r>
        <w:rPr>
          <w:rFonts w:ascii="仿宋_GB2312" w:hAnsi="仿宋_GB2312" w:cs="仿宋_GB2312" w:eastAsia="仿宋_GB2312"/>
        </w:rPr>
        <w:t>8、非联合体投标：本项目不允许联合体投标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说明：合同签订前，成交单位需向采购人缴纳合同金额的5%作为履约保证金，终验合格后一次性无息退还。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依据为合同文本、招标文件、投标文件以及现行的国家标准或国家行政部门颁布的法律法规、规 章制度等。没有国家标准的，可以参考行业标准。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西安医学院虚拟教研室建设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西安医学院虚拟教研室建设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标的名称：西安医学院虚拟教研室建设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一、商务条款（以此处商务条款为准）</w:t>
            </w:r>
          </w:p>
          <w:p>
            <w:pPr>
              <w:pStyle w:val="null3"/>
            </w:pPr>
            <w:r>
              <w:rPr>
                <w:rFonts w:ascii="仿宋_GB2312" w:hAnsi="仿宋_GB2312" w:cs="仿宋_GB2312" w:eastAsia="仿宋_GB2312"/>
              </w:rPr>
              <w:t>1、服务期：自合同签订之日起三年，建设不少于20个虚拟教研室。</w:t>
            </w:r>
          </w:p>
          <w:p>
            <w:pPr>
              <w:pStyle w:val="null3"/>
            </w:pPr>
            <w:r>
              <w:rPr>
                <w:rFonts w:ascii="仿宋_GB2312" w:hAnsi="仿宋_GB2312" w:cs="仿宋_GB2312" w:eastAsia="仿宋_GB2312"/>
              </w:rPr>
              <w:t>2、服务地点：西安医学院指定地点</w:t>
            </w:r>
          </w:p>
          <w:p>
            <w:pPr>
              <w:pStyle w:val="null3"/>
            </w:pPr>
            <w:r>
              <w:rPr>
                <w:rFonts w:ascii="仿宋_GB2312" w:hAnsi="仿宋_GB2312" w:cs="仿宋_GB2312" w:eastAsia="仿宋_GB2312"/>
              </w:rPr>
              <w:t>3、付款方式：验收合格后，达到付款条件起 30 日内，支付合同总金额的100 %。</w:t>
            </w:r>
          </w:p>
          <w:p>
            <w:pPr>
              <w:pStyle w:val="null3"/>
            </w:pPr>
            <w:r>
              <w:rPr>
                <w:rFonts w:ascii="仿宋_GB2312" w:hAnsi="仿宋_GB2312" w:cs="仿宋_GB2312" w:eastAsia="仿宋_GB2312"/>
              </w:rPr>
              <w:t>4、其他商务条款：详见合同条款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二、建设背景</w:t>
            </w:r>
          </w:p>
          <w:p>
            <w:pPr>
              <w:pStyle w:val="null3"/>
            </w:pPr>
            <w:r>
              <w:rPr>
                <w:rFonts w:ascii="仿宋_GB2312" w:hAnsi="仿宋_GB2312" w:cs="仿宋_GB2312" w:eastAsia="仿宋_GB2312"/>
              </w:rPr>
              <w:t>加强基层教学组织建设，全面提高教师教书育人能力，是推动高等教育高质量发展的必然要求和重要支撑。虚拟教研室是信息化时代新型基层教学组织建设的重要探索。为深入贯彻全国教育大会精神和《教育部关于加快建设高水平本科教育全面提高人才培养能力的意见》和《教育部关于深化本科教育教学改革全面提高人才培养质量的意见》等文件精神，探索推进新型基层教学组织建设，通过数字化手段构建“智能互联、共建共享”的教研新生态，解决教育资源不均衡问题，提升教师教学能力和人才培养质量，最终服务于教育现代化。我校目前有多所教学医院承担本科生临床教学任务，但各临床教学医院在师资水平、教学资源、病例病种、考核标准等方面存在差异，容易导致培养质量参差不齐。因此，实现教学同质化成为保障医学人才培养质量的关键。虚拟教研室平台的建立，正是通过数字化手段整合资源、统一标准、优化协作，确保不同教学医院的教学活动达到一致水平的重要途径。另外我校母婴护理虚拟教研室已获批省级虚拟教研室试点建设点，急需虚拟教研室平台建设的支撑。</w:t>
            </w:r>
          </w:p>
          <w:p>
            <w:pPr>
              <w:pStyle w:val="null3"/>
            </w:pPr>
            <w:r>
              <w:rPr>
                <w:rFonts w:ascii="仿宋_GB2312" w:hAnsi="仿宋_GB2312" w:cs="仿宋_GB2312" w:eastAsia="仿宋_GB2312"/>
              </w:rPr>
              <w:t>为确保虚拟教研室建设质量，学校计划引进专业的虚拟教研室平台，开展校级虚拟教研室建设工作，推动跨专业、跨学科、跨学院、跨校际、跨校企之间开展线上线下、虚实结合的教学研究活动及教学实践。除此之外，为实体教研室提供个性化的虚拟教研室资源建设、知识图谱构建、成果展示服务以确保虚拟教研室的建设质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三、建设目标</w:t>
            </w:r>
          </w:p>
          <w:p>
            <w:pPr>
              <w:pStyle w:val="null3"/>
            </w:pPr>
            <w:r>
              <w:rPr>
                <w:rFonts w:ascii="仿宋_GB2312" w:hAnsi="仿宋_GB2312" w:cs="仿宋_GB2312" w:eastAsia="仿宋_GB2312"/>
              </w:rPr>
              <w:t>本项目拟建设一个智能协同的虚拟教研室平台，旨在通过数字化手段整合多个教学基地教学资源，创新教研模式，促进校院、院院合作，实现对虚拟教研室的动态管理，全面提升医学人才培养质量，平台要能够承载我校约150个以上虚拟教研室的能力，本项目拟建设20个，同时也可通过平台进行微专业跨学科的教研。利用虚拟教研室平台共建优质资源，协同共建教学大纲、知识图谱、教学视频、电子课件、习题试题、教学案例、实训项目等教学资源，形成优质共享的教学资源库。依托虚拟教研室平台开展教师培训，组织开展常态化培训，发挥教学名师、一流课程的示范引领作用，推广成熟有效的人才培养模式、课程实施方案，促进一线教师教学发展。</w:t>
            </w:r>
          </w:p>
          <w:p>
            <w:pPr>
              <w:pStyle w:val="null3"/>
            </w:pPr>
            <w:r>
              <w:rPr>
                <w:rFonts w:ascii="仿宋_GB2312" w:hAnsi="仿宋_GB2312" w:cs="仿宋_GB2312" w:eastAsia="仿宋_GB2312"/>
              </w:rPr>
              <w:t>1、更为高效的组织各类线上线下教研活动，充分运用信息技术，探索突破时空限制，加强虚拟教研室成员之间的互联互通、共建共享，并对整个教研过程实现数据留痕，助力课程建设成果培育。</w:t>
            </w:r>
          </w:p>
          <w:p>
            <w:pPr>
              <w:pStyle w:val="null3"/>
            </w:pPr>
            <w:r>
              <w:rPr>
                <w:rFonts w:ascii="仿宋_GB2312" w:hAnsi="仿宋_GB2312" w:cs="仿宋_GB2312" w:eastAsia="仿宋_GB2312"/>
              </w:rPr>
              <w:t>2、教师通过虚拟教研室平台，以语音、文字、会议、直播等多种交流形式实现快捷沟通、无缝对接、高效沟通、快速分享，形成教研“朋友圈”,促进课程建设工作。各类培训可依托虚拟教研室，帮助教师掌握在线教研的实践性知识，向个性化、精准化方向发展，带动教师整体跃迁式发展。</w:t>
            </w:r>
          </w:p>
          <w:p>
            <w:pPr>
              <w:pStyle w:val="null3"/>
            </w:pPr>
            <w:r>
              <w:rPr>
                <w:rFonts w:ascii="仿宋_GB2312" w:hAnsi="仿宋_GB2312" w:cs="仿宋_GB2312" w:eastAsia="仿宋_GB2312"/>
              </w:rPr>
              <w:t>3、促进教研资源共享，对接各方需求，整合学科优势，共建共享课程教学案例、习题等配套优质教学资源库。发挥优质课程辐射作用，促进优质资源共享。</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四、建设内容清单</w:t>
            </w:r>
          </w:p>
          <w:p>
            <w:pPr>
              <w:pStyle w:val="null3"/>
            </w:pPr>
            <w:r>
              <w:rPr>
                <w:rFonts w:ascii="仿宋_GB2312" w:hAnsi="仿宋_GB2312" w:cs="仿宋_GB2312" w:eastAsia="仿宋_GB2312"/>
              </w:rPr>
              <w:t>建设内容清单中名称均为学校使用给出的名称，与各投标商存在不一样的，以功能描述为准。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建设内容</w:t>
                  </w:r>
                </w:p>
              </w:tc>
              <w:tc>
                <w:tcPr>
                  <w:tcW w:type="dxa" w:w="851"/>
                </w:tcPr>
                <w:p>
                  <w:pPr>
                    <w:pStyle w:val="null3"/>
                  </w:pPr>
                  <w:r>
                    <w:rPr>
                      <w:rFonts w:ascii="仿宋_GB2312" w:hAnsi="仿宋_GB2312" w:cs="仿宋_GB2312" w:eastAsia="仿宋_GB2312"/>
                    </w:rPr>
                    <w:t>功能说明</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成果展示门户</w:t>
                  </w:r>
                </w:p>
              </w:tc>
              <w:tc>
                <w:tcPr>
                  <w:tcW w:type="dxa" w:w="851"/>
                </w:tcPr>
                <w:p>
                  <w:pPr>
                    <w:pStyle w:val="null3"/>
                  </w:pPr>
                  <w:r>
                    <w:rPr>
                      <w:rFonts w:ascii="仿宋_GB2312" w:hAnsi="仿宋_GB2312" w:cs="仿宋_GB2312" w:eastAsia="仿宋_GB2312"/>
                    </w:rPr>
                    <w:t>（1）虚拟教研室总门户管理。校级成果展示门户集成全校各虚拟教研室的便捷入口，展示全校虚拟教研室建设成果。</w:t>
                  </w:r>
                </w:p>
                <w:p>
                  <w:pPr>
                    <w:pStyle w:val="null3"/>
                  </w:pPr>
                  <w:r>
                    <w:rPr>
                      <w:rFonts w:ascii="仿宋_GB2312" w:hAnsi="仿宋_GB2312" w:cs="仿宋_GB2312" w:eastAsia="仿宋_GB2312"/>
                    </w:rPr>
                    <w:t>（2）各教研室首页。展示集教学研究成果、教师及学生成就、教学资源与工具等.</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教研组管理</w:t>
                  </w:r>
                </w:p>
              </w:tc>
              <w:tc>
                <w:tcPr>
                  <w:tcW w:type="dxa" w:w="851"/>
                </w:tcPr>
                <w:p>
                  <w:pPr>
                    <w:pStyle w:val="null3"/>
                  </w:pPr>
                  <w:r>
                    <w:rPr>
                      <w:rFonts w:ascii="仿宋_GB2312" w:hAnsi="仿宋_GB2312" w:cs="仿宋_GB2312" w:eastAsia="仿宋_GB2312"/>
                    </w:rPr>
                    <w:t>对接校统一身份认证，分角色授权：主任管展示与成员，负责人管布局、权限及成果展示定制。</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教研组活动</w:t>
                  </w:r>
                </w:p>
              </w:tc>
              <w:tc>
                <w:tcPr>
                  <w:tcW w:type="dxa" w:w="851"/>
                </w:tcPr>
                <w:p>
                  <w:pPr>
                    <w:pStyle w:val="null3"/>
                  </w:pPr>
                  <w:r>
                    <w:rPr>
                      <w:rFonts w:ascii="仿宋_GB2312" w:hAnsi="仿宋_GB2312" w:cs="仿宋_GB2312" w:eastAsia="仿宋_GB2312"/>
                    </w:rPr>
                    <w:t>全流程管理教研活动，含发布、报名等，对接学校网络教学平台及会议工具，实现教研成果在教学平台种便捷使用，自动存析数据。</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教研成果共建</w:t>
                  </w:r>
                </w:p>
              </w:tc>
              <w:tc>
                <w:tcPr>
                  <w:tcW w:type="dxa" w:w="851"/>
                </w:tcPr>
                <w:p>
                  <w:pPr>
                    <w:pStyle w:val="null3"/>
                  </w:pPr>
                  <w:r>
                    <w:rPr>
                      <w:rFonts w:ascii="仿宋_GB2312" w:hAnsi="仿宋_GB2312" w:cs="仿宋_GB2312" w:eastAsia="仿宋_GB2312"/>
                    </w:rPr>
                    <w:t>教研成果共建，成员可便捷上传、管理专利、课程等资料，灵活调整文件夹及权限。共享教学案例如教案、课件等，促进成员交流互动。</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资源共建共享</w:t>
                  </w:r>
                </w:p>
              </w:tc>
              <w:tc>
                <w:tcPr>
                  <w:tcW w:type="dxa" w:w="851"/>
                </w:tcPr>
                <w:p>
                  <w:pPr>
                    <w:pStyle w:val="null3"/>
                  </w:pPr>
                  <w:r>
                    <w:rPr>
                      <w:rFonts w:ascii="仿宋_GB2312" w:hAnsi="仿宋_GB2312" w:cs="仿宋_GB2312" w:eastAsia="仿宋_GB2312"/>
                    </w:rPr>
                    <w:t>教研资源协同创作共享，多类型共建分享，支持权限管理及平台复用。</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虚拟助教</w:t>
                  </w:r>
                </w:p>
              </w:tc>
              <w:tc>
                <w:tcPr>
                  <w:tcW w:type="dxa" w:w="851"/>
                </w:tcPr>
                <w:p>
                  <w:pPr>
                    <w:pStyle w:val="null3"/>
                  </w:pPr>
                  <w:r>
                    <w:rPr>
                      <w:rFonts w:ascii="仿宋_GB2312" w:hAnsi="仿宋_GB2312" w:cs="仿宋_GB2312" w:eastAsia="仿宋_GB2312"/>
                    </w:rPr>
                    <w:t>虚拟助教调用共建课程，智能辅助教学备课，提供全程个性化辅导。</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运行统计</w:t>
                  </w:r>
                </w:p>
              </w:tc>
              <w:tc>
                <w:tcPr>
                  <w:tcW w:type="dxa" w:w="851"/>
                </w:tcPr>
                <w:p>
                  <w:pPr>
                    <w:pStyle w:val="null3"/>
                  </w:pPr>
                  <w:r>
                    <w:rPr>
                      <w:rFonts w:ascii="仿宋_GB2312" w:hAnsi="仿宋_GB2312" w:cs="仿宋_GB2312" w:eastAsia="仿宋_GB2312"/>
                    </w:rPr>
                    <w:t>统计涵盖规模、参与度、活跃度与成果等方面，包括教研室数量、成员、活动、资源共建（课程、题库、知识图谱、教案）及本月动态等。各教研室运行统计进一步评估活动频率、成员结构、共建项目及成果。</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数据对接</w:t>
                  </w:r>
                </w:p>
              </w:tc>
              <w:tc>
                <w:tcPr>
                  <w:tcW w:type="dxa" w:w="851"/>
                </w:tcPr>
                <w:p>
                  <w:pPr>
                    <w:pStyle w:val="null3"/>
                  </w:pPr>
                  <w:r>
                    <w:rPr>
                      <w:rFonts w:ascii="仿宋_GB2312" w:hAnsi="仿宋_GB2312" w:cs="仿宋_GB2312" w:eastAsia="仿宋_GB2312"/>
                    </w:rPr>
                    <w:t>完成和学校统一身份认证、网络学习平台、数据中心等集成对接，数据沉淀在学校数据中心，并满足学院安全要求。</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部署方式</w:t>
                  </w:r>
                </w:p>
              </w:tc>
              <w:tc>
                <w:tcPr>
                  <w:tcW w:type="dxa" w:w="851"/>
                </w:tcPr>
                <w:p>
                  <w:pPr>
                    <w:pStyle w:val="null3"/>
                  </w:pPr>
                  <w:r>
                    <w:rPr>
                      <w:rFonts w:ascii="仿宋_GB2312" w:hAnsi="仿宋_GB2312" w:cs="仿宋_GB2312" w:eastAsia="仿宋_GB2312"/>
                    </w:rPr>
                    <w:t>混合式或本地化部署模式，确保数据沉淀在学校数据中台，并通过对接实现自动更新。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五、建设内容</w:t>
            </w:r>
          </w:p>
          <w:p>
            <w:pPr>
              <w:pStyle w:val="null3"/>
            </w:pPr>
            <w:r>
              <w:rPr>
                <w:rFonts w:ascii="仿宋_GB2312" w:hAnsi="仿宋_GB2312" w:cs="仿宋_GB2312" w:eastAsia="仿宋_GB2312"/>
              </w:rPr>
              <w:t>（一）虚拟教研室成果展示门户</w:t>
            </w:r>
          </w:p>
          <w:p>
            <w:pPr>
              <w:pStyle w:val="null3"/>
              <w:numPr>
                <w:ilvl w:val="0"/>
                <w:numId w:val="1"/>
              </w:numPr>
            </w:pPr>
            <w:r>
              <w:rPr>
                <w:rFonts w:ascii="仿宋_GB2312" w:hAnsi="仿宋_GB2312" w:cs="仿宋_GB2312" w:eastAsia="仿宋_GB2312"/>
              </w:rPr>
              <w:t>▲根据学校需求，设置网站访问权限为游客访问权限和认证登录权限。</w:t>
            </w:r>
          </w:p>
          <w:p>
            <w:pPr>
              <w:pStyle w:val="null3"/>
              <w:numPr>
                <w:ilvl w:val="0"/>
                <w:numId w:val="1"/>
              </w:numPr>
            </w:pPr>
            <w:r>
              <w:rPr>
                <w:rFonts w:ascii="仿宋_GB2312" w:hAnsi="仿宋_GB2312" w:cs="仿宋_GB2312" w:eastAsia="仿宋_GB2312"/>
              </w:rPr>
              <w:t>▲网站教研室校外人员采用多种登录方式，包括但不限于手机号密码登录、手机号验证码登录、账号密码登录、第三方统一认证登录等方式。校内人员均采用统一身份认证登录。</w:t>
            </w:r>
          </w:p>
          <w:p>
            <w:pPr>
              <w:pStyle w:val="null3"/>
              <w:numPr>
                <w:ilvl w:val="0"/>
                <w:numId w:val="1"/>
              </w:numPr>
            </w:pPr>
            <w:r>
              <w:rPr>
                <w:rFonts w:ascii="仿宋_GB2312" w:hAnsi="仿宋_GB2312" w:cs="仿宋_GB2312" w:eastAsia="仿宋_GB2312"/>
              </w:rPr>
              <w:t>挂接学校.edu.cn域名，可编辑简介、设 IP 白名单及后台仅 IP 内访问，能查看导出操作记录、审核敏感词、执行下线操作。</w:t>
            </w:r>
          </w:p>
          <w:p>
            <w:pPr>
              <w:pStyle w:val="null3"/>
              <w:numPr>
                <w:ilvl w:val="0"/>
                <w:numId w:val="1"/>
              </w:numPr>
            </w:pPr>
            <w:r>
              <w:rPr>
                <w:rFonts w:ascii="仿宋_GB2312" w:hAnsi="仿宋_GB2312" w:cs="仿宋_GB2312" w:eastAsia="仿宋_GB2312"/>
              </w:rPr>
              <w:t>设置门户管理员，针对不同的角色设置不同的门户编辑权限，比如教务处管理员可以编辑全校的虚拟教研室展示门户，各教研室主任仅能编辑本教研室的展示门户。（演示项）。</w:t>
            </w:r>
          </w:p>
          <w:p>
            <w:pPr>
              <w:pStyle w:val="null3"/>
              <w:numPr>
                <w:ilvl w:val="0"/>
                <w:numId w:val="1"/>
              </w:numPr>
            </w:pPr>
            <w:r>
              <w:rPr>
                <w:rFonts w:ascii="仿宋_GB2312" w:hAnsi="仿宋_GB2312" w:cs="仿宋_GB2312" w:eastAsia="仿宋_GB2312"/>
              </w:rPr>
              <w:t>自主添加管理员并按门户模块设不同权限，能够添加审核人员负责文章审核。</w:t>
            </w:r>
          </w:p>
          <w:p>
            <w:pPr>
              <w:pStyle w:val="null3"/>
              <w:numPr>
                <w:ilvl w:val="0"/>
                <w:numId w:val="1"/>
              </w:numPr>
            </w:pPr>
            <w:r>
              <w:rPr>
                <w:rFonts w:ascii="仿宋_GB2312" w:hAnsi="仿宋_GB2312" w:cs="仿宋_GB2312" w:eastAsia="仿宋_GB2312"/>
              </w:rPr>
              <w:t>统计门户访问页面、明细（可按 IP 查）、访客数、设备占比，查看文章及用户访问量排行、模块访问数据、搜索检索次数，均支持自定义时间段，且模块数据可视化展示。</w:t>
            </w:r>
          </w:p>
          <w:p>
            <w:pPr>
              <w:pStyle w:val="null3"/>
              <w:numPr>
                <w:ilvl w:val="0"/>
                <w:numId w:val="1"/>
              </w:numPr>
            </w:pPr>
            <w:r>
              <w:rPr>
                <w:rFonts w:ascii="仿宋_GB2312" w:hAnsi="仿宋_GB2312" w:cs="仿宋_GB2312" w:eastAsia="仿宋_GB2312"/>
              </w:rPr>
              <w:t>▲网页编辑可视化拖拽设计，含≥10 种模板，可自定义主题色、背景（内置素材库及≥3 种裁剪），提供多样模块及样式设置，能自动生成并编辑资源页面，可设全局模块、调整布局，支持增删改多类页面。</w:t>
            </w:r>
          </w:p>
          <w:p>
            <w:pPr>
              <w:pStyle w:val="null3"/>
              <w:numPr>
                <w:ilvl w:val="0"/>
                <w:numId w:val="1"/>
              </w:numPr>
            </w:pPr>
            <w:r>
              <w:rPr>
                <w:rFonts w:ascii="仿宋_GB2312" w:hAnsi="仿宋_GB2312" w:cs="仿宋_GB2312" w:eastAsia="仿宋_GB2312"/>
              </w:rPr>
              <w:t>▲门户实现添加和设置应用基础模块，包含图文列表、轮播图、搜索、文本列表、图表、表格、文本、图片、按钮、视频、天气、日期等多种基础模块用以生成网站应用模块和页面，满足绝大部分网站内容的展现形式。</w:t>
            </w:r>
          </w:p>
          <w:p>
            <w:pPr>
              <w:pStyle w:val="null3"/>
              <w:numPr>
                <w:ilvl w:val="0"/>
                <w:numId w:val="1"/>
              </w:numPr>
            </w:pPr>
            <w:r>
              <w:rPr>
                <w:rFonts w:ascii="仿宋_GB2312" w:hAnsi="仿宋_GB2312" w:cs="仿宋_GB2312" w:eastAsia="仿宋_GB2312"/>
              </w:rPr>
              <w:t>应用模块独立设置后台，提供图文列表等多样式展示形式，可自主管理内容并实时更新页面。支持多级头部导航自定义，可添加数据列表、选择显示与列表样式。图文/文本/多图列表类应用可自定义分类显示、列表页导航及子页面面包屑等。支持自定义编辑二级页面，能自适应生成并编辑移动端样式，支持移动端和 PC 端分别上传数据。</w:t>
            </w:r>
          </w:p>
          <w:p>
            <w:pPr>
              <w:pStyle w:val="null3"/>
              <w:numPr>
                <w:ilvl w:val="0"/>
                <w:numId w:val="1"/>
              </w:numPr>
            </w:pPr>
            <w:r>
              <w:rPr>
                <w:rFonts w:ascii="仿宋_GB2312" w:hAnsi="仿宋_GB2312" w:cs="仿宋_GB2312" w:eastAsia="仿宋_GB2312"/>
              </w:rPr>
              <w:t>▲实现自定义设置移动端首页，提供三种首页模版供其选择使用。实现自定义首页布局，提供5种以上布局样式，在布局中，实现添加管理和教学所需要的应用模块，可以通过拖拽方式嵌入基础应用如轮播图、搜索、多图列表等应用，对应用进行详细的设置，实现添加管理和教学所需要的应用模块。</w:t>
            </w:r>
          </w:p>
          <w:p>
            <w:pPr>
              <w:pStyle w:val="null3"/>
              <w:numPr>
                <w:ilvl w:val="0"/>
                <w:numId w:val="1"/>
              </w:numPr>
            </w:pPr>
            <w:r>
              <w:rPr>
                <w:rFonts w:ascii="仿宋_GB2312" w:hAnsi="仿宋_GB2312" w:cs="仿宋_GB2312" w:eastAsia="仿宋_GB2312"/>
              </w:rPr>
              <w:t>实现根据数据内容灵活创建样式，模块数据可对接标准接口规范的外部数据源。数据中心为组件类和基础应用提供支持，单位可据此生成数据库导航等应用模块。本地内容编辑采用富文本编辑器，实现多类型文件上传及云盘对接。资源库含专题和课程，供多类模块添加数据。搜索应用可对接多引擎实现站内搜索。组件图标自定义，图表类模块可上传 Excel 生成可视化图形。文章库可查看和操作全站数据，一条数据在多应用展示。</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（二）教研组管理</w:t>
            </w:r>
          </w:p>
          <w:p>
            <w:pPr>
              <w:pStyle w:val="null3"/>
              <w:numPr>
                <w:ilvl w:val="0"/>
                <w:numId w:val="1"/>
              </w:numPr>
            </w:pPr>
            <w:r>
              <w:rPr>
                <w:rFonts w:ascii="仿宋_GB2312" w:hAnsi="仿宋_GB2312" w:cs="仿宋_GB2312" w:eastAsia="仿宋_GB2312"/>
              </w:rPr>
              <w:t>实现人员信息的增删查改、批量添加与修改，人员可加入多个部门，能通过姓名、手机号、工号设置角色，创建教研组并配置名称、属性、主管及权限。实现批量或单独将人员移出单位，且移出人员可恢复。可设置单位外用户加入的验证方式，包括无需验证、学工号验证、密码验证和统一身份认证四种。能创建本校组织架构并进行增删改及批量操作，可管理和修改组织架构人员、设置负责人，实现教研室信息管理，可创建教研室名称并编辑介绍。</w:t>
            </w:r>
          </w:p>
          <w:p>
            <w:pPr>
              <w:pStyle w:val="null3"/>
              <w:numPr>
                <w:ilvl w:val="0"/>
                <w:numId w:val="1"/>
              </w:numPr>
            </w:pPr>
            <w:r>
              <w:rPr>
                <w:rFonts w:ascii="仿宋_GB2312" w:hAnsi="仿宋_GB2312" w:cs="仿宋_GB2312" w:eastAsia="仿宋_GB2312"/>
              </w:rPr>
              <w:t>▲实现教务处管理员、教研室成员、教研室主任等多种身份。教务处管理员是全部虚拟教研室平台的管理人员，负责整个平台的整体运营和监管。教研室成员是虚拟教研室平台的主要用户群体，他们通过平台参与各类教研活动，共享教学资源，提升教学能力、教研室主任是各个虚拟教研室平台的直接管理人员，负责本教研室内部的日常管理和活动及通知发布工作。</w:t>
            </w:r>
          </w:p>
          <w:p>
            <w:pPr>
              <w:pStyle w:val="null3"/>
              <w:numPr>
                <w:ilvl w:val="0"/>
                <w:numId w:val="1"/>
              </w:numPr>
            </w:pPr>
            <w:r>
              <w:rPr>
                <w:rFonts w:ascii="仿宋_GB2312" w:hAnsi="仿宋_GB2312" w:cs="仿宋_GB2312" w:eastAsia="仿宋_GB2312"/>
              </w:rPr>
              <w:t>实现设置虚拟教研室是否可被展示在教研室广场，便于成员通过自主加入或扫描教研室二维码的方式参与。（演示项）。</w:t>
            </w:r>
          </w:p>
          <w:p>
            <w:pPr>
              <w:pStyle w:val="null3"/>
              <w:numPr>
                <w:ilvl w:val="0"/>
                <w:numId w:val="1"/>
              </w:numPr>
            </w:pPr>
            <w:r>
              <w:rPr>
                <w:rFonts w:ascii="仿宋_GB2312" w:hAnsi="仿宋_GB2312" w:cs="仿宋_GB2312" w:eastAsia="仿宋_GB2312"/>
              </w:rPr>
              <w:t>教研室主任可查阅并编辑教研室的封面图片及文本信息类介绍，负责人还享有模块设置的编辑权限，能够调整教研室首页布局、设置左侧导航栏模块的显示顺序，以及对本教研室成果展示页面和左侧导航模块进行显示设置。</w:t>
            </w:r>
          </w:p>
          <w:p>
            <w:pPr>
              <w:pStyle w:val="null3"/>
              <w:numPr>
                <w:ilvl w:val="0"/>
                <w:numId w:val="1"/>
              </w:numPr>
            </w:pPr>
            <w:r>
              <w:rPr>
                <w:rFonts w:ascii="仿宋_GB2312" w:hAnsi="仿宋_GB2312" w:cs="仿宋_GB2312" w:eastAsia="仿宋_GB2312"/>
              </w:rPr>
              <w:t>校外参与教研会议教师需要能够用手机号登录平台，扫码加入教研室，参与教研会议，参与资源共建共享。</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（三）教研组活动</w:t>
            </w:r>
          </w:p>
          <w:p>
            <w:pPr>
              <w:pStyle w:val="null3"/>
            </w:pPr>
            <w:r>
              <w:rPr>
                <w:rFonts w:ascii="仿宋_GB2312" w:hAnsi="仿宋_GB2312" w:cs="仿宋_GB2312" w:eastAsia="仿宋_GB2312"/>
              </w:rPr>
              <w:t>3.1教研活动管理</w:t>
            </w:r>
          </w:p>
          <w:p>
            <w:pPr>
              <w:pStyle w:val="null3"/>
              <w:numPr>
                <w:ilvl w:val="0"/>
                <w:numId w:val="1"/>
              </w:numPr>
            </w:pPr>
            <w:r>
              <w:rPr>
                <w:rFonts w:ascii="仿宋_GB2312" w:hAnsi="仿宋_GB2312" w:cs="仿宋_GB2312" w:eastAsia="仿宋_GB2312"/>
              </w:rPr>
              <w:t>具备一站式教研活动管理。实现教研活动发布、通知提醒、教研活动报名（可指定报名对象）、在线报名、请假管理、活动签到、作品提交管理、活动问卷调查、活动成果管理、统计等业务流程一体化管理。（演示项）。</w:t>
            </w:r>
          </w:p>
          <w:p>
            <w:pPr>
              <w:pStyle w:val="null3"/>
              <w:numPr>
                <w:ilvl w:val="0"/>
                <w:numId w:val="1"/>
              </w:numPr>
            </w:pPr>
            <w:r>
              <w:rPr>
                <w:rFonts w:ascii="仿宋_GB2312" w:hAnsi="仿宋_GB2312" w:cs="仿宋_GB2312" w:eastAsia="仿宋_GB2312"/>
              </w:rPr>
              <w:t>实现发起教研活动，可上传活动封面，设置活动对象、报名及活动的起止时间、地点、证书、报名表等，发布时能设置电子证书和报名表；同时具备教研活动通知提醒功能，通过移动端实现活动发布时系统自动向全校教师推送消息，以及报名结果、审核结果的定向反馈，活动开始前系统也会自动向报名教师推送消息。</w:t>
            </w:r>
          </w:p>
          <w:p>
            <w:pPr>
              <w:pStyle w:val="null3"/>
              <w:numPr>
                <w:ilvl w:val="0"/>
                <w:numId w:val="1"/>
              </w:numPr>
            </w:pPr>
            <w:r>
              <w:rPr>
                <w:rFonts w:ascii="仿宋_GB2312" w:hAnsi="仿宋_GB2312" w:cs="仿宋_GB2312" w:eastAsia="仿宋_GB2312"/>
              </w:rPr>
              <w:t>▲具备灵活的活动报名策略，可实现多端口报名和取消报名的功能，活动发布后可通过移动端APP、电脑端实现自由报名，还可实现定向等多种活动报名方式，实现批量导入报名功能。</w:t>
            </w:r>
          </w:p>
          <w:p>
            <w:pPr>
              <w:pStyle w:val="null3"/>
              <w:numPr>
                <w:ilvl w:val="0"/>
                <w:numId w:val="1"/>
              </w:numPr>
            </w:pPr>
            <w:r>
              <w:rPr>
                <w:rFonts w:ascii="仿宋_GB2312" w:hAnsi="仿宋_GB2312" w:cs="仿宋_GB2312" w:eastAsia="仿宋_GB2312"/>
              </w:rPr>
              <w:t>▲实现线上参加活动的方式，实现在平台直接调用唤醒第三方会议工具，第三方会议工具产生的录屏、活动记录可以记录到平台中。</w:t>
            </w:r>
          </w:p>
          <w:p>
            <w:pPr>
              <w:pStyle w:val="null3"/>
              <w:numPr>
                <w:ilvl w:val="0"/>
                <w:numId w:val="1"/>
              </w:numPr>
            </w:pPr>
            <w:r>
              <w:rPr>
                <w:rFonts w:ascii="仿宋_GB2312" w:hAnsi="仿宋_GB2312" w:cs="仿宋_GB2312" w:eastAsia="仿宋_GB2312"/>
              </w:rPr>
              <w:t>▲实现教研活动失信管理，设定失信条件限制失信人员报名；具备报名申请审核功能，实现批量审核及活动人员报名统计，可批量导出报名信息表；实现灵活设置签到场次及时间，对签到进行统计、管理及状态调整，提供固定二维码、动态二维码等多种签到形式；可发布培训签到、活动作品提交等内容，作品提交分百分制或等级制；教研结束后可进行培训评价，管理员可查看评价详情，系统会针对每场结束的教研活动自动生成报告。</w:t>
            </w:r>
          </w:p>
          <w:p>
            <w:pPr>
              <w:pStyle w:val="null3"/>
              <w:outlineLvl w:val="2"/>
            </w:pPr>
            <w:r>
              <w:rPr>
                <w:rFonts w:ascii="仿宋_GB2312" w:hAnsi="仿宋_GB2312" w:cs="仿宋_GB2312" w:eastAsia="仿宋_GB2312"/>
                <w:sz w:val="28"/>
                <w:b/>
              </w:rPr>
              <w:t>3.2教研会议工具</w:t>
            </w:r>
          </w:p>
          <w:p>
            <w:pPr>
              <w:pStyle w:val="null3"/>
              <w:numPr>
                <w:ilvl w:val="0"/>
                <w:numId w:val="1"/>
              </w:numPr>
            </w:pPr>
            <w:r>
              <w:rPr>
                <w:rFonts w:ascii="仿宋_GB2312" w:hAnsi="仿宋_GB2312" w:cs="仿宋_GB2312" w:eastAsia="仿宋_GB2312"/>
              </w:rPr>
              <w:t>▲课堂直播：云端实时直播，观看人数实现近千人参与，适用于大型培训、公开课、线上峰会等场景。</w:t>
            </w:r>
          </w:p>
          <w:p>
            <w:pPr>
              <w:pStyle w:val="null3"/>
              <w:numPr>
                <w:ilvl w:val="0"/>
                <w:numId w:val="1"/>
              </w:numPr>
            </w:pPr>
            <w:r>
              <w:rPr>
                <w:rFonts w:ascii="仿宋_GB2312" w:hAnsi="仿宋_GB2312" w:cs="仿宋_GB2312" w:eastAsia="仿宋_GB2312"/>
              </w:rPr>
              <w:t>▲实现云端录制课堂内容并一键存档，便于后续留存和分享；桌面与移动端均可共享屏幕，能共享声音、桌面画面等，可选择共享整个桌面（实现画中画模式同时展示摄像头视频）或单个页面；可上传文档、表格等多种格式资料进行共享；课堂除开麦聊天外，还设聊天窗口文字和表情发送，共享屏幕时老师能在桌面左下角弹幕区实时查看并回复其他教师的互动消息；同时实现切换演讲者视图（切换右侧或顶部成员列表）和宫格视图（设置一屏 9 等分或 25 等分），分别聚焦屏幕分享内容和成员摄像头视频内容。</w:t>
            </w:r>
          </w:p>
          <w:p>
            <w:pPr>
              <w:pStyle w:val="null3"/>
              <w:numPr>
                <w:ilvl w:val="0"/>
                <w:numId w:val="1"/>
              </w:numPr>
            </w:pPr>
            <w:r>
              <w:rPr>
                <w:rFonts w:ascii="仿宋_GB2312" w:hAnsi="仿宋_GB2312" w:cs="仿宋_GB2312" w:eastAsia="仿宋_GB2312"/>
              </w:rPr>
              <w:t>同声翻译：实现将教师语音识别并翻译成设置语种以字幕方式展示于教师屏幕；实现教师对字幕展示进行设置可自由切换翻译语种，实现中转英、英转中、中转法、中转西班牙、中转日、中转德、中转俄、中转韩、中转阿拉伯、中转葡萄牙、中转印地、中转意大利等10种以上语言；实现设置字幕的背景样式透明度，以及字幕文字大小显示颜色等。（演示项）。</w:t>
            </w:r>
          </w:p>
          <w:p>
            <w:pPr>
              <w:pStyle w:val="null3"/>
              <w:numPr>
                <w:ilvl w:val="0"/>
                <w:numId w:val="1"/>
              </w:numPr>
            </w:pPr>
            <w:r>
              <w:rPr>
                <w:rFonts w:ascii="仿宋_GB2312" w:hAnsi="仿宋_GB2312" w:cs="仿宋_GB2312" w:eastAsia="仿宋_GB2312"/>
              </w:rPr>
              <w:t>会议前的安全控制：发起活动时，进入会议的设置界面，即可对加入会议权限进行设置：允许任何人加入/允许本单位人员加入/选择允许加入的人员。</w:t>
            </w:r>
          </w:p>
          <w:p>
            <w:pPr>
              <w:pStyle w:val="null3"/>
              <w:numPr>
                <w:ilvl w:val="0"/>
                <w:numId w:val="1"/>
              </w:numPr>
            </w:pPr>
            <w:r>
              <w:rPr>
                <w:rFonts w:ascii="仿宋_GB2312" w:hAnsi="仿宋_GB2312" w:cs="仿宋_GB2312" w:eastAsia="仿宋_GB2312"/>
              </w:rPr>
              <w:t>▲会议的安全控制：进入会议的设置界面，即可对加入会议权限进行设置：允许任何人加入/允许本单位人员加入/选择允许加入的人员；锁定会议，开启后，所有人不能再加入课堂；全员静音后，选择是否允许参会人员自我解除静音。</w:t>
            </w:r>
          </w:p>
          <w:p>
            <w:pPr>
              <w:pStyle w:val="null3"/>
              <w:numPr>
                <w:ilvl w:val="0"/>
                <w:numId w:val="1"/>
              </w:numPr>
            </w:pPr>
            <w:r>
              <w:rPr>
                <w:rFonts w:ascii="仿宋_GB2312" w:hAnsi="仿宋_GB2312" w:cs="仿宋_GB2312" w:eastAsia="仿宋_GB2312"/>
              </w:rPr>
              <w:t>会议报告生成：实现查看课堂报告，包括统计的课堂表现、课堂中的活动回顾、课堂在线时长、发言次数，具备视频理解功能，实现视频自动撰写文字，生成会议纪要。（演示项）。</w:t>
            </w:r>
          </w:p>
          <w:p>
            <w:pPr>
              <w:pStyle w:val="null3"/>
              <w:numPr>
                <w:ilvl w:val="0"/>
                <w:numId w:val="1"/>
              </w:numPr>
            </w:pPr>
            <w:r>
              <w:rPr>
                <w:rFonts w:ascii="仿宋_GB2312" w:hAnsi="仿宋_GB2312" w:cs="仿宋_GB2312" w:eastAsia="仿宋_GB2312"/>
              </w:rPr>
              <w:t>▲具有移动客户端，实现iOS和Android操作系统，用于手机、Pad等智能移动终端中，实现在线移动参会。</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（四）教研成果共建</w:t>
            </w:r>
          </w:p>
          <w:p>
            <w:pPr>
              <w:pStyle w:val="null3"/>
            </w:pPr>
            <w:r>
              <w:rPr>
                <w:rFonts w:ascii="仿宋_GB2312" w:hAnsi="仿宋_GB2312" w:cs="仿宋_GB2312" w:eastAsia="仿宋_GB2312"/>
              </w:rPr>
              <w:t>实现教研室成员上传、查看、编辑专利、课程等内容文件，可对文件进行修改、删除及灵活调整文件夹名称，还能分配权限以便不同老师负责不同板块共建；同时允许成员上传团队优秀教学案例，包括教学设计样例、优秀教案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（五）资源共建共享</w:t>
            </w:r>
          </w:p>
          <w:p>
            <w:pPr>
              <w:pStyle w:val="null3"/>
              <w:numPr>
                <w:ilvl w:val="0"/>
                <w:numId w:val="1"/>
              </w:numPr>
            </w:pPr>
            <w:r>
              <w:rPr>
                <w:rFonts w:ascii="仿宋_GB2312" w:hAnsi="仿宋_GB2312" w:cs="仿宋_GB2312" w:eastAsia="仿宋_GB2312"/>
              </w:rPr>
              <w:t>支持教研室内协同共建共享电子教材，进行教研会议记录，共享教学视频并实现保存、下载、转发，还能协同共建教学大纲设计、共建共享教学设计文档及共享教学课件，同时教研室可自由组织模块</w:t>
            </w:r>
          </w:p>
          <w:p>
            <w:pPr>
              <w:pStyle w:val="null3"/>
              <w:numPr>
                <w:ilvl w:val="0"/>
                <w:numId w:val="1"/>
              </w:numPr>
            </w:pPr>
            <w:r>
              <w:rPr>
                <w:rFonts w:ascii="仿宋_GB2312" w:hAnsi="仿宋_GB2312" w:cs="仿宋_GB2312" w:eastAsia="仿宋_GB2312"/>
              </w:rPr>
              <w:t>▲实现教师团队跨越地域限制，实时在线研讨课程设计、共同编辑在线课程。</w:t>
            </w:r>
          </w:p>
          <w:p>
            <w:pPr>
              <w:pStyle w:val="null3"/>
              <w:numPr>
                <w:ilvl w:val="0"/>
                <w:numId w:val="1"/>
              </w:numPr>
            </w:pPr>
            <w:r>
              <w:rPr>
                <w:rFonts w:ascii="仿宋_GB2312" w:hAnsi="仿宋_GB2312" w:cs="仿宋_GB2312" w:eastAsia="仿宋_GB2312"/>
              </w:rPr>
              <w:t>允许教师共建课堂资料库，通过资源共享与整合机制，构建丰富的课程素材库，提升课程开发效率与质量。允许教师运用共建课程进行同步课堂授课。</w:t>
            </w:r>
          </w:p>
          <w:p>
            <w:pPr>
              <w:pStyle w:val="null3"/>
              <w:numPr>
                <w:ilvl w:val="0"/>
                <w:numId w:val="1"/>
              </w:numPr>
            </w:pPr>
            <w:r>
              <w:rPr>
                <w:rFonts w:ascii="仿宋_GB2312" w:hAnsi="仿宋_GB2312" w:cs="仿宋_GB2312" w:eastAsia="仿宋_GB2312"/>
              </w:rPr>
              <w:t>习题共享与共建：教师可将自己编写的习题上传至平台，供教研组内成员共享使用。同时，实现多人协同编辑习题，不断完善题库内容。</w:t>
            </w:r>
          </w:p>
          <w:p>
            <w:pPr>
              <w:pStyle w:val="null3"/>
              <w:numPr>
                <w:ilvl w:val="0"/>
                <w:numId w:val="1"/>
              </w:numPr>
            </w:pPr>
            <w:r>
              <w:rPr>
                <w:rFonts w:ascii="仿宋_GB2312" w:hAnsi="仿宋_GB2312" w:cs="仿宋_GB2312" w:eastAsia="仿宋_GB2312"/>
              </w:rPr>
              <w:t>分类管理与检索：实现对题库中的习题进行分类管理，如按知识点、难度，题型等级等进行分类。提供便捷的检索功能，帮助学生快速找到所需习题。</w:t>
            </w:r>
          </w:p>
          <w:p>
            <w:pPr>
              <w:pStyle w:val="null3"/>
              <w:numPr>
                <w:ilvl w:val="0"/>
                <w:numId w:val="1"/>
              </w:numPr>
            </w:pPr>
            <w:r>
              <w:rPr>
                <w:rFonts w:ascii="仿宋_GB2312" w:hAnsi="仿宋_GB2312" w:cs="仿宋_GB2312" w:eastAsia="仿宋_GB2312"/>
              </w:rPr>
              <w:t>题目安全措施：实现题目加密，教师团队进入题库模块，需要进行密码验证。若课程允许学生自测，加密后学生将无法使用自测功能。（演示项）。</w:t>
            </w:r>
          </w:p>
          <w:p>
            <w:pPr>
              <w:pStyle w:val="null3"/>
              <w:numPr>
                <w:ilvl w:val="0"/>
                <w:numId w:val="1"/>
              </w:numPr>
            </w:pPr>
            <w:r>
              <w:rPr>
                <w:rFonts w:ascii="仿宋_GB2312" w:hAnsi="仿宋_GB2312" w:cs="仿宋_GB2312" w:eastAsia="仿宋_GB2312"/>
              </w:rPr>
              <w:t>▲研修学习空间：查看线上研修培训课程，能够统计课程学习进度，已完成学时和任务点完成进度，允许退课。</w:t>
            </w:r>
          </w:p>
          <w:p>
            <w:pPr>
              <w:pStyle w:val="null3"/>
              <w:numPr>
                <w:ilvl w:val="0"/>
                <w:numId w:val="1"/>
              </w:numPr>
            </w:pPr>
            <w:r>
              <w:rPr>
                <w:rFonts w:ascii="仿宋_GB2312" w:hAnsi="仿宋_GB2312" w:cs="仿宋_GB2312" w:eastAsia="仿宋_GB2312"/>
              </w:rPr>
              <w:t>以时间轴展示教师成长轨迹，教师可自定义成长标题、时间和备注；提供含人员及所学课程基础信息的教师学时汇总表并支持导出；研修活动可按分类、状态及教研组筛选，查看活动时间范围等并记录笔记；在线培训课程体系涵盖理论学习、师德师风等十大模块，课程数量不少于 500 门且提供定期更新服务。</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（六）虚拟助教</w:t>
            </w:r>
          </w:p>
          <w:p>
            <w:pPr>
              <w:pStyle w:val="null3"/>
              <w:numPr>
                <w:ilvl w:val="0"/>
                <w:numId w:val="1"/>
              </w:numPr>
            </w:pPr>
            <w:r>
              <w:rPr>
                <w:rFonts w:ascii="仿宋_GB2312" w:hAnsi="仿宋_GB2312" w:cs="仿宋_GB2312" w:eastAsia="仿宋_GB2312"/>
              </w:rPr>
              <w:t>教研室成员共建本教研室 AI 助教，其优先基于教研室共建的问答库、知识库回复，若无对应答案则直接返回大模型结果；还具备作业智能查重功能，包含课程创建、作业布置等模块，可对课程作业进行全过程管理；教师能通过输入文本，利用 AI 系统生成语音内容，以用于听力练习或考试。</w:t>
            </w:r>
          </w:p>
          <w:p>
            <w:pPr>
              <w:pStyle w:val="null3"/>
              <w:numPr>
                <w:ilvl w:val="0"/>
                <w:numId w:val="1"/>
              </w:numPr>
            </w:pPr>
            <w:r>
              <w:rPr>
                <w:rFonts w:ascii="仿宋_GB2312" w:hAnsi="仿宋_GB2312" w:cs="仿宋_GB2312" w:eastAsia="仿宋_GB2312"/>
              </w:rPr>
              <w:t>▲实现AI智能出题，允许教师通过输入相关的教学材料和知识点，AI可以自动生成对应的题目。这些题目可以涵盖各种形式，包括选择题、填空题、简答题等，以便满足不同类型考题的需求。教师可以根据课程内容和学生水平，将生成的题目添加到题库中，并随时使用这些题目进行测验、考试或者课堂练习。</w:t>
            </w:r>
          </w:p>
          <w:p>
            <w:pPr>
              <w:pStyle w:val="null3"/>
              <w:numPr>
                <w:ilvl w:val="0"/>
                <w:numId w:val="1"/>
              </w:numPr>
            </w:pPr>
            <w:r>
              <w:rPr>
                <w:rFonts w:ascii="仿宋_GB2312" w:hAnsi="仿宋_GB2312" w:cs="仿宋_GB2312" w:eastAsia="仿宋_GB2312"/>
              </w:rPr>
              <w:t>▲实现 AI 写作，老师向智能写作助手提出需求后，助手创作内容，老师点击保存可输出到章节编辑页面并进行修改、删减或排版，提升编写效率；能 AI 智能生成教案，教师输入教学内容、上传教材资料后，系统自动识别知识点与要点，结合大纲、目标及教材内容生成完整教案，还会按教学复杂度和进度安排生成详细步骤等内容；此外还具备文本自动纠错功能，可自动校对标注错字、漏字、语法错误、语义错误等问题。</w:t>
            </w:r>
          </w:p>
          <w:p>
            <w:pPr>
              <w:pStyle w:val="null3"/>
              <w:numPr>
                <w:ilvl w:val="0"/>
                <w:numId w:val="1"/>
              </w:numPr>
            </w:pPr>
            <w:r>
              <w:rPr>
                <w:rFonts w:ascii="仿宋_GB2312" w:hAnsi="仿宋_GB2312" w:cs="仿宋_GB2312" w:eastAsia="仿宋_GB2312"/>
              </w:rPr>
              <w:t>自定义添加、编辑、删除业务问答分类，且分类数量不限；可自定义添加、编辑、删除、批量导入 / 导出 / 删除业务问答规则，规则数量也无限制；能手工启用或停用业务问答规则，并根据关键词搜索业务内容；业务问答规则的答案支持文本、图片等多种内容形式；还可自定义添加、编辑业务问答中的问题标签，并依标签进行问答提示。</w:t>
            </w:r>
          </w:p>
          <w:p>
            <w:pPr>
              <w:pStyle w:val="null3"/>
              <w:numPr>
                <w:ilvl w:val="0"/>
                <w:numId w:val="1"/>
              </w:numPr>
            </w:pPr>
            <w:r>
              <w:rPr>
                <w:rFonts w:ascii="仿宋_GB2312" w:hAnsi="仿宋_GB2312" w:cs="仿宋_GB2312" w:eastAsia="仿宋_GB2312"/>
              </w:rPr>
              <w:t>实现用户手动上传文档至问答库，上传后系统可对上传的文档进行解析，解析后可智能回答文档相关问题。（演示项）。</w:t>
            </w:r>
          </w:p>
          <w:p>
            <w:pPr>
              <w:pStyle w:val="null3"/>
              <w:numPr>
                <w:ilvl w:val="0"/>
                <w:numId w:val="1"/>
              </w:numPr>
            </w:pPr>
            <w:r>
              <w:rPr>
                <w:rFonts w:ascii="仿宋_GB2312" w:hAnsi="仿宋_GB2312" w:cs="仿宋_GB2312" w:eastAsia="仿宋_GB2312"/>
              </w:rPr>
              <w:t>▲AI助教输出的答案会显示来源，可截取与答案相关的原文内容，也能通过来源跳转回原文全文展开学习；问答时会智能推荐问题关联的相关微应用，且能通过助教统一调用 AI 出题、AI 撰写教案、AI 解析视频等教学环节的多种人工智能应用。</w:t>
            </w:r>
          </w:p>
          <w:p>
            <w:pPr>
              <w:pStyle w:val="null3"/>
              <w:numPr>
                <w:ilvl w:val="0"/>
                <w:numId w:val="1"/>
              </w:numPr>
            </w:pPr>
            <w:r>
              <w:rPr>
                <w:rFonts w:ascii="仿宋_GB2312" w:hAnsi="仿宋_GB2312" w:cs="仿宋_GB2312" w:eastAsia="仿宋_GB2312"/>
              </w:rPr>
              <w:t>▲机器可自动对没有答案的问题描述进行关键词识别并统计聚类，按照关键词问答频率由高到低排序，同时可以批量导出未知问题。</w:t>
            </w:r>
          </w:p>
          <w:p>
            <w:pPr>
              <w:pStyle w:val="null3"/>
              <w:numPr>
                <w:ilvl w:val="0"/>
                <w:numId w:val="1"/>
              </w:numPr>
            </w:pPr>
            <w:r>
              <w:rPr>
                <w:rFonts w:ascii="仿宋_GB2312" w:hAnsi="仿宋_GB2312" w:cs="仿宋_GB2312" w:eastAsia="仿宋_GB2312"/>
              </w:rPr>
              <w:t>▲手工添加未知问题至业务问答规则并自定义修改，能自动忽略无意义问法，根据用户输入问题进行匹配提示，问答无匹配时提供语义相似度最高的热门问题，且可自定义未知问题回复语、欢迎语、阈值及访客端常见问题；能在不同时间段自动推送智能学习提示语，支持多轮对话，提问时可通过语音输入或上传图片读取问题进行提问。</w:t>
            </w:r>
          </w:p>
          <w:p>
            <w:pPr>
              <w:pStyle w:val="null3"/>
              <w:numPr>
                <w:ilvl w:val="0"/>
                <w:numId w:val="1"/>
              </w:numPr>
            </w:pPr>
            <w:r>
              <w:rPr>
                <w:rFonts w:ascii="仿宋_GB2312" w:hAnsi="仿宋_GB2312" w:cs="仿宋_GB2312" w:eastAsia="仿宋_GB2312"/>
              </w:rPr>
              <w:t>实现查询图书、期刊等文献，根据用户输入问题推荐相关文献，图书、期刊等推荐文献，实现通过在线查看原文、文献传递等途径获取；实现针对用户网络课程学习进度和掌握情况，个性化推荐课程资源和拓展性学习资源；</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（七）虚拟教研室统计</w:t>
            </w:r>
          </w:p>
          <w:p>
            <w:pPr>
              <w:pStyle w:val="null3"/>
            </w:pPr>
            <w:r>
              <w:rPr>
                <w:rFonts w:ascii="仿宋_GB2312" w:hAnsi="仿宋_GB2312" w:cs="仿宋_GB2312" w:eastAsia="仿宋_GB2312"/>
              </w:rPr>
              <w:t>1、统计全校虚拟教研室总数以反映规模，统计各虚拟教研室的教师、学生等成员总数以评估参与度，记录并统计教研室内组织的线上讨论等各类活动次数以衡量活跃度，还能统计成员在活动中产生的论文、专利等成果数量以评价成果产出。</w:t>
            </w:r>
          </w:p>
          <w:p>
            <w:pPr>
              <w:pStyle w:val="null3"/>
            </w:pPr>
            <w:r>
              <w:rPr>
                <w:rFonts w:ascii="仿宋_GB2312" w:hAnsi="仿宋_GB2312" w:cs="仿宋_GB2312" w:eastAsia="仿宋_GB2312"/>
              </w:rPr>
              <w:t>2、统计虚拟教研室共建的在线课程、教学视频等课程资源数量，评估其在课程资源建设上的贡献；统计成员共建的选择题、简答题等题库数量，评估试题资源建设成果；统计共同构建的知识图谱的知识节点数量、关联关系等详细情况，反映知识整理与构建能力；还能统计成员共同编写的含教学目标等内容的电子教案数量，评估教学设计方面的实力。</w:t>
            </w:r>
          </w:p>
          <w:p>
            <w:pPr>
              <w:pStyle w:val="null3"/>
            </w:pPr>
            <w:r>
              <w:rPr>
                <w:rFonts w:ascii="仿宋_GB2312" w:hAnsi="仿宋_GB2312" w:cs="仿宋_GB2312" w:eastAsia="仿宋_GB2312"/>
              </w:rPr>
              <w:t>3、实时记录并展示各个虚拟教研室本月的活动情况，包括活动主题、时间、参与人员等，方便管理者和成员了解最新动态；还会统计成员本月的登录次数、参与活动次数等数据，以此评估其活跃度和参与度，为激励成员提供依据；同时为虚拟教研室成员提供 ≥100G 云盘存储空间，可根据学校使用情况，对云盘进行免费扩容，不限速上传下载，老师默认仅能查看自己的云盘，且具备权限设置功能，可设置云盘资源的共享范围。</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（八）技术对接</w:t>
            </w:r>
          </w:p>
          <w:p>
            <w:pPr>
              <w:pStyle w:val="null3"/>
            </w:pPr>
            <w:r>
              <w:rPr>
                <w:rFonts w:ascii="仿宋_GB2312" w:hAnsi="仿宋_GB2312" w:cs="仿宋_GB2312" w:eastAsia="仿宋_GB2312"/>
              </w:rPr>
              <w:t>8.1接入学校统一身份认证</w:t>
            </w:r>
          </w:p>
          <w:p>
            <w:pPr>
              <w:pStyle w:val="null3"/>
            </w:pPr>
            <w:r>
              <w:rPr>
                <w:rFonts w:ascii="仿宋_GB2312" w:hAnsi="仿宋_GB2312" w:cs="仿宋_GB2312" w:eastAsia="仿宋_GB2312"/>
              </w:rPr>
              <w:t>根据学校“认证一个号”的要求，各系统建设完成后须与信息网络技术中心统一身份认证系统对接，实现身份数据的统一读取，实现全校各应用单点登录。集成方式有Cas集成，nginx集成，ldap集成，oauth2.0集成和移动集成等不同方式，针对不同类型的系统提供不同服务。</w:t>
            </w:r>
          </w:p>
          <w:p>
            <w:pPr>
              <w:pStyle w:val="null3"/>
            </w:pPr>
            <w:r>
              <w:rPr>
                <w:rFonts w:ascii="仿宋_GB2312" w:hAnsi="仿宋_GB2312" w:cs="仿宋_GB2312" w:eastAsia="仿宋_GB2312"/>
              </w:rPr>
              <w:t>对接方式：系统建设单位负责人登录一网通办，搜索“统一身份认证接入申请”，按要求提交对接申请。</w:t>
            </w:r>
          </w:p>
          <w:p>
            <w:pPr>
              <w:pStyle w:val="null3"/>
            </w:pPr>
            <w:r>
              <w:rPr>
                <w:rFonts w:ascii="仿宋_GB2312" w:hAnsi="仿宋_GB2312" w:cs="仿宋_GB2312" w:eastAsia="仿宋_GB2312"/>
              </w:rPr>
              <w:t>8.2接入学校数据中台</w:t>
            </w:r>
          </w:p>
          <w:p>
            <w:pPr>
              <w:pStyle w:val="null3"/>
            </w:pPr>
            <w:r>
              <w:rPr>
                <w:rFonts w:ascii="仿宋_GB2312" w:hAnsi="仿宋_GB2312" w:cs="仿宋_GB2312" w:eastAsia="仿宋_GB2312"/>
              </w:rPr>
              <w:t>根据学校信息化统一建设标准，各系统建设时数据库设计须遵循学校数据标准，非所建系统采集的数据须与信息网络技术中心对接相应数据的校级标准；系统建设完成后需将系统产生的所有数据对接至学校数据共享中心，需提供数据库访问方式和数据结构字典。系统产生的消息类、通知类、流程审核类接口须注册至学校数据中台。系统产生的数据对接数据共享中心后，方可提出项目验收申请。</w:t>
            </w:r>
          </w:p>
          <w:p>
            <w:pPr>
              <w:pStyle w:val="null3"/>
            </w:pPr>
            <w:r>
              <w:rPr>
                <w:rFonts w:ascii="仿宋_GB2312" w:hAnsi="仿宋_GB2312" w:cs="仿宋_GB2312" w:eastAsia="仿宋_GB2312"/>
              </w:rPr>
              <w:t>系统建设所需的校内其他部门数据，需通过数据中台申请。申请方式：系统建设单位负责人登录一网通办，搜索“数据/系统对接信息表”，按要求提交对接申请。</w:t>
            </w:r>
          </w:p>
          <w:p>
            <w:pPr>
              <w:pStyle w:val="null3"/>
            </w:pPr>
            <w:r>
              <w:rPr>
                <w:rFonts w:ascii="仿宋_GB2312" w:hAnsi="仿宋_GB2312" w:cs="仿宋_GB2312" w:eastAsia="仿宋_GB2312"/>
              </w:rPr>
              <w:t>8.3对接学校统一服务门户（包含pc端和移动端）</w:t>
            </w:r>
          </w:p>
          <w:p>
            <w:pPr>
              <w:pStyle w:val="null3"/>
            </w:pPr>
            <w:r>
              <w:rPr>
                <w:rFonts w:ascii="仿宋_GB2312" w:hAnsi="仿宋_GB2312" w:cs="仿宋_GB2312" w:eastAsia="仿宋_GB2312"/>
              </w:rPr>
              <w:t>所有系统或应用的开发设计应符合碎片化服务的理念，上线前须接入学校统一服务门户，PC端与 “一网通办”服务门户深度融合，移动端与学校APP、企业号、小程序等进行深度融合，实现公共服务网上一站式统一办理。</w:t>
            </w:r>
          </w:p>
          <w:p>
            <w:pPr>
              <w:pStyle w:val="null3"/>
            </w:pPr>
            <w:r>
              <w:rPr>
                <w:rFonts w:ascii="仿宋_GB2312" w:hAnsi="仿宋_GB2312" w:cs="仿宋_GB2312" w:eastAsia="仿宋_GB2312"/>
              </w:rPr>
              <w:t>8.4对接网络教学平台</w:t>
            </w:r>
          </w:p>
          <w:p>
            <w:pPr>
              <w:pStyle w:val="null3"/>
            </w:pPr>
            <w:r>
              <w:rPr>
                <w:rFonts w:ascii="仿宋_GB2312" w:hAnsi="仿宋_GB2312" w:cs="仿宋_GB2312" w:eastAsia="仿宋_GB2312"/>
              </w:rPr>
              <w:t>虚拟教研室平台需要与网络教学平台对接，实现资源双向互通与调用。统一云盘资源格式与权限，云盘资源需要相互引用；标准化课程数据，课程资源需要能够相互引用；规范题库题型与格式，通过系统对接实现共享试题。</w:t>
            </w:r>
          </w:p>
          <w:p>
            <w:pPr>
              <w:pStyle w:val="null3"/>
            </w:pPr>
            <w:r>
              <w:rPr>
                <w:rFonts w:ascii="仿宋_GB2312" w:hAnsi="仿宋_GB2312" w:cs="仿宋_GB2312" w:eastAsia="仿宋_GB2312"/>
              </w:rPr>
              <w:t>（九）部署方式</w:t>
            </w:r>
          </w:p>
          <w:p>
            <w:pPr>
              <w:pStyle w:val="null3"/>
            </w:pPr>
            <w:r>
              <w:rPr>
                <w:rFonts w:ascii="仿宋_GB2312" w:hAnsi="仿宋_GB2312" w:cs="仿宋_GB2312" w:eastAsia="仿宋_GB2312"/>
              </w:rPr>
              <w:t>混合式部署模式，本地部署不少于登录认证对接、教研室门户及成果展示门户等前端应用，其余功能可以云端部署，云端机房具备三级等保资质，确保平台各项功能模块（如教研会议软件、教研管理、跨校资源共享、AI 应用等）能顺畅运行。</w:t>
            </w:r>
          </w:p>
          <w:p>
            <w:pPr>
              <w:pStyle w:val="null3"/>
            </w:pPr>
            <w:r>
              <w:rPr>
                <w:rFonts w:ascii="仿宋_GB2312" w:hAnsi="仿宋_GB2312" w:cs="仿宋_GB2312" w:eastAsia="仿宋_GB2312"/>
              </w:rPr>
              <w:t>数据同步机制根据需要学校要求，至少实现每日全量或增量同步，平台运行过程中产生的各类数据（包括人员信息、教研活动记录、资源文件、互动数据等），需每日自动同步至学校数据中通，同步过程需保障数据的完整性、准确性和安全性，防止数据丢失或泄露，实现云端业务连续性与本地数据备份的双重保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人员配置要求</w:t>
            </w:r>
          </w:p>
          <w:p>
            <w:pPr>
              <w:pStyle w:val="null3"/>
            </w:pPr>
            <w:r>
              <w:rPr>
                <w:rFonts w:ascii="仿宋_GB2312" w:hAnsi="仿宋_GB2312" w:cs="仿宋_GB2312" w:eastAsia="仿宋_GB2312"/>
              </w:rPr>
              <w:t xml:space="preserve">       要求提供项目经理一人，负责全程跟踪项目的开发与实施，直至该项目验收。该项目经理应具备同类项目成功开发实施经验，并在项目中承担项目经理职务。项目组其他实施人员应满足项目开发和实施的需要，项目组成人员应不少于2人，项目成员需具有两个以上同类项目的开发和实施经验。</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1、培训要求，100人次，培训方式，培训内容；</w:t>
            </w:r>
          </w:p>
          <w:p>
            <w:pPr>
              <w:pStyle w:val="null3"/>
            </w:pPr>
            <w:r>
              <w:rPr>
                <w:rFonts w:ascii="仿宋_GB2312" w:hAnsi="仿宋_GB2312" w:cs="仿宋_GB2312" w:eastAsia="仿宋_GB2312"/>
              </w:rPr>
              <w:t>服务期内每年度现场培训次数不少于2次，培训时长不少于2小时，培训人次100人。</w:t>
            </w:r>
          </w:p>
          <w:p>
            <w:pPr>
              <w:pStyle w:val="null3"/>
            </w:pPr>
            <w:r>
              <w:rPr>
                <w:rFonts w:ascii="仿宋_GB2312" w:hAnsi="仿宋_GB2312" w:cs="仿宋_GB2312" w:eastAsia="仿宋_GB2312"/>
              </w:rPr>
              <w:t>服务提供方如提供在线培训方式，培训内容须事先经我方认可，方能代替现场培训。</w:t>
            </w:r>
          </w:p>
          <w:p>
            <w:pPr>
              <w:pStyle w:val="null3"/>
            </w:pPr>
            <w:r>
              <w:rPr>
                <w:rFonts w:ascii="仿宋_GB2312" w:hAnsi="仿宋_GB2312" w:cs="仿宋_GB2312" w:eastAsia="仿宋_GB2312"/>
              </w:rPr>
              <w:t>项目验收前须针对我校主要使用人员进行系统培训，确保我方人员可熟练操作。确保我方人员及时掌握新的功能特性与使用技巧，包括教研室后台维护，教研活动发布和资源共建共享等。</w:t>
            </w:r>
          </w:p>
          <w:p>
            <w:pPr>
              <w:pStyle w:val="null3"/>
            </w:pPr>
            <w:r>
              <w:rPr>
                <w:rFonts w:ascii="仿宋_GB2312" w:hAnsi="仿宋_GB2312" w:cs="仿宋_GB2312" w:eastAsia="仿宋_GB2312"/>
              </w:rPr>
              <w:t>2、质保要求，质保期3年内提供免费系统升级及维护服务。在3年的服务期内，供应商须提供免费系统维护、系统升级服务，服务期内供应商应确保虚拟教研室平台免费升级至最新版。</w:t>
            </w:r>
          </w:p>
          <w:p>
            <w:pPr>
              <w:pStyle w:val="null3"/>
            </w:pPr>
            <w:r>
              <w:rPr>
                <w:rFonts w:ascii="仿宋_GB2312" w:hAnsi="仿宋_GB2312" w:cs="仿宋_GB2312" w:eastAsia="仿宋_GB2312"/>
              </w:rPr>
              <w:t>3、售后服务要求：为了保证本次项目顺利成功，要求投标人承诺项目验收后提供7*24小时售后技术服务。质保期内出现问题，30分钟内做出明确响应和安排：即时通过电话、Email或传真等远程方式查找紧急事件的事发原因并通过远程途径解决相应问题。1小时内到达现场，24小时内解决问题，提供不间断的服务直到系统正常运行售后服务内容：包括免费升级、功能完善、数据备份恢复、故障排除、定期巡检、性能调优、技术咨询等，并负责系统的开发、处理、协调与各系统软件等生产厂商的关系。</w:t>
            </w:r>
          </w:p>
          <w:p>
            <w:pPr>
              <w:pStyle w:val="null3"/>
            </w:pPr>
            <w:r>
              <w:rPr>
                <w:rFonts w:ascii="仿宋_GB2312" w:hAnsi="仿宋_GB2312" w:cs="仿宋_GB2312" w:eastAsia="仿宋_GB2312"/>
              </w:rPr>
              <w:t>4、升级服务：在服务期内，投标人应伴随软件产品的更新，为采购人提供系统的版本升级服务，费用包含在此次报价中。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要求提供项目经理一人，负责全程跟踪项目的开发与实施，直至该项目验收。 该项目经理应具备同类项目成功开发实施经验，并在项目中承担项目经理职务。项目组其他实施人员应满足项目开发和实施的需要，项目组成人员应不少于2人，项目成员需具有两个以上同类项目的开发和实施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自合同签订之日起三年，建设不少于20个虚拟教研室，质保期为三年。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1、项目交付部署完成，系统正常运行。 2、完成产品培训，项目正式上线并正常运行满20个工作日，系统运行正常。 3、乙方提交验收申请和验收文件。 4、符合采购文件及国家相关法律法规要求。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由当事人协商解决，协商不成的，依法向甲方住所地人民法院起诉。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本项目专门面向中小企业采购，需提供声明函。</w:t>
            </w:r>
          </w:p>
        </w:tc>
        <w:tc>
          <w:tcPr>
            <w:tcW w:type="dxa" w:w="1661"/>
          </w:tcPr>
          <w:p>
            <w:pPr>
              <w:pStyle w:val="null3"/>
            </w:pPr>
            <w:r>
              <w:rPr>
                <w:rFonts w:ascii="仿宋_GB2312" w:hAnsi="仿宋_GB2312" w:cs="仿宋_GB2312" w:eastAsia="仿宋_GB2312"/>
              </w:rPr>
              <w:t>供应商资格证明资料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非法定代表人参加投标的，须提供法定代表人授权委托书及被授权人身份证原件；法定代表人参加投标时,只须提供法定代表人证明书。</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具有良好的商业信誉和健全的财务会计制度，提供2024年度经审计的财务报告（注册会计师统一监管平台申请赋码可查询）或开标前六个月内其基本账户银行出具的资信证明（附开户许可证或基本账户证明）。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具有依法缴纳税收的良好记录，提供2024年6月至今已缴纳的至少一个月的纳税证明或完税证明（至少包含增值税或企业所得税）；依法免税的单位应提供相关证明材料；（以税款所属日期为准）。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具有依法缴纳社会保障资金的良好记录，提供2024年6月至今已缴纳的至少一个月的社保缴费凭据或社保机构开具的社会保险参保缴费情况证明（依法不需要缴纳社会保障资金的供应商应提供相关证明）。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本项目专门面向中小企业采购，需提供声明函。</w:t>
            </w:r>
          </w:p>
        </w:tc>
        <w:tc>
          <w:tcPr>
            <w:tcW w:type="dxa" w:w="1661"/>
          </w:tcPr>
          <w:p>
            <w:pPr>
              <w:pStyle w:val="null3"/>
            </w:pPr>
            <w:r>
              <w:rPr>
                <w:rFonts w:ascii="仿宋_GB2312" w:hAnsi="仿宋_GB2312" w:cs="仿宋_GB2312" w:eastAsia="仿宋_GB2312"/>
              </w:rPr>
              <w:t>供应商资格证明资料 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供应商资格证明资料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报价是否超过预算或最高限价</w:t>
            </w:r>
          </w:p>
        </w:tc>
        <w:tc>
          <w:tcPr>
            <w:tcW w:type="dxa" w:w="1661"/>
          </w:tcPr>
          <w:p>
            <w:pPr>
              <w:pStyle w:val="null3"/>
            </w:pPr>
            <w:r>
              <w:rPr>
                <w:rFonts w:ascii="仿宋_GB2312" w:hAnsi="仿宋_GB2312" w:cs="仿宋_GB2312" w:eastAsia="仿宋_GB2312"/>
              </w:rPr>
              <w:t>分项报价表 标的清单 磋商一览表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商务和技术响应偏离表 标的清单 磋商一览表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磋商一览表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签字和盖章均符合磋商文件要求，且无遗漏。</w:t>
            </w:r>
          </w:p>
        </w:tc>
        <w:tc>
          <w:tcPr>
            <w:tcW w:type="dxa" w:w="1661"/>
          </w:tcPr>
          <w:p>
            <w:pPr>
              <w:pStyle w:val="null3"/>
            </w:pPr>
            <w:r>
              <w:rPr>
                <w:rFonts w:ascii="仿宋_GB2312" w:hAnsi="仿宋_GB2312" w:cs="仿宋_GB2312" w:eastAsia="仿宋_GB2312"/>
              </w:rPr>
              <w:t>供应商资格证明资料 磋商保证金 分项报价表 项目建设方案 中小企业声明函 供应商认为有必要说明的其他问题 商务和技术响应偏离表 供应商业绩一览表 磋商一览表 响应文件封面 技术参数证明资料 售后服务及培训方案 残疾人福利性单位声明函 标的清单 陕西省政府采购供应商拒绝政府采购领域商业贿赂承诺书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是否按规定缴纳磋商保证金</w:t>
            </w:r>
          </w:p>
        </w:tc>
        <w:tc>
          <w:tcPr>
            <w:tcW w:type="dxa" w:w="1661"/>
          </w:tcPr>
          <w:p>
            <w:pPr>
              <w:pStyle w:val="null3"/>
            </w:pPr>
            <w:r>
              <w:rPr>
                <w:rFonts w:ascii="仿宋_GB2312" w:hAnsi="仿宋_GB2312" w:cs="仿宋_GB2312" w:eastAsia="仿宋_GB2312"/>
              </w:rPr>
              <w:t>磋商保证金</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是否存在法律、法规和招标文件规定的其他实质性要求</w:t>
            </w:r>
          </w:p>
        </w:tc>
        <w:tc>
          <w:tcPr>
            <w:tcW w:type="dxa" w:w="1661"/>
          </w:tcPr>
          <w:p>
            <w:pPr>
              <w:pStyle w:val="null3"/>
            </w:pPr>
            <w:r>
              <w:rPr>
                <w:rFonts w:ascii="仿宋_GB2312" w:hAnsi="仿宋_GB2312" w:cs="仿宋_GB2312" w:eastAsia="仿宋_GB2312"/>
              </w:rPr>
              <w:t>供应商资格证明资料 供应商认为有必要说明的其他问题 商务和技术响应偏离表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投标产品技术参数完全符合磋商文件要求，没有负偏离的得23分，参数中每有一条技术指标负偏离扣0.5分，加“▲”每有一条技术指标负偏离扣1分，扣完为止。 注：投标供应商须在技术响应表中对技术参数进行回应，尽可能多的提供相关技术参数佐证材料（佐证材料包括但不限于：产品彩页、官网截图等证明材料，佐证材料须包含产品的技术参数，并按要求放入磋商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w:t>
            </w:r>
          </w:p>
          <w:p>
            <w:pPr>
              <w:pStyle w:val="null3"/>
            </w:pPr>
            <w:r>
              <w:rPr>
                <w:rFonts w:ascii="仿宋_GB2312" w:hAnsi="仿宋_GB2312" w:cs="仿宋_GB2312" w:eastAsia="仿宋_GB2312"/>
              </w:rPr>
              <w:t>技术参数证明资料</w:t>
            </w:r>
          </w:p>
        </w:tc>
      </w:tr>
      <w:tr>
        <w:tc>
          <w:tcPr>
            <w:tcW w:type="dxa" w:w="831"/>
            <w:vMerge/>
          </w:tcPr>
          <w:p/>
        </w:tc>
        <w:tc>
          <w:tcPr>
            <w:tcW w:type="dxa" w:w="1661"/>
          </w:tcPr>
          <w:p>
            <w:pPr>
              <w:pStyle w:val="null3"/>
            </w:pPr>
            <w:r>
              <w:rPr>
                <w:rFonts w:ascii="仿宋_GB2312" w:hAnsi="仿宋_GB2312" w:cs="仿宋_GB2312" w:eastAsia="仿宋_GB2312"/>
              </w:rPr>
              <w:t>项目建设方案</w:t>
            </w:r>
          </w:p>
        </w:tc>
        <w:tc>
          <w:tcPr>
            <w:tcW w:type="dxa" w:w="2492"/>
          </w:tcPr>
          <w:p>
            <w:pPr>
              <w:pStyle w:val="null3"/>
            </w:pPr>
            <w:r>
              <w:rPr>
                <w:rFonts w:ascii="仿宋_GB2312" w:hAnsi="仿宋_GB2312" w:cs="仿宋_GB2312" w:eastAsia="仿宋_GB2312"/>
              </w:rPr>
              <w:t>项目整体建设方案包含①整体设计、②性能指标、③信息安全、④平台扩展性，根据项目整体建设方案响应情况，完整且具有符合实际需求的得 4分，每缺少一项扣1 分，某一项不完整或与实际需求不符或不满足要求或与本项目需求不切合或直接套用其他项目内容的扣0.5 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项目建设方案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包括但不限于①项目总体实施方案、②项目建设的总体设计框架及项目组织及协调方案、③系统调试（验收）方案、④协助和学校其它平台的对接方案。方案制定内容齐全，各类措施健全，完全满足采购需求并符合本项目实施特点的得8 分；以上方面中每缺少一方面内容扣 2 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针对本项目实际情况及采购人需求，供应商应提供具体可行的售后服务措施承诺及明确详细的售后服务人员组成和安排，包括但不限于①升级、②功能完善、③数据备份恢复、④故障排除、⑤定期巡检、⑥性能调优、⑦技术咨询等完全满足采购需求并符合本项目实施特点的得7分；以上内容中每缺少一项内容扣 1分；每有一处内容与实际需求不符或不满足要求或与本项目需求不切合或直接套用其他项目内容的扣0.5分，扣完为止。未提供不得分。 （2）供应商应向采购人提供操作培训，并附有完整的培训方案，列出详细的①培训内容、②培训方式、③培训人员、④培训场次等，完全满足采购需求并符合本项目实施特点的得4分；以上内容中每缺少一项内容扣 1分；每有一处内容与实际需求不符或不满足要求或与本项目需求不切合或直接套用其他项目内容的扣0.5分，扣完为止。未提供不得分。 评审依据：提供售后服务及培训方案，售后服务机构专职人员名单，本行业内的技术证书及相关证明材料等资料（复印件加盖公章）。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供应商提供自2022年7月1日起（以合同签订日为准）至今类似项目业绩，每提供1个业绩合同得1分，最高得5分。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根据演示情况与项目要求的契合度得分，共14分。PPT或demo 不得分，一项不满足扣2分，扣完为止; 评审依据：各投标人需自行准备演示设备，根据技术要求进行现场演示，演示时间不超过20分钟。 1、演示“虚拟教研室成果展示门户”，演示设置门户管理员，仅管理员拥有网站的编辑权限；针对不同的角色设置不同的门户编辑权限，比如教务处管理员可以编辑全校的虚拟教研室展示门户，各教研室主任仅能编辑本教研室的展示门户。 2、演示“教研组管理”，演示设置虚拟教研室是否可被展示在教研室广场，便于成员通过自主加入或扫描教研室二维码的方式参与。 3、演示“教研组活动”，演示具备一站式教研活动管理。教研活动发布、通知提醒、教研活动报名（可指定报名对象）、在线报名、请假管理、活动签到、作品提交管理、活动问卷调查、活动成果管理、统计等业务流程一体化管理。 4、演示“教研会议工具”，同声翻译：将教师语音识别并翻译成设置语种以字幕方式展示于教师屏幕；教师对字幕展示进行设置可自由切换翻译语种，中转英、英转中、中转法、中转西班牙、中转日、中转德、中转俄、中转韩、中转阿拉伯、中转葡萄牙、中转印地、中转意大利等10种以上语言；设置字幕的背景样式不透明度，以及字幕文字大小显示颜色等。 5、演示“会议报告生成”，实现查看课堂报告，包括统计的课堂表现、课堂中的活动回顾、课堂在线时长、发言次数，具备视频理解功能，实现视频自动撰写文字，生成会议纪要。 6、演示“资源共建共享”，演示题目安全措施：题目加密，教师团队进入题库模块，需要进行密码验证。若课程允许学生自测，加密后学生将无法使用自测功能。 7、演示“AI助教”，用户手动上传文档至问答库，上传后系统可对上传的文档进行解析，解析后可智能回答文档相关问题</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35。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磋商一览表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详见附件：商务和技术响应偏离表</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详见附件：技术参数证明资料</w:t>
      </w:r>
    </w:p>
    <w:p>
      <w:pPr>
        <w:pStyle w:val="null3"/>
        <w:ind w:firstLine="960"/>
      </w:pPr>
      <w:r>
        <w:rPr>
          <w:rFonts w:ascii="仿宋_GB2312" w:hAnsi="仿宋_GB2312" w:cs="仿宋_GB2312" w:eastAsia="仿宋_GB2312"/>
        </w:rPr>
        <w:t>详见附件：项目建设方案</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