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版本号：WL-2025-04020250724002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国家紧急医学救援队（陕西）移动医院高压帐篷采购项目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WL-2025-040</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万隆金剑工程管理咨询有限公司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万隆金剑工程管理咨询有限公司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国家紧急医学救援队（陕西）移动医院高压帐篷采购项目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WL-2025-040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国家紧急医学救援队（陕西）移动医院高压帐篷采购项目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国家紧急医学救援队（陕西）移动医院高压帐篷采购项目1批。高压充气帐篷主要用于在灾害、疫情等特殊环境下，为医疗救援提供洁净、安全、可控的工作空间，要求能够布局灵活，快速高效搭建。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采购包1（国家紧急医学救援队（陕西）移动医院高压帐篷采购项目）：属于专门面向中小企业采购。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年度或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3、税收缴纳证明：提供2024年1月1日至今任意一个月已缴纳的纳税证明或完税证明（包含增值税、企业所得税、营业税至少一种）；（依法免税的供应商应提供相关文件证明）</w:t>
      </w:r>
    </w:p>
    <w:p>
      <w:pPr>
        <w:pStyle w:val="null3"/>
      </w:pPr>
      <w:r>
        <w:rPr>
          <w:rFonts w:ascii="仿宋_GB2312" w:hAnsi="仿宋_GB2312" w:cs="仿宋_GB2312" w:eastAsia="仿宋_GB2312"/>
        </w:rPr>
        <w:t>4、社会保障资金缴纳证明：提供2024年1月1日至今任意一个月的社保缴费凭据或社保机构开具的社会保险参保缴费情况证明；（依法不需要缴纳社会保障资金的供应商应提供相关证明）</w:t>
      </w:r>
    </w:p>
    <w:p>
      <w:pPr>
        <w:pStyle w:val="null3"/>
      </w:pPr>
      <w:r>
        <w:rPr>
          <w:rFonts w:ascii="仿宋_GB2312" w:hAnsi="仿宋_GB2312" w:cs="仿宋_GB2312" w:eastAsia="仿宋_GB2312"/>
        </w:rPr>
        <w:t>5、承诺函：提供具有履行本合同所必需的设备和专业技术能力的说明及承诺</w:t>
      </w:r>
    </w:p>
    <w:p>
      <w:pPr>
        <w:pStyle w:val="null3"/>
      </w:pPr>
      <w:r>
        <w:rPr>
          <w:rFonts w:ascii="仿宋_GB2312" w:hAnsi="仿宋_GB2312" w:cs="仿宋_GB2312" w:eastAsia="仿宋_GB2312"/>
        </w:rPr>
        <w:t>6、书面声明：提供参加政府采购活动前三年内在经营活动中没有重大违法记录的书面声明</w:t>
      </w:r>
    </w:p>
    <w:p>
      <w:pPr>
        <w:pStyle w:val="null3"/>
      </w:pPr>
      <w:r>
        <w:rPr>
          <w:rFonts w:ascii="仿宋_GB2312" w:hAnsi="仿宋_GB2312" w:cs="仿宋_GB2312" w:eastAsia="仿宋_GB2312"/>
        </w:rPr>
        <w:t>7、法定代表人授权书（或法人身份证明）：法定代表人授权书及被授权人身份证明。（法定代表人直接投标只须提供其身份证明）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陕西省人民医院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029-85251331-3833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万隆金剑工程管理咨询有限公司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陕西省西安市雁塔区西安市高新区沣惠南路20号华晶商务广场B座10501,10502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王钰婷、田野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18991288679、029-87582051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开户名称：万隆金剑工程管理咨询有限公司</w:t>
            </w:r>
          </w:p>
          <w:p>
            <w:pPr>
              <w:pStyle w:val="null3"/>
            </w:pPr>
            <w:r>
              <w:rPr>
                <w:rFonts w:ascii="仿宋_GB2312" w:hAnsi="仿宋_GB2312" w:cs="仿宋_GB2312" w:eastAsia="仿宋_GB2312"/>
              </w:rPr>
              <w:t>开户银行：平安银行股份有限公司西安高新支行</w:t>
            </w:r>
          </w:p>
          <w:p>
            <w:pPr>
              <w:pStyle w:val="null3"/>
            </w:pPr>
            <w:r>
              <w:rPr>
                <w:rFonts w:ascii="仿宋_GB2312" w:hAnsi="仿宋_GB2312" w:cs="仿宋_GB2312" w:eastAsia="仿宋_GB2312"/>
              </w:rPr>
              <w:t>银行账号：30205803001753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 1、按照国家计委颁布的《招标代理服务收费管理暂行办法》（计价格[2002]1980号）规定的招标代理服务收费标准，50万元（含）以下项目按照下浮40%进行收取；50万元（不含）以上的项目按照下浮43%进行收取。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万隆金剑工程管理咨询有限公司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万隆金剑工程管理咨询有限公司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万隆金剑工程管理咨询有限公司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1.验收分初次开箱验收和医院最终验收两个阶段，以最终验收为准。 2.货物到货后，采购人、成交供应商双方共同开箱验收。在检查货物原产地、型号、规格、配置符合合同要求后，由成交供应商负责安装调试、采购人使用单位负责技术验收（成交供应商协助），验收以国内行业标准或合同文本货物供货配置清单中描述的有关技术要求为准。 3.采购人使用单位初验合格后提出验收申请，医院相关部门根据使用单位技术验收结果，组织有关专家进行货物的最终验收。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联系人：王钰婷</w:t>
      </w:r>
    </w:p>
    <w:p>
      <w:pPr>
        <w:pStyle w:val="null3"/>
      </w:pPr>
      <w:r>
        <w:rPr>
          <w:rFonts w:ascii="仿宋_GB2312" w:hAnsi="仿宋_GB2312" w:cs="仿宋_GB2312" w:eastAsia="仿宋_GB2312"/>
        </w:rPr>
        <w:t>联系电话：18792622079</w:t>
      </w:r>
    </w:p>
    <w:p>
      <w:pPr>
        <w:pStyle w:val="null3"/>
      </w:pPr>
      <w:r>
        <w:rPr>
          <w:rFonts w:ascii="仿宋_GB2312" w:hAnsi="仿宋_GB2312" w:cs="仿宋_GB2312" w:eastAsia="仿宋_GB2312"/>
        </w:rPr>
        <w:t>地址：西安市高新区沣惠南路20号华晶商务广场B座5楼招标二部</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国家紧急医学救援队（陕西）移动医院高压帐篷采购项目1批，高压充气帐篷主要用于在灾害、疫情等特殊环境下，为医疗救援提供洁净、安全、可控的工作空间，要求能够布局灵活，快速高效搭建。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高压帐篷</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标的名称：高压帐篷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和现有国家紧急医学救援队（陕西）帐篷医院无缝连接。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1、采用高压式充气框架结构。</w:t>
            </w:r>
          </w:p>
          <w:p>
            <w:pPr>
              <w:pStyle w:val="null3"/>
              <w:jc w:val="both"/>
            </w:pPr>
            <w:r>
              <w:rPr>
                <w:rFonts w:ascii="仿宋_GB2312" w:hAnsi="仿宋_GB2312" w:cs="仿宋_GB2312" w:eastAsia="仿宋_GB2312"/>
                <w:sz w:val="21"/>
              </w:rPr>
              <w:t>2、帐篷主体结构使用高频热合热封工艺制作，能够快速组合展开成型；内外两层篷布，外篷布和地布为一体式，有效防止蚊虫进入帐篷内部</w:t>
            </w:r>
            <w:r>
              <w:rPr>
                <w:rFonts w:ascii="仿宋_GB2312" w:hAnsi="仿宋_GB2312" w:cs="仿宋_GB2312" w:eastAsia="仿宋_GB2312"/>
                <w:sz w:val="21"/>
              </w:rPr>
              <w:t>，帐篷主体下另外配备垫布。</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每顶帐篷</w:t>
            </w:r>
            <w:r>
              <w:rPr>
                <w:rFonts w:ascii="仿宋_GB2312" w:hAnsi="仿宋_GB2312" w:cs="仿宋_GB2312" w:eastAsia="仿宋_GB2312"/>
                <w:sz w:val="21"/>
              </w:rPr>
              <w:t>总体配置：帐篷主体</w:t>
            </w:r>
            <w:r>
              <w:rPr>
                <w:rFonts w:ascii="仿宋_GB2312" w:hAnsi="仿宋_GB2312" w:cs="仿宋_GB2312" w:eastAsia="仿宋_GB2312"/>
                <w:sz w:val="21"/>
              </w:rPr>
              <w:t>1套、内衬1套、</w:t>
            </w:r>
            <w:r>
              <w:rPr>
                <w:rFonts w:ascii="仿宋_GB2312" w:hAnsi="仿宋_GB2312" w:cs="仿宋_GB2312" w:eastAsia="仿宋_GB2312"/>
                <w:sz w:val="21"/>
              </w:rPr>
              <w:t>消杀设备</w:t>
            </w:r>
            <w:r>
              <w:rPr>
                <w:rFonts w:ascii="仿宋_GB2312" w:hAnsi="仿宋_GB2312" w:cs="仿宋_GB2312" w:eastAsia="仿宋_GB2312"/>
                <w:sz w:val="21"/>
              </w:rPr>
              <w:t>1台、</w:t>
            </w:r>
            <w:r>
              <w:rPr>
                <w:rFonts w:ascii="仿宋_GB2312" w:hAnsi="仿宋_GB2312" w:cs="仿宋_GB2312" w:eastAsia="仿宋_GB2312"/>
                <w:sz w:val="21"/>
              </w:rPr>
              <w:t>照明灯组一组、</w:t>
            </w:r>
            <w:r>
              <w:rPr>
                <w:rFonts w:ascii="仿宋_GB2312" w:hAnsi="仿宋_GB2312" w:cs="仿宋_GB2312" w:eastAsia="仿宋_GB2312"/>
                <w:sz w:val="21"/>
              </w:rPr>
              <w:t>另外包括拉绳、地锚、手锤、维修包、说明书等配件</w:t>
            </w:r>
            <w:r>
              <w:rPr>
                <w:rFonts w:ascii="仿宋_GB2312" w:hAnsi="仿宋_GB2312" w:cs="仿宋_GB2312" w:eastAsia="仿宋_GB2312"/>
                <w:sz w:val="21"/>
              </w:rPr>
              <w:t>1套。</w:t>
            </w:r>
            <w:r>
              <w:rPr>
                <w:rFonts w:ascii="仿宋_GB2312" w:hAnsi="仿宋_GB2312" w:cs="仿宋_GB2312" w:eastAsia="仿宋_GB2312"/>
                <w:sz w:val="21"/>
              </w:rPr>
              <w:t>明细表：</w:t>
            </w:r>
          </w:p>
          <w:tbl>
            <w:tblPr>
              <w:tblBorders>
                <w:top w:val="none" w:color="000000" w:sz="4"/>
                <w:left w:val="none" w:color="000000" w:sz="4"/>
                <w:bottom w:val="none" w:color="000000" w:sz="4"/>
                <w:right w:val="none" w:color="000000" w:sz="4"/>
                <w:insideH w:val="none"/>
                <w:insideV w:val="none"/>
              </w:tblBorders>
            </w:tblPr>
            <w:tblGrid>
              <w:gridCol w:w="340"/>
              <w:gridCol w:w="197"/>
              <w:gridCol w:w="225"/>
              <w:gridCol w:w="317"/>
              <w:gridCol w:w="170"/>
              <w:gridCol w:w="156"/>
              <w:gridCol w:w="414"/>
              <w:gridCol w:w="722"/>
            </w:tblGrid>
            <w:tr>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序号</w:t>
                  </w:r>
                </w:p>
              </w:tc>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包装品名</w:t>
                  </w:r>
                </w:p>
              </w:tc>
              <w:tc>
                <w:tcPr>
                  <w:tcW w:type="dxa" w:w="54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零部件名称</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113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3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w:t>
                  </w:r>
                </w:p>
              </w:tc>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帐篷包</w:t>
                  </w: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主体帐篷</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顶</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每顶帐篷配置数量</w:t>
                  </w:r>
                </w:p>
              </w:tc>
              <w:tc>
                <w:tcPr>
                  <w:tcW w:type="dxa" w:w="72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主篷由内、外篷布与高压气柱组装为一体，支撑杆、拉绳及拉绳板（紧绳器）连接在篷体相应位置的拉环内。</w:t>
                  </w: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紧绳器</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地锚</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手锤</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地布</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块</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支撑杆</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包装袋</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r>
            <w:tr>
              <w:tc>
                <w:tcPr>
                  <w:tcW w:type="dxa" w:w="3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w:t>
                  </w:r>
                </w:p>
              </w:tc>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附件包</w:t>
                  </w: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外连接通道</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件</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采光窗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块</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2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地桩袋</w:t>
                  </w: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三角桩</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414"/>
                  <w:vMerge/>
                  <w:tcBorders>
                    <w:top w:val="none" w:color="000000" w:sz="4"/>
                    <w:left w:val="single" w:color="000000" w:sz="4"/>
                    <w:bottom w:val="single" w:color="000000" w:sz="4"/>
                    <w:right w:val="single" w:color="000000" w:sz="4"/>
                  </w:tcBorders>
                </w:tcPr>
                <w:p/>
              </w:tc>
              <w:tc>
                <w:tcPr>
                  <w:tcW w:type="dxa" w:w="722"/>
                  <w:vMerge/>
                  <w:tcBorders>
                    <w:top w:val="single" w:color="000000" w:sz="4"/>
                    <w:left w:val="single" w:color="000000" w:sz="4"/>
                    <w:bottom w:val="single" w:color="000000" w:sz="4"/>
                    <w:right w:val="single" w:color="000000" w:sz="4"/>
                  </w:tcBorders>
                </w:tcP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225"/>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铁锤</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把</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14"/>
                  <w:vMerge/>
                  <w:tcBorders>
                    <w:top w:val="none" w:color="000000" w:sz="4"/>
                    <w:left w:val="single" w:color="000000" w:sz="4"/>
                    <w:bottom w:val="single" w:color="000000" w:sz="4"/>
                    <w:right w:val="single" w:color="000000" w:sz="4"/>
                  </w:tcBorders>
                </w:tcPr>
                <w:p/>
              </w:tc>
              <w:tc>
                <w:tcPr>
                  <w:tcW w:type="dxa" w:w="722"/>
                  <w:vMerge/>
                  <w:tcBorders>
                    <w:top w:val="single" w:color="000000" w:sz="4"/>
                    <w:left w:val="single" w:color="000000" w:sz="4"/>
                    <w:bottom w:val="single" w:color="000000" w:sz="4"/>
                    <w:right w:val="single" w:color="000000" w:sz="4"/>
                  </w:tcBorders>
                </w:tcP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225"/>
                  <w:vMerge/>
                  <w:tcBorders>
                    <w:top w:val="none" w:color="000000" w:sz="4"/>
                    <w:left w:val="single" w:color="000000" w:sz="4"/>
                    <w:bottom w:val="single" w:color="000000" w:sz="4"/>
                    <w:right w:val="single" w:color="000000" w:sz="4"/>
                  </w:tcBorders>
                </w:tcPr>
                <w:p/>
              </w:tc>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地桩袋</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15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14"/>
                  <w:vMerge/>
                  <w:tcBorders>
                    <w:top w:val="none" w:color="000000" w:sz="4"/>
                    <w:left w:val="single" w:color="000000" w:sz="4"/>
                    <w:bottom w:val="single" w:color="000000" w:sz="4"/>
                    <w:right w:val="single" w:color="000000" w:sz="4"/>
                  </w:tcBorders>
                </w:tcPr>
                <w:p/>
              </w:tc>
              <w:tc>
                <w:tcPr>
                  <w:tcW w:type="dxa" w:w="722"/>
                  <w:vMerge/>
                  <w:tcBorders>
                    <w:top w:val="single" w:color="000000" w:sz="4"/>
                    <w:left w:val="single" w:color="000000" w:sz="4"/>
                    <w:bottom w:val="single" w:color="000000" w:sz="4"/>
                    <w:right w:val="single" w:color="000000" w:sz="4"/>
                  </w:tcBorders>
                </w:tcPr>
                <w:p/>
              </w:tc>
            </w:tr>
            <w:tr>
              <w:tc>
                <w:tcPr>
                  <w:tcW w:type="dxa" w:w="3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w:t>
                  </w:r>
                </w:p>
              </w:tc>
              <w:tc>
                <w:tcPr>
                  <w:tcW w:type="dxa" w:w="1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维修包</w:t>
                  </w: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外篷维修布</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块</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14"/>
                  <w:vMerge/>
                  <w:tcBorders>
                    <w:top w:val="none" w:color="000000" w:sz="4"/>
                    <w:left w:val="single" w:color="000000" w:sz="4"/>
                    <w:bottom w:val="single" w:color="000000" w:sz="4"/>
                    <w:right w:val="single" w:color="000000" w:sz="4"/>
                  </w:tcBorders>
                </w:tcPr>
                <w:p/>
              </w:tc>
              <w:tc>
                <w:tcPr>
                  <w:tcW w:type="dxa" w:w="722"/>
                  <w:vMerge/>
                  <w:tcBorders>
                    <w:top w:val="single" w:color="000000" w:sz="4"/>
                    <w:left w:val="single" w:color="000000" w:sz="4"/>
                    <w:bottom w:val="single" w:color="000000" w:sz="4"/>
                    <w:right w:val="single" w:color="000000" w:sz="4"/>
                  </w:tcBorders>
                </w:tcP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地布维修布</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块</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14"/>
                  <w:vMerge/>
                  <w:tcBorders>
                    <w:top w:val="none" w:color="000000" w:sz="4"/>
                    <w:left w:val="single" w:color="000000" w:sz="4"/>
                    <w:bottom w:val="single" w:color="000000" w:sz="4"/>
                    <w:right w:val="single" w:color="000000" w:sz="4"/>
                  </w:tcBorders>
                </w:tcPr>
                <w:p/>
              </w:tc>
              <w:tc>
                <w:tcPr>
                  <w:tcW w:type="dxa" w:w="722"/>
                  <w:vMerge/>
                  <w:tcBorders>
                    <w:top w:val="single" w:color="000000" w:sz="4"/>
                    <w:left w:val="single" w:color="000000" w:sz="4"/>
                    <w:bottom w:val="single" w:color="000000" w:sz="4"/>
                    <w:right w:val="single" w:color="000000" w:sz="4"/>
                  </w:tcBorders>
                </w:tcP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维修胶</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罐</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每顶帐篷配置数量</w:t>
                  </w:r>
                </w:p>
              </w:tc>
              <w:tc>
                <w:tcPr>
                  <w:tcW w:type="dxa" w:w="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含使用说明书</w:t>
                  </w:r>
                </w:p>
              </w:tc>
            </w:tr>
            <w:tr>
              <w:tc>
                <w:tcPr>
                  <w:tcW w:type="dxa" w:w="340"/>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c>
                <w:tcPr>
                  <w:tcW w:type="dxa" w:w="54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包装袋</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个</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14"/>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w:t>
                  </w:r>
                </w:p>
              </w:tc>
              <w:tc>
                <w:tcPr>
                  <w:tcW w:type="dxa" w:w="7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空气消杀</w:t>
                  </w:r>
                  <w:r>
                    <w:rPr>
                      <w:rFonts w:ascii="仿宋_GB2312" w:hAnsi="仿宋_GB2312" w:cs="仿宋_GB2312" w:eastAsia="仿宋_GB2312"/>
                      <w:sz w:val="21"/>
                    </w:rPr>
                    <w:t>设备</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台</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13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6顶帐篷总计配备数量</w:t>
                  </w:r>
                </w:p>
                <w:p>
                  <w:pPr>
                    <w:pStyle w:val="null3"/>
                    <w:jc w:val="both"/>
                  </w:p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w:t>
                  </w:r>
                </w:p>
              </w:tc>
              <w:tc>
                <w:tcPr>
                  <w:tcW w:type="dxa" w:w="7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折叠病床</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张</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136"/>
                  <w:gridSpan w:val="2"/>
                  <w:vMerge/>
                  <w:tcBorders>
                    <w:top w:val="none" w:color="000000" w:sz="4"/>
                    <w:left w:val="single" w:color="000000" w:sz="4"/>
                    <w:bottom w:val="single" w:color="000000" w:sz="4"/>
                    <w:right w:val="single" w:color="000000" w:sz="4"/>
                  </w:tcBorders>
                </w:tcP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6</w:t>
                  </w:r>
                </w:p>
              </w:tc>
              <w:tc>
                <w:tcPr>
                  <w:tcW w:type="dxa" w:w="739"/>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照明灯组</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组</w:t>
                  </w:r>
                </w:p>
              </w:tc>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136"/>
                  <w:gridSpan w:val="2"/>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1"/>
              </w:rPr>
              <w:t>4、帐篷投影主体尺寸6.0*6.0*3.0m，投影面积为36㎡，规格要求（偏差≤±2%）。</w:t>
            </w:r>
          </w:p>
          <w:p>
            <w:pPr>
              <w:pStyle w:val="null3"/>
              <w:jc w:val="both"/>
            </w:pPr>
            <w:r>
              <w:rPr>
                <w:rFonts w:ascii="仿宋_GB2312" w:hAnsi="仿宋_GB2312" w:cs="仿宋_GB2312" w:eastAsia="仿宋_GB2312"/>
                <w:sz w:val="21"/>
              </w:rPr>
              <w:t>5、支撑气柱：气柱材质采用高压管，强度可抵抗恶劣气候环境，所有气室可通过一台高压充气机充气成型，帐篷充气时间为20分钟，高压气柱压力6-8Bar,</w:t>
            </w:r>
          </w:p>
          <w:p>
            <w:pPr>
              <w:pStyle w:val="null3"/>
              <w:jc w:val="both"/>
            </w:pPr>
            <w:r>
              <w:rPr>
                <w:rFonts w:ascii="仿宋_GB2312" w:hAnsi="仿宋_GB2312" w:cs="仿宋_GB2312" w:eastAsia="仿宋_GB2312"/>
                <w:sz w:val="21"/>
              </w:rPr>
              <w:t>支撑强度更高，稳定性更好，抗</w:t>
            </w:r>
            <w:r>
              <w:rPr>
                <w:rFonts w:ascii="仿宋_GB2312" w:hAnsi="仿宋_GB2312" w:cs="仿宋_GB2312" w:eastAsia="仿宋_GB2312"/>
                <w:sz w:val="21"/>
              </w:rPr>
              <w:t>10级大风，12级阵风；抗雨雪等级，30㎏/㎡积雪；气柱直径＜150mm，充气后高压气柱压力≥500kPa，气柱抗穿刺强度≥1000N。</w:t>
            </w:r>
          </w:p>
          <w:p>
            <w:pPr>
              <w:pStyle w:val="null3"/>
              <w:jc w:val="both"/>
            </w:pPr>
            <w:r>
              <w:rPr>
                <w:rFonts w:ascii="仿宋_GB2312" w:hAnsi="仿宋_GB2312" w:cs="仿宋_GB2312" w:eastAsia="仿宋_GB2312"/>
                <w:sz w:val="21"/>
              </w:rPr>
              <w:t>6、蓬布材质为白色PVC夹网布，采用双面涂层材料，材料具有防水、抗紫外线、阻燃、防潮等特性；帐篷内衬采用镀银抗菌布、地布采用灰色PVC网格防滑布，内篷布材料具有抗菌性能，对金黄色葡萄球菌、白色念珠菌、大肠杆菌的抑菌率符合 GB/T 20944.3-2008要求。</w:t>
            </w:r>
          </w:p>
          <w:p>
            <w:pPr>
              <w:pStyle w:val="null3"/>
              <w:jc w:val="both"/>
            </w:pPr>
            <w:r>
              <w:rPr>
                <w:rFonts w:ascii="仿宋_GB2312" w:hAnsi="仿宋_GB2312" w:cs="仿宋_GB2312" w:eastAsia="仿宋_GB2312"/>
                <w:sz w:val="21"/>
              </w:rPr>
              <w:t>篷体、配件材料主要材料</w:t>
            </w:r>
          </w:p>
          <w:tbl>
            <w:tblPr>
              <w:tblBorders>
                <w:top w:val="none" w:color="000000" w:sz="4"/>
                <w:left w:val="none" w:color="000000" w:sz="4"/>
                <w:bottom w:val="none" w:color="000000" w:sz="4"/>
                <w:right w:val="none" w:color="000000" w:sz="4"/>
                <w:insideH w:val="none"/>
                <w:insideV w:val="none"/>
              </w:tblBorders>
            </w:tblPr>
            <w:tblGrid>
              <w:gridCol w:w="1003"/>
              <w:gridCol w:w="433"/>
              <w:gridCol w:w="542"/>
              <w:gridCol w:w="569"/>
            </w:tblGrid>
            <w:tr>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材料名称</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使用部位</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特点</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PVC双面涂层夹网布</w:t>
                  </w:r>
                </w:p>
                <w:p>
                  <w:pPr>
                    <w:pStyle w:val="null3"/>
                    <w:jc w:val="center"/>
                  </w:pPr>
                  <w:r>
                    <w:rPr>
                      <w:rFonts w:ascii="仿宋_GB2312" w:hAnsi="仿宋_GB2312" w:cs="仿宋_GB2312" w:eastAsia="仿宋_GB2312"/>
                      <w:sz w:val="21"/>
                    </w:rPr>
                    <w:t>（克重</w:t>
                  </w:r>
                  <w:r>
                    <w:rPr>
                      <w:rFonts w:ascii="仿宋_GB2312" w:hAnsi="仿宋_GB2312" w:cs="仿宋_GB2312" w:eastAsia="仿宋_GB2312"/>
                      <w:sz w:val="21"/>
                    </w:rPr>
                    <w:t>≥750g/㎡）</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外篷体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阻燃等级：</w:t>
                  </w:r>
                  <w:r>
                    <w:rPr>
                      <w:rFonts w:ascii="仿宋_GB2312" w:hAnsi="仿宋_GB2312" w:cs="仿宋_GB2312" w:eastAsia="仿宋_GB2312"/>
                      <w:sz w:val="21"/>
                    </w:rPr>
                    <w:t>M2(欧盟阻燃标准)，具备抗紫外线辐射能力，外篷主体结构使用高频热合热封工艺制作。内衬材料为涂银布。</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颜色为白色</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镀银抗菌涂层布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内篷体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安全卫生</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PVC双面涂层夹网布（克重≥400g/㎡）</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地布、埋土布</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结实耐磨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颜色为灰色</w:t>
                  </w: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涤纶和丙纶织带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篷体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结实耐用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涤纶包芯绳</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拉绳、篷体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结实耐用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涤纶缝纫线</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篷体、包装袋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结实耐用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螺旋拉链</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包装袋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结实耐用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粘扣带</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篷体</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结实耐用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聚氨酯薄膜</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窗薄膜</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结实耐用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涤纶防水布</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包装袋、地桩袋</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结实耐用，有效防水</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涤纶网纱</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纱门、纱窗</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结实耐用</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1"/>
              </w:rPr>
              <w:t>7、门：帐篷前后山墙各开一扇门，卷帘式两门，无门槛，方便担架车进出；配有PVC配件式连接片，可与同类帐篷连接。</w:t>
            </w:r>
          </w:p>
          <w:p>
            <w:pPr>
              <w:pStyle w:val="null3"/>
              <w:jc w:val="left"/>
            </w:pPr>
            <w:r>
              <w:rPr>
                <w:rFonts w:ascii="仿宋_GB2312" w:hAnsi="仿宋_GB2312" w:cs="仿宋_GB2312" w:eastAsia="仿宋_GB2312"/>
                <w:sz w:val="21"/>
              </w:rPr>
              <w:t>8、帐篷两侧有窗户，可透自然光和通风，有窗帘、纱窗和透明膜3层功能构造。篷身预留冷暖风口、电源功能口；窗户和功能口的数量和位置合理设计，方便使用。</w:t>
            </w:r>
          </w:p>
          <w:p>
            <w:pPr>
              <w:pStyle w:val="null3"/>
              <w:jc w:val="left"/>
            </w:pPr>
            <w:r>
              <w:rPr>
                <w:rFonts w:ascii="仿宋_GB2312" w:hAnsi="仿宋_GB2312" w:cs="仿宋_GB2312" w:eastAsia="仿宋_GB2312"/>
                <w:sz w:val="21"/>
              </w:rPr>
              <w:t>9、标识配置：帐篷整体颜色为白色，外篷两侧印有标识，在顶部斜面位置和窗户下面，印制中国卫生统一标识，标识须符合国家卫健委相关规范要求；侧墙标识为可拆卸式设计，方便用户不同使用场景更换标识；帐篷山墙印制帐篷名称和标识（可拆卸更换）。顶篷上“中国卫生图标+中英文”竖版2套、门上500*250mm魔术贴上印“XX帐篷”字样 2套。</w:t>
            </w:r>
          </w:p>
          <w:p>
            <w:pPr>
              <w:pStyle w:val="null3"/>
              <w:jc w:val="left"/>
            </w:pPr>
            <w:r>
              <w:rPr>
                <w:rFonts w:ascii="仿宋_GB2312" w:hAnsi="仿宋_GB2312" w:cs="仿宋_GB2312" w:eastAsia="仿宋_GB2312"/>
                <w:sz w:val="21"/>
              </w:rPr>
              <w:t>10、包装样式为PVC包+提手，印有帐篷规格标识，方便帐篷搬运。</w:t>
            </w:r>
          </w:p>
          <w:p>
            <w:pPr>
              <w:pStyle w:val="null3"/>
              <w:jc w:val="left"/>
            </w:pPr>
            <w:r>
              <w:rPr>
                <w:rFonts w:ascii="仿宋_GB2312" w:hAnsi="仿宋_GB2312" w:cs="仿宋_GB2312" w:eastAsia="仿宋_GB2312"/>
                <w:sz w:val="21"/>
              </w:rPr>
              <w:t>11、一体式设计。外篷和地布为一体式，整体结构使用高频热合热封工艺制作，降雨350mm/24小时特大暴雨无渗漏；</w:t>
            </w:r>
          </w:p>
          <w:p>
            <w:pPr>
              <w:pStyle w:val="null3"/>
              <w:jc w:val="left"/>
            </w:pPr>
            <w:r>
              <w:rPr>
                <w:rFonts w:ascii="仿宋_GB2312" w:hAnsi="仿宋_GB2312" w:cs="仿宋_GB2312" w:eastAsia="仿宋_GB2312"/>
                <w:sz w:val="21"/>
              </w:rPr>
              <w:t>12、环境适用性要求：帐篷各部位搭接满足雨雪天气等要求，各搭接处牢固、可靠、平滑；各系固点周围有加强块，满足抗风、抗雪等要求。高压帐篷的以下性能指标，需提供由制造商加盖公章的具有CMA认证的第三方检测报告复印件。</w:t>
            </w:r>
          </w:p>
          <w:p>
            <w:pPr>
              <w:pStyle w:val="null3"/>
              <w:jc w:val="left"/>
            </w:pPr>
            <w:r>
              <w:rPr>
                <w:rFonts w:ascii="仿宋_GB2312" w:hAnsi="仿宋_GB2312" w:cs="仿宋_GB2312" w:eastAsia="仿宋_GB2312"/>
                <w:sz w:val="21"/>
              </w:rPr>
              <w:t>a.抗风能力≥10级；</w:t>
            </w:r>
          </w:p>
          <w:p>
            <w:pPr>
              <w:pStyle w:val="null3"/>
              <w:jc w:val="left"/>
            </w:pPr>
            <w:r>
              <w:rPr>
                <w:rFonts w:ascii="仿宋_GB2312" w:hAnsi="仿宋_GB2312" w:cs="仿宋_GB2312" w:eastAsia="仿宋_GB2312"/>
                <w:sz w:val="21"/>
              </w:rPr>
              <w:t>b.抗暴雨能力≥300mm/d (注：250mm以上为特大暴雨)；</w:t>
            </w:r>
          </w:p>
          <w:p>
            <w:pPr>
              <w:pStyle w:val="null3"/>
              <w:jc w:val="left"/>
            </w:pPr>
            <w:r>
              <w:rPr>
                <w:rFonts w:ascii="仿宋_GB2312" w:hAnsi="仿宋_GB2312" w:cs="仿宋_GB2312" w:eastAsia="仿宋_GB2312"/>
                <w:sz w:val="21"/>
              </w:rPr>
              <w:t>c.抗雪载能力≥30kg/㎡；</w:t>
            </w:r>
          </w:p>
          <w:p>
            <w:pPr>
              <w:pStyle w:val="null3"/>
              <w:jc w:val="left"/>
            </w:pPr>
            <w:r>
              <w:rPr>
                <w:rFonts w:ascii="仿宋_GB2312" w:hAnsi="仿宋_GB2312" w:cs="仿宋_GB2312" w:eastAsia="仿宋_GB2312"/>
                <w:sz w:val="21"/>
              </w:rPr>
              <w:t>d.适用温度范围：-40℃～50℃；</w:t>
            </w:r>
          </w:p>
          <w:p>
            <w:pPr>
              <w:pStyle w:val="null3"/>
              <w:jc w:val="left"/>
            </w:pPr>
            <w:r>
              <w:rPr>
                <w:rFonts w:ascii="仿宋_GB2312" w:hAnsi="仿宋_GB2312" w:cs="仿宋_GB2312" w:eastAsia="仿宋_GB2312"/>
                <w:sz w:val="21"/>
              </w:rPr>
              <w:t>e.气柱气压≥500kPa。</w:t>
            </w:r>
          </w:p>
          <w:p>
            <w:pPr>
              <w:pStyle w:val="null3"/>
              <w:jc w:val="left"/>
            </w:pPr>
            <w:r>
              <w:rPr>
                <w:rFonts w:ascii="仿宋_GB2312" w:hAnsi="仿宋_GB2312" w:cs="仿宋_GB2312" w:eastAsia="仿宋_GB2312"/>
                <w:sz w:val="21"/>
              </w:rPr>
              <w:t>13、架设、撤收要求：</w:t>
            </w:r>
          </w:p>
          <w:p>
            <w:pPr>
              <w:pStyle w:val="null3"/>
              <w:jc w:val="left"/>
            </w:pPr>
            <w:r>
              <w:rPr>
                <w:rFonts w:ascii="仿宋_GB2312" w:hAnsi="仿宋_GB2312" w:cs="仿宋_GB2312" w:eastAsia="仿宋_GB2312"/>
                <w:sz w:val="21"/>
              </w:rPr>
              <w:t>持续工作时间：帐篷架设后不需补气正常工作时间</w:t>
            </w:r>
            <w:r>
              <w:rPr>
                <w:rFonts w:ascii="仿宋_GB2312" w:hAnsi="仿宋_GB2312" w:cs="仿宋_GB2312" w:eastAsia="仿宋_GB2312"/>
                <w:sz w:val="21"/>
              </w:rPr>
              <w:t>≥30天。架设撤收时间：6-8人操作，在20min以内完成架设或者撤收。</w:t>
            </w:r>
          </w:p>
          <w:p>
            <w:pPr>
              <w:pStyle w:val="null3"/>
              <w:jc w:val="left"/>
            </w:pPr>
            <w:r>
              <w:rPr>
                <w:rFonts w:ascii="仿宋_GB2312" w:hAnsi="仿宋_GB2312" w:cs="仿宋_GB2312" w:eastAsia="仿宋_GB2312"/>
                <w:sz w:val="21"/>
              </w:rPr>
              <w:t>14、空气消杀要求：对白色葡萄球菌的杀灭率＞99.9%；对自然菌的杀灭率＞90%；臭氧泄漏量：≤0.1mg/m³。需提供由制造商加盖公章的第三方检测报告复印件。</w:t>
            </w:r>
          </w:p>
          <w:p>
            <w:pPr>
              <w:pStyle w:val="null3"/>
              <w:jc w:val="both"/>
            </w:pPr>
            <w:r>
              <w:rPr>
                <w:rFonts w:ascii="仿宋_GB2312" w:hAnsi="仿宋_GB2312" w:cs="仿宋_GB2312" w:eastAsia="仿宋_GB2312"/>
                <w:sz w:val="21"/>
              </w:rPr>
              <w:t>15、需提供投标产品配置明细清单和产品实物图片。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合同签订之日起30日历日内完成交付、安装及调试。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待货物验收合格后，由成交供应商向采购单位开具全额发票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1.验收分初次开箱验收和医院最终验收两个阶段，以最终验收为准。 2.货物到货后，采购人、成交供应商双方共同开箱验收。在检查货物原产地、型号、规格、配置符合合同要求后，由成交供应商负责安装调试、采购人使用单位负责技术验收（成交供应商协助），验收以国内行业标准或合同文本货物供货配置清单中描述的有关技术要求为准。 3.采购人使用单位初验合格后提出验收申请，医院相关部门根据使用单位技术验收结果，组织有关专家进行货物的最终验收。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安装、调试、验收合格并正常使用之日起免费保修2年。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服务响应时间（质保期内）：即时响应（包括电话响应）；电话响应无法解决8小时内到达现场。修复时间48小时内解决；如在48小时内无法修复，则提供部件冗余服务或采取应急措施，提供相同产品或不低于故障产品规格档次的备用产品供采购人使用，以确保货物的正常使用。 2、培训内容及要求：培训队员掌握基本的搭建、调试和收拢打包技能。 3、供应商需要在线提交所有通过电子化交易平台实施的政府采购项目的响应文件，同时，线下提交响应文件正本壹份、副本贰份、电子版壹份（U盘一套标明供应商名称，单独密封），纸质文件双面打印；线下纸质文件递交截止时间同在线递交电子响应文件截止时间一致；线下纸质文件递交地点：西安市高新区沣惠南路20号华晶商务广场B座5楼招标二部。（如需邮寄，建议顺丰速运，其他快递无法接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提供2024年1月1日至今任意一个月已缴纳的纳税证明或完税证明（包含增值税、企业所得税、营业税至少一种）；（依法免税的供应商应提供相关文件证明）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提供2024年1月1日至今任意一个月的社保缴费凭据或社保机构开具的社会保险参保缴费情况证明；（依法不需要缴纳社会保障资金的供应商应提供相关证明）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法定代表人授权书（或法人身份证明）</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投标人名称与营业执照、资质证书（如有）一致</w:t>
            </w:r>
          </w:p>
        </w:tc>
        <w:tc>
          <w:tcPr>
            <w:tcW w:type="dxa" w:w="1661"/>
          </w:tcPr>
          <w:p>
            <w:pPr>
              <w:pStyle w:val="null3"/>
            </w:pPr>
            <w:r>
              <w:rPr>
                <w:rFonts w:ascii="仿宋_GB2312" w:hAnsi="仿宋_GB2312" w:cs="仿宋_GB2312" w:eastAsia="仿宋_GB2312"/>
              </w:rPr>
              <w:t>业绩.docx 投标函 中小企业声明函 残疾人福利性单位声明函 保证金缴纳凭证.docx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产品技术参数表 投标函 中小企业声明函 残疾人福利性单位声明函 商务应答表 标的清单 投标文件封面 资格证明文件.docx 满足详细评审办法的内容.docx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投标人投标报价未超出采购预算或最高限价的</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产品技术参数响应性</w:t>
            </w:r>
          </w:p>
        </w:tc>
        <w:tc>
          <w:tcPr>
            <w:tcW w:type="dxa" w:w="2492"/>
          </w:tcPr>
          <w:p>
            <w:pPr>
              <w:pStyle w:val="null3"/>
            </w:pPr>
            <w:r>
              <w:rPr>
                <w:rFonts w:ascii="仿宋_GB2312" w:hAnsi="仿宋_GB2312" w:cs="仿宋_GB2312" w:eastAsia="仿宋_GB2312"/>
              </w:rPr>
              <w:t>带★为必须满足项，如有负偏离按无效响应处理；其他条款为产品普通要求，每有一条负偏离扣1分。满分18分，扣完为止。 备注：对技术参数的响应按要求如须提供佐证材料的须提供佐证材料（不限于产品说明书、公开发行的宣传页、官网产品参数截图、第三方的检测报告等）。未提供或不能说明产品参数的对应参数项为负偏离。</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①投标产品配置参数清楚、详尽、明确，所投产品的型号、参数指标，优于招标文件的要求、帐篷总体配置资料齐全，计10分；②基本符合招标文件的要求、帐篷总体配置资料齐全，计7分；③投标产品技术响应完整性、规范性、可行度一般，配套服务方案一般，计4分；④投标产品技术响应内容有缺陷或完全拷贝参数要求未进行细化响应，配套服务方案粗略，计2分；⑤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产品材质工艺</w:t>
            </w:r>
          </w:p>
        </w:tc>
        <w:tc>
          <w:tcPr>
            <w:tcW w:type="dxa" w:w="2492"/>
          </w:tcPr>
          <w:p>
            <w:pPr>
              <w:pStyle w:val="null3"/>
            </w:pPr>
            <w:r>
              <w:rPr>
                <w:rFonts w:ascii="仿宋_GB2312" w:hAnsi="仿宋_GB2312" w:cs="仿宋_GB2312" w:eastAsia="仿宋_GB2312"/>
              </w:rPr>
              <w:t>①提供所投产品的不限于篷布、气柱、配件材质等符合技术工艺说明、维修包、地桩等配件齐全、产品选型合理、投标产品整体具有先进性、可靠性、实用性、适用性、稳定性、配套性计7分，②所投产品技术成熟度、性能可靠性、关键部件匹配性基本满足用户需求，但存在不足的，计3分；③所投产品技术成熟度、性能可靠性、关键部件有较大缺陷，但能基本满足用户使用，计1分；④其他情况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①产品供货渠道正规、货物来源质量有保证，检验手续完善、合法有效，无产权纠纷，提供投标产品的合法来源渠道证明文件，包括不限于产品彩页、检测报告等计7分；②内容不完整计3分；③未提供不计分。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针对本项目采购要求，供货组织安排，包括仓储、运输（防潮防霉/防损措施）、安装调试方案、应急补货机制、安全控制方案、组织机构人员配置和人员协调能力等实施方案，方案各项内容全面详细、阐述条理清晰、人员配置合理，能有效保障本项目实施计6分，每有一项缺项扣1分，每有一项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方案包含详细的搭建、收拢步骤、调试流程及时间节点，配备现场安装团队验收流程（开箱验货+最终验收），提供现场搭建收拢演示培训，针对本项目的实施组织机构、人员安排有具体方案，分工合理，保证使用单位能熟练操作维护和正常使用。①培训方案详细具体可行，完全响应符合项目培训需求，可操作性强计6分； ②方案较为详细具体可行，可操作性良好，得3分； ③方案一般，可行性、可操作性一般，得1分；④未提供方案得0分。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针对本项目提供售后服务方案，方案包括：售后物力保障、售后人力保障、有详细的在产品发生质量问题后的到达现场时间和解决故障时间、发生质量问题后的补救措施、对于产品使用中可能存在发霉发潮等问题的售后保障措施、具有明确的售后服务承诺。 ①方案全面，对各项要求有详细描述、售后方案合理、完善清晰，有针对性方案能够紧扣项目实际情况，内容科学合理计12分； ②方案较全面，描述基本详细，有一定可行性，服务体系较完整，得6分；③每项方案有不全面，可行性较差，服务体系不完整，得2分； ④未提供方案得0分。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提供投标人2022年7月1日至今同类项目业绩，提供完整的合同为有效业绩。每个有效业绩分1分，满分4分。无合同或合同不符合项目要求的计0分。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