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AEDD10">
      <w:pPr>
        <w:spacing w:line="400" w:lineRule="exact"/>
        <w:jc w:val="center"/>
        <w:outlineLvl w:val="0"/>
        <w:rPr>
          <w:rFonts w:ascii="仿宋" w:hAnsi="仿宋" w:eastAsia="仿宋" w:cs="仿宋"/>
          <w:b/>
          <w:color w:val="auto"/>
          <w:kern w:val="44"/>
          <w:sz w:val="24"/>
          <w:highlight w:val="none"/>
        </w:rPr>
      </w:pPr>
      <w:r>
        <w:rPr>
          <w:rFonts w:ascii="仿宋" w:hAnsi="仿宋" w:eastAsia="仿宋"/>
          <w:b/>
          <w:color w:val="auto"/>
          <w:kern w:val="0"/>
          <w:sz w:val="30"/>
          <w:szCs w:val="20"/>
          <w:highlight w:val="none"/>
          <w:lang w:val="zh-CN" w:eastAsia="zh-CN"/>
        </w:rPr>
        <w:t>拟签订的合同</w:t>
      </w:r>
      <w:bookmarkStart w:id="0" w:name="_Hlt487972895"/>
      <w:bookmarkEnd w:id="0"/>
      <w:bookmarkStart w:id="1" w:name="_Toc216513788"/>
      <w:bookmarkStart w:id="2" w:name="_Toc487900382"/>
      <w:r>
        <w:rPr>
          <w:rFonts w:ascii="仿宋" w:hAnsi="仿宋" w:eastAsia="仿宋"/>
          <w:b/>
          <w:color w:val="auto"/>
          <w:kern w:val="0"/>
          <w:sz w:val="30"/>
          <w:szCs w:val="20"/>
          <w:highlight w:val="none"/>
          <w:lang w:val="zh-CN" w:eastAsia="zh-CN"/>
        </w:rPr>
        <w:t>文本</w:t>
      </w:r>
      <w:bookmarkEnd w:id="1"/>
      <w:bookmarkEnd w:id="2"/>
    </w:p>
    <w:p w14:paraId="6030A130">
      <w:pPr>
        <w:ind w:firstLine="440" w:firstLineChars="200"/>
        <w:rPr>
          <w:rFonts w:ascii="仿宋" w:hAnsi="仿宋" w:eastAsia="仿宋"/>
          <w:color w:val="auto"/>
          <w:sz w:val="22"/>
          <w:szCs w:val="22"/>
          <w:highlight w:val="none"/>
        </w:rPr>
      </w:pPr>
      <w:r>
        <w:rPr>
          <w:rFonts w:hint="eastAsia" w:ascii="仿宋" w:hAnsi="仿宋" w:eastAsia="仿宋"/>
          <w:color w:val="auto"/>
          <w:sz w:val="22"/>
          <w:szCs w:val="22"/>
          <w:highlight w:val="none"/>
        </w:rPr>
        <w:t xml:space="preserve">甲方（采购人）： </w:t>
      </w:r>
    </w:p>
    <w:p w14:paraId="1AF399CC">
      <w:pPr>
        <w:spacing w:line="460" w:lineRule="exact"/>
        <w:rPr>
          <w:rFonts w:ascii="仿宋" w:hAnsi="仿宋" w:eastAsia="仿宋"/>
          <w:color w:val="auto"/>
          <w:sz w:val="22"/>
          <w:szCs w:val="22"/>
          <w:highlight w:val="none"/>
        </w:rPr>
      </w:pPr>
      <w:bookmarkStart w:id="3" w:name="_GoBack"/>
      <w:bookmarkEnd w:id="3"/>
    </w:p>
    <w:p w14:paraId="5F023AEC">
      <w:pPr>
        <w:spacing w:line="460" w:lineRule="exact"/>
        <w:ind w:firstLine="440" w:firstLineChars="200"/>
        <w:rPr>
          <w:rFonts w:ascii="仿宋" w:hAnsi="仿宋" w:eastAsia="仿宋"/>
          <w:color w:val="auto"/>
          <w:sz w:val="22"/>
          <w:szCs w:val="22"/>
          <w:highlight w:val="none"/>
        </w:rPr>
      </w:pPr>
      <w:r>
        <w:rPr>
          <w:rFonts w:hint="eastAsia" w:ascii="仿宋" w:hAnsi="仿宋" w:eastAsia="仿宋"/>
          <w:color w:val="auto"/>
          <w:sz w:val="22"/>
          <w:szCs w:val="22"/>
          <w:highlight w:val="none"/>
        </w:rPr>
        <w:t>乙方（中标供应商）：</w:t>
      </w:r>
      <w:r>
        <w:rPr>
          <w:rFonts w:ascii="仿宋" w:hAnsi="仿宋" w:eastAsia="仿宋"/>
          <w:color w:val="auto"/>
          <w:sz w:val="22"/>
          <w:szCs w:val="22"/>
          <w:highlight w:val="none"/>
        </w:rPr>
        <w:t xml:space="preserve"> </w:t>
      </w:r>
    </w:p>
    <w:p w14:paraId="0007B4DC">
      <w:pPr>
        <w:spacing w:line="460" w:lineRule="exact"/>
        <w:rPr>
          <w:rFonts w:ascii="仿宋" w:hAnsi="仿宋" w:eastAsia="仿宋"/>
          <w:color w:val="auto"/>
          <w:sz w:val="22"/>
          <w:szCs w:val="22"/>
          <w:highlight w:val="none"/>
        </w:rPr>
      </w:pPr>
    </w:p>
    <w:p w14:paraId="596D0C4F">
      <w:pPr>
        <w:spacing w:line="460" w:lineRule="exact"/>
        <w:ind w:firstLine="440" w:firstLineChars="200"/>
        <w:rPr>
          <w:rFonts w:ascii="仿宋" w:hAnsi="仿宋" w:eastAsia="仿宋"/>
          <w:color w:val="auto"/>
          <w:sz w:val="22"/>
          <w:szCs w:val="22"/>
          <w:highlight w:val="none"/>
        </w:rPr>
      </w:pPr>
      <w:r>
        <w:rPr>
          <w:rFonts w:hint="eastAsia" w:ascii="仿宋" w:hAnsi="仿宋" w:eastAsia="仿宋"/>
          <w:color w:val="auto"/>
          <w:sz w:val="22"/>
          <w:szCs w:val="22"/>
          <w:highlight w:val="none"/>
        </w:rPr>
        <w:t>甲乙双方基于公平、公正、平等的原则，依据《中华人民共和国民法典》之相关规定，现经甲、乙双方友好协商，就甲方购买乙方产品设备事宜，达成以下合同条款：</w:t>
      </w:r>
    </w:p>
    <w:p w14:paraId="46EBF0F6">
      <w:pPr>
        <w:spacing w:line="500" w:lineRule="exact"/>
        <w:jc w:val="center"/>
        <w:rPr>
          <w:rFonts w:ascii="仿宋" w:hAnsi="仿宋" w:eastAsia="仿宋"/>
          <w:b/>
          <w:color w:val="auto"/>
          <w:sz w:val="22"/>
          <w:szCs w:val="22"/>
          <w:highlight w:val="none"/>
        </w:rPr>
      </w:pPr>
      <w:r>
        <w:rPr>
          <w:rFonts w:hint="eastAsia" w:ascii="仿宋" w:hAnsi="仿宋" w:eastAsia="仿宋"/>
          <w:b/>
          <w:color w:val="auto"/>
          <w:sz w:val="22"/>
          <w:szCs w:val="22"/>
          <w:highlight w:val="none"/>
        </w:rPr>
        <w:t>第一条：合同标的物：</w:t>
      </w:r>
    </w:p>
    <w:tbl>
      <w:tblPr>
        <w:tblStyle w:val="4"/>
        <w:tblW w:w="93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0"/>
        <w:gridCol w:w="1530"/>
        <w:gridCol w:w="1380"/>
        <w:gridCol w:w="870"/>
        <w:gridCol w:w="795"/>
        <w:gridCol w:w="834"/>
        <w:gridCol w:w="1164"/>
        <w:gridCol w:w="1348"/>
      </w:tblGrid>
      <w:tr w14:paraId="2E970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1390" w:type="dxa"/>
          </w:tcPr>
          <w:p w14:paraId="38758621">
            <w:pPr>
              <w:spacing w:line="500" w:lineRule="exact"/>
              <w:jc w:val="center"/>
              <w:rPr>
                <w:rFonts w:ascii="仿宋" w:hAnsi="仿宋" w:eastAsia="仿宋"/>
                <w:color w:val="auto"/>
                <w:sz w:val="22"/>
                <w:szCs w:val="22"/>
                <w:highlight w:val="none"/>
              </w:rPr>
            </w:pPr>
            <w:r>
              <w:rPr>
                <w:rFonts w:hint="eastAsia" w:ascii="仿宋" w:hAnsi="仿宋" w:eastAsia="仿宋"/>
                <w:color w:val="auto"/>
                <w:sz w:val="22"/>
                <w:szCs w:val="22"/>
                <w:highlight w:val="none"/>
              </w:rPr>
              <w:t>产品名称</w:t>
            </w:r>
          </w:p>
        </w:tc>
        <w:tc>
          <w:tcPr>
            <w:tcW w:w="1530" w:type="dxa"/>
          </w:tcPr>
          <w:p w14:paraId="280CE70A">
            <w:pPr>
              <w:spacing w:line="500" w:lineRule="exact"/>
              <w:jc w:val="center"/>
              <w:rPr>
                <w:rFonts w:ascii="仿宋" w:hAnsi="仿宋" w:eastAsia="仿宋"/>
                <w:color w:val="auto"/>
                <w:sz w:val="22"/>
                <w:szCs w:val="22"/>
                <w:highlight w:val="none"/>
              </w:rPr>
            </w:pPr>
            <w:r>
              <w:rPr>
                <w:rFonts w:hint="eastAsia" w:ascii="仿宋" w:hAnsi="仿宋" w:eastAsia="仿宋"/>
                <w:color w:val="auto"/>
                <w:sz w:val="22"/>
                <w:szCs w:val="22"/>
                <w:highlight w:val="none"/>
              </w:rPr>
              <w:t>注册证名称</w:t>
            </w:r>
          </w:p>
        </w:tc>
        <w:tc>
          <w:tcPr>
            <w:tcW w:w="1380" w:type="dxa"/>
          </w:tcPr>
          <w:p w14:paraId="49707039">
            <w:pPr>
              <w:spacing w:line="500" w:lineRule="exact"/>
              <w:jc w:val="center"/>
              <w:rPr>
                <w:rFonts w:ascii="仿宋" w:hAnsi="仿宋" w:eastAsia="仿宋"/>
                <w:color w:val="auto"/>
                <w:sz w:val="22"/>
                <w:szCs w:val="22"/>
                <w:highlight w:val="none"/>
              </w:rPr>
            </w:pPr>
            <w:r>
              <w:rPr>
                <w:rFonts w:hint="eastAsia" w:ascii="仿宋" w:hAnsi="仿宋" w:eastAsia="仿宋"/>
                <w:color w:val="auto"/>
                <w:sz w:val="22"/>
                <w:szCs w:val="22"/>
                <w:highlight w:val="none"/>
              </w:rPr>
              <w:t>品牌型号</w:t>
            </w:r>
          </w:p>
        </w:tc>
        <w:tc>
          <w:tcPr>
            <w:tcW w:w="870" w:type="dxa"/>
          </w:tcPr>
          <w:p w14:paraId="76CA6F55">
            <w:pPr>
              <w:spacing w:line="500" w:lineRule="exact"/>
              <w:jc w:val="center"/>
              <w:rPr>
                <w:rFonts w:ascii="仿宋" w:hAnsi="仿宋" w:eastAsia="仿宋"/>
                <w:color w:val="auto"/>
                <w:sz w:val="22"/>
                <w:szCs w:val="22"/>
                <w:highlight w:val="none"/>
              </w:rPr>
            </w:pPr>
            <w:r>
              <w:rPr>
                <w:rFonts w:hint="eastAsia" w:ascii="仿宋" w:hAnsi="仿宋" w:eastAsia="仿宋"/>
                <w:color w:val="auto"/>
                <w:sz w:val="22"/>
                <w:szCs w:val="22"/>
                <w:highlight w:val="none"/>
              </w:rPr>
              <w:t>产地</w:t>
            </w:r>
          </w:p>
        </w:tc>
        <w:tc>
          <w:tcPr>
            <w:tcW w:w="795" w:type="dxa"/>
          </w:tcPr>
          <w:p w14:paraId="6246293D">
            <w:pPr>
              <w:spacing w:line="500" w:lineRule="exact"/>
              <w:jc w:val="center"/>
              <w:rPr>
                <w:rFonts w:ascii="仿宋" w:hAnsi="仿宋" w:eastAsia="仿宋"/>
                <w:color w:val="auto"/>
                <w:sz w:val="22"/>
                <w:szCs w:val="22"/>
                <w:highlight w:val="none"/>
              </w:rPr>
            </w:pPr>
            <w:r>
              <w:rPr>
                <w:rFonts w:hint="eastAsia" w:ascii="仿宋" w:hAnsi="仿宋" w:eastAsia="仿宋"/>
                <w:color w:val="auto"/>
                <w:sz w:val="22"/>
                <w:szCs w:val="22"/>
                <w:highlight w:val="none"/>
              </w:rPr>
              <w:t>单位</w:t>
            </w:r>
          </w:p>
        </w:tc>
        <w:tc>
          <w:tcPr>
            <w:tcW w:w="834" w:type="dxa"/>
          </w:tcPr>
          <w:p w14:paraId="32BA90A6">
            <w:pPr>
              <w:spacing w:line="500" w:lineRule="exact"/>
              <w:jc w:val="center"/>
              <w:rPr>
                <w:rFonts w:ascii="仿宋" w:hAnsi="仿宋" w:eastAsia="仿宋"/>
                <w:color w:val="auto"/>
                <w:sz w:val="22"/>
                <w:szCs w:val="22"/>
                <w:highlight w:val="none"/>
              </w:rPr>
            </w:pPr>
            <w:r>
              <w:rPr>
                <w:rFonts w:hint="eastAsia" w:ascii="仿宋" w:hAnsi="仿宋" w:eastAsia="仿宋"/>
                <w:color w:val="auto"/>
                <w:sz w:val="22"/>
                <w:szCs w:val="22"/>
                <w:highlight w:val="none"/>
              </w:rPr>
              <w:t>数量</w:t>
            </w:r>
          </w:p>
        </w:tc>
        <w:tc>
          <w:tcPr>
            <w:tcW w:w="1164" w:type="dxa"/>
          </w:tcPr>
          <w:p w14:paraId="456AE55F">
            <w:pPr>
              <w:spacing w:line="500" w:lineRule="exact"/>
              <w:jc w:val="center"/>
              <w:rPr>
                <w:rFonts w:ascii="仿宋" w:hAnsi="仿宋" w:eastAsia="仿宋"/>
                <w:color w:val="auto"/>
                <w:sz w:val="22"/>
                <w:szCs w:val="22"/>
                <w:highlight w:val="none"/>
              </w:rPr>
            </w:pPr>
            <w:r>
              <w:rPr>
                <w:rFonts w:hint="eastAsia" w:ascii="仿宋" w:hAnsi="仿宋" w:eastAsia="仿宋"/>
                <w:color w:val="auto"/>
                <w:sz w:val="22"/>
                <w:szCs w:val="22"/>
                <w:highlight w:val="none"/>
              </w:rPr>
              <w:t>单价（人民币）</w:t>
            </w:r>
          </w:p>
        </w:tc>
        <w:tc>
          <w:tcPr>
            <w:tcW w:w="1348" w:type="dxa"/>
          </w:tcPr>
          <w:p w14:paraId="686AD35F">
            <w:pPr>
              <w:spacing w:line="500" w:lineRule="exact"/>
              <w:jc w:val="center"/>
              <w:rPr>
                <w:rFonts w:ascii="仿宋" w:hAnsi="仿宋" w:eastAsia="仿宋"/>
                <w:color w:val="auto"/>
                <w:sz w:val="22"/>
                <w:szCs w:val="22"/>
                <w:highlight w:val="none"/>
              </w:rPr>
            </w:pPr>
            <w:r>
              <w:rPr>
                <w:rFonts w:hint="eastAsia" w:ascii="仿宋" w:hAnsi="仿宋" w:eastAsia="仿宋"/>
                <w:color w:val="auto"/>
                <w:sz w:val="22"/>
                <w:szCs w:val="22"/>
                <w:highlight w:val="none"/>
              </w:rPr>
              <w:t>总价（人民币）</w:t>
            </w:r>
          </w:p>
        </w:tc>
      </w:tr>
      <w:tr w14:paraId="4FB54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390" w:type="dxa"/>
          </w:tcPr>
          <w:p w14:paraId="697FC7DD">
            <w:pPr>
              <w:spacing w:line="500" w:lineRule="exact"/>
              <w:rPr>
                <w:rFonts w:ascii="仿宋" w:hAnsi="仿宋" w:eastAsia="仿宋"/>
                <w:color w:val="auto"/>
                <w:sz w:val="22"/>
                <w:szCs w:val="22"/>
                <w:highlight w:val="none"/>
              </w:rPr>
            </w:pPr>
          </w:p>
        </w:tc>
        <w:tc>
          <w:tcPr>
            <w:tcW w:w="1530" w:type="dxa"/>
          </w:tcPr>
          <w:p w14:paraId="1808680C">
            <w:pPr>
              <w:spacing w:line="500" w:lineRule="exact"/>
              <w:rPr>
                <w:rFonts w:ascii="仿宋" w:hAnsi="仿宋" w:eastAsia="仿宋"/>
                <w:color w:val="auto"/>
                <w:sz w:val="22"/>
                <w:szCs w:val="22"/>
                <w:highlight w:val="none"/>
              </w:rPr>
            </w:pPr>
          </w:p>
        </w:tc>
        <w:tc>
          <w:tcPr>
            <w:tcW w:w="1380" w:type="dxa"/>
          </w:tcPr>
          <w:p w14:paraId="115421C6">
            <w:pPr>
              <w:spacing w:line="500" w:lineRule="exact"/>
              <w:jc w:val="left"/>
              <w:rPr>
                <w:rFonts w:ascii="仿宋" w:hAnsi="仿宋" w:eastAsia="仿宋"/>
                <w:color w:val="auto"/>
                <w:sz w:val="22"/>
                <w:szCs w:val="22"/>
                <w:highlight w:val="none"/>
              </w:rPr>
            </w:pPr>
          </w:p>
        </w:tc>
        <w:tc>
          <w:tcPr>
            <w:tcW w:w="870" w:type="dxa"/>
          </w:tcPr>
          <w:p w14:paraId="48265183">
            <w:pPr>
              <w:spacing w:line="500" w:lineRule="exact"/>
              <w:rPr>
                <w:rFonts w:ascii="仿宋" w:hAnsi="仿宋" w:eastAsia="仿宋"/>
                <w:color w:val="auto"/>
                <w:sz w:val="22"/>
                <w:szCs w:val="22"/>
                <w:highlight w:val="none"/>
              </w:rPr>
            </w:pPr>
          </w:p>
        </w:tc>
        <w:tc>
          <w:tcPr>
            <w:tcW w:w="795" w:type="dxa"/>
          </w:tcPr>
          <w:p w14:paraId="4D7E678E">
            <w:pPr>
              <w:spacing w:line="500" w:lineRule="exact"/>
              <w:ind w:firstLine="220" w:firstLineChars="100"/>
              <w:rPr>
                <w:rFonts w:ascii="仿宋" w:hAnsi="仿宋" w:eastAsia="仿宋"/>
                <w:color w:val="auto"/>
                <w:sz w:val="22"/>
                <w:szCs w:val="22"/>
                <w:highlight w:val="none"/>
              </w:rPr>
            </w:pPr>
            <w:r>
              <w:rPr>
                <w:rFonts w:hint="eastAsia" w:ascii="仿宋" w:hAnsi="仿宋" w:eastAsia="仿宋"/>
                <w:color w:val="auto"/>
                <w:sz w:val="22"/>
                <w:szCs w:val="22"/>
                <w:highlight w:val="none"/>
              </w:rPr>
              <w:t>台</w:t>
            </w:r>
          </w:p>
        </w:tc>
        <w:tc>
          <w:tcPr>
            <w:tcW w:w="834" w:type="dxa"/>
          </w:tcPr>
          <w:p w14:paraId="171024ED">
            <w:pPr>
              <w:spacing w:line="500" w:lineRule="exact"/>
              <w:rPr>
                <w:rFonts w:ascii="仿宋" w:hAnsi="仿宋" w:eastAsia="仿宋"/>
                <w:color w:val="auto"/>
                <w:sz w:val="22"/>
                <w:szCs w:val="22"/>
                <w:highlight w:val="none"/>
              </w:rPr>
            </w:pPr>
          </w:p>
        </w:tc>
        <w:tc>
          <w:tcPr>
            <w:tcW w:w="1164" w:type="dxa"/>
            <w:vAlign w:val="center"/>
          </w:tcPr>
          <w:p w14:paraId="74DEECF1">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w:t>
            </w:r>
          </w:p>
        </w:tc>
        <w:tc>
          <w:tcPr>
            <w:tcW w:w="1348" w:type="dxa"/>
            <w:vAlign w:val="center"/>
          </w:tcPr>
          <w:p w14:paraId="2D28BC38">
            <w:pPr>
              <w:spacing w:line="500" w:lineRule="exact"/>
              <w:ind w:right="960"/>
              <w:rPr>
                <w:rFonts w:ascii="仿宋" w:hAnsi="仿宋" w:eastAsia="仿宋"/>
                <w:color w:val="auto"/>
                <w:sz w:val="22"/>
                <w:szCs w:val="22"/>
                <w:highlight w:val="none"/>
              </w:rPr>
            </w:pPr>
            <w:r>
              <w:rPr>
                <w:rFonts w:hint="eastAsia" w:ascii="仿宋" w:hAnsi="仿宋" w:eastAsia="仿宋"/>
                <w:color w:val="auto"/>
                <w:sz w:val="22"/>
                <w:szCs w:val="22"/>
                <w:highlight w:val="none"/>
              </w:rPr>
              <w:t>￥</w:t>
            </w:r>
          </w:p>
        </w:tc>
      </w:tr>
      <w:tr w14:paraId="6C053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311" w:type="dxa"/>
            <w:gridSpan w:val="8"/>
          </w:tcPr>
          <w:p w14:paraId="1B09D099">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合计（大写）：人民币          元整；                （小写）：￥</w:t>
            </w:r>
          </w:p>
        </w:tc>
      </w:tr>
      <w:tr w14:paraId="167E0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9311" w:type="dxa"/>
            <w:gridSpan w:val="8"/>
          </w:tcPr>
          <w:p w14:paraId="0C14627A">
            <w:pPr>
              <w:widowControl/>
              <w:spacing w:line="500" w:lineRule="exact"/>
              <w:jc w:val="left"/>
              <w:rPr>
                <w:rFonts w:ascii="仿宋" w:hAnsi="仿宋" w:eastAsia="仿宋"/>
                <w:color w:val="auto"/>
                <w:sz w:val="22"/>
                <w:szCs w:val="22"/>
                <w:highlight w:val="none"/>
              </w:rPr>
            </w:pPr>
            <w:r>
              <w:rPr>
                <w:rFonts w:hint="eastAsia" w:ascii="仿宋" w:hAnsi="仿宋" w:eastAsia="仿宋"/>
                <w:color w:val="auto"/>
                <w:sz w:val="22"/>
                <w:szCs w:val="22"/>
                <w:highlight w:val="none"/>
              </w:rPr>
              <w:t xml:space="preserve"> 备注：                                                               </w:t>
            </w:r>
          </w:p>
        </w:tc>
      </w:tr>
    </w:tbl>
    <w:p w14:paraId="0A59D6FD">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产品应当符合国家规范规定的标准及乙方投标文件所述和宣传的标准，设备配置详单附后。</w:t>
      </w:r>
    </w:p>
    <w:p w14:paraId="504CB836">
      <w:pPr>
        <w:spacing w:line="500" w:lineRule="exact"/>
        <w:rPr>
          <w:rFonts w:ascii="仿宋" w:hAnsi="仿宋" w:eastAsia="仿宋"/>
          <w:b/>
          <w:color w:val="auto"/>
          <w:sz w:val="22"/>
          <w:szCs w:val="22"/>
          <w:highlight w:val="none"/>
        </w:rPr>
      </w:pPr>
      <w:r>
        <w:rPr>
          <w:rFonts w:hint="eastAsia" w:ascii="仿宋" w:hAnsi="仿宋" w:eastAsia="仿宋"/>
          <w:b/>
          <w:color w:val="auto"/>
          <w:sz w:val="22"/>
          <w:szCs w:val="22"/>
          <w:highlight w:val="none"/>
        </w:rPr>
        <w:t>第二条：合同价款：</w:t>
      </w:r>
    </w:p>
    <w:p w14:paraId="54B171CA">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1、合同总金额：</w:t>
      </w:r>
      <w:r>
        <w:rPr>
          <w:rFonts w:ascii="宋体" w:hAnsi="宋体" w:cs="宋体"/>
          <w:color w:val="auto"/>
          <w:sz w:val="22"/>
          <w:szCs w:val="22"/>
          <w:highlight w:val="none"/>
        </w:rPr>
        <w:t>¥</w:t>
      </w:r>
      <w:r>
        <w:rPr>
          <w:rFonts w:hint="eastAsia" w:ascii="宋体" w:hAnsi="宋体" w:cs="宋体"/>
          <w:color w:val="auto"/>
          <w:sz w:val="22"/>
          <w:szCs w:val="22"/>
          <w:highlight w:val="none"/>
        </w:rPr>
        <w:t>：</w:t>
      </w:r>
      <w:r>
        <w:rPr>
          <w:rFonts w:hint="eastAsia" w:ascii="仿宋" w:hAnsi="仿宋" w:eastAsia="仿宋"/>
          <w:color w:val="auto"/>
          <w:sz w:val="22"/>
          <w:szCs w:val="22"/>
          <w:highlight w:val="none"/>
          <w:u w:val="single"/>
        </w:rPr>
        <w:t xml:space="preserve">          </w:t>
      </w:r>
      <w:r>
        <w:rPr>
          <w:rFonts w:hint="eastAsia" w:ascii="仿宋" w:hAnsi="仿宋" w:eastAsia="仿宋"/>
          <w:color w:val="auto"/>
          <w:sz w:val="22"/>
          <w:szCs w:val="22"/>
          <w:highlight w:val="none"/>
        </w:rPr>
        <w:t>元整（大写：</w:t>
      </w:r>
      <w:r>
        <w:rPr>
          <w:rFonts w:hint="eastAsia" w:ascii="仿宋" w:hAnsi="仿宋" w:eastAsia="仿宋"/>
          <w:color w:val="auto"/>
          <w:sz w:val="22"/>
          <w:szCs w:val="22"/>
          <w:highlight w:val="none"/>
          <w:u w:val="single"/>
        </w:rPr>
        <w:t xml:space="preserve">         </w:t>
      </w:r>
      <w:r>
        <w:rPr>
          <w:rFonts w:hint="eastAsia" w:ascii="仿宋" w:hAnsi="仿宋" w:eastAsia="仿宋"/>
          <w:color w:val="auto"/>
          <w:sz w:val="22"/>
          <w:szCs w:val="22"/>
          <w:highlight w:val="none"/>
        </w:rPr>
        <w:t>元整）。</w:t>
      </w:r>
    </w:p>
    <w:p w14:paraId="0E3318E5">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2、合同总金额包含设备费、运输费（含保险费）、搬运费、安装调试费、检测验收费、培训及其它费用。</w:t>
      </w:r>
    </w:p>
    <w:p w14:paraId="08827E90">
      <w:pPr>
        <w:spacing w:line="500" w:lineRule="exact"/>
        <w:rPr>
          <w:rFonts w:ascii="仿宋" w:hAnsi="仿宋" w:eastAsia="仿宋"/>
          <w:b/>
          <w:color w:val="auto"/>
          <w:sz w:val="22"/>
          <w:szCs w:val="22"/>
          <w:highlight w:val="none"/>
        </w:rPr>
      </w:pPr>
      <w:r>
        <w:rPr>
          <w:rFonts w:hint="eastAsia" w:ascii="仿宋" w:hAnsi="仿宋" w:eastAsia="仿宋"/>
          <w:b/>
          <w:color w:val="auto"/>
          <w:sz w:val="22"/>
          <w:szCs w:val="22"/>
          <w:highlight w:val="none"/>
        </w:rPr>
        <w:t>第三条：交货地点：</w:t>
      </w:r>
    </w:p>
    <w:p w14:paraId="66CF1AA5">
      <w:pPr>
        <w:spacing w:line="500" w:lineRule="exact"/>
        <w:rPr>
          <w:rFonts w:ascii="仿宋" w:hAnsi="仿宋" w:eastAsia="仿宋"/>
          <w:bCs/>
          <w:color w:val="auto"/>
          <w:sz w:val="22"/>
          <w:szCs w:val="22"/>
          <w:highlight w:val="none"/>
        </w:rPr>
      </w:pPr>
      <w:r>
        <w:rPr>
          <w:rFonts w:hint="eastAsia" w:ascii="仿宋" w:hAnsi="仿宋" w:eastAsia="仿宋"/>
          <w:bCs/>
          <w:color w:val="auto"/>
          <w:sz w:val="22"/>
          <w:szCs w:val="22"/>
          <w:highlight w:val="none"/>
          <w:lang w:eastAsia="zh-CN"/>
        </w:rPr>
        <w:t>陕西省人民医院指定地点</w:t>
      </w:r>
      <w:r>
        <w:rPr>
          <w:rFonts w:hint="eastAsia" w:ascii="仿宋" w:hAnsi="仿宋" w:eastAsia="仿宋"/>
          <w:bCs/>
          <w:color w:val="auto"/>
          <w:sz w:val="22"/>
          <w:szCs w:val="22"/>
          <w:highlight w:val="none"/>
        </w:rPr>
        <w:t>。</w:t>
      </w:r>
    </w:p>
    <w:p w14:paraId="090C149A">
      <w:pPr>
        <w:spacing w:line="500" w:lineRule="exact"/>
        <w:rPr>
          <w:rFonts w:ascii="仿宋" w:hAnsi="仿宋" w:eastAsia="仿宋"/>
          <w:b/>
          <w:color w:val="auto"/>
          <w:sz w:val="22"/>
          <w:szCs w:val="22"/>
          <w:highlight w:val="none"/>
        </w:rPr>
      </w:pPr>
      <w:r>
        <w:rPr>
          <w:rFonts w:hint="eastAsia" w:ascii="仿宋" w:hAnsi="仿宋" w:eastAsia="仿宋"/>
          <w:b/>
          <w:color w:val="auto"/>
          <w:sz w:val="22"/>
          <w:szCs w:val="22"/>
          <w:highlight w:val="none"/>
        </w:rPr>
        <w:t>第四条：交货时间：</w:t>
      </w:r>
    </w:p>
    <w:p w14:paraId="3816B086">
      <w:pPr>
        <w:spacing w:line="500" w:lineRule="exact"/>
        <w:rPr>
          <w:rFonts w:hint="eastAsia" w:ascii="仿宋" w:hAnsi="仿宋" w:eastAsia="仿宋"/>
          <w:bCs/>
          <w:color w:val="auto"/>
          <w:sz w:val="22"/>
          <w:szCs w:val="22"/>
          <w:highlight w:val="none"/>
        </w:rPr>
      </w:pPr>
      <w:r>
        <w:rPr>
          <w:rFonts w:hint="eastAsia" w:ascii="仿宋" w:hAnsi="仿宋" w:eastAsia="仿宋"/>
          <w:bCs/>
          <w:color w:val="auto"/>
          <w:sz w:val="22"/>
          <w:szCs w:val="22"/>
          <w:highlight w:val="none"/>
        </w:rPr>
        <w:t>合同签订之日起30日历日内完成交付、安装及调试。</w:t>
      </w:r>
    </w:p>
    <w:p w14:paraId="54E4E301">
      <w:pPr>
        <w:spacing w:line="500" w:lineRule="exact"/>
        <w:rPr>
          <w:rFonts w:ascii="仿宋" w:hAnsi="仿宋" w:eastAsia="仿宋"/>
          <w:b/>
          <w:color w:val="auto"/>
          <w:sz w:val="22"/>
          <w:szCs w:val="22"/>
          <w:highlight w:val="none"/>
        </w:rPr>
      </w:pPr>
      <w:r>
        <w:rPr>
          <w:rFonts w:hint="eastAsia" w:ascii="仿宋" w:hAnsi="仿宋" w:eastAsia="仿宋"/>
          <w:b/>
          <w:color w:val="auto"/>
          <w:sz w:val="22"/>
          <w:szCs w:val="22"/>
          <w:highlight w:val="none"/>
        </w:rPr>
        <w:t xml:space="preserve">第五条：甲方指定收件人为：  </w:t>
      </w:r>
      <w:r>
        <w:rPr>
          <w:rFonts w:hint="eastAsia" w:ascii="仿宋" w:hAnsi="仿宋" w:eastAsia="仿宋"/>
          <w:b/>
          <w:color w:val="auto"/>
          <w:sz w:val="22"/>
          <w:szCs w:val="22"/>
          <w:highlight w:val="none"/>
          <w:lang w:val="en-US" w:eastAsia="zh-CN"/>
        </w:rPr>
        <w:t xml:space="preserve">  </w:t>
      </w:r>
      <w:r>
        <w:rPr>
          <w:rFonts w:hint="eastAsia" w:ascii="仿宋" w:hAnsi="仿宋" w:eastAsia="仿宋"/>
          <w:b/>
          <w:color w:val="auto"/>
          <w:sz w:val="22"/>
          <w:szCs w:val="22"/>
          <w:highlight w:val="none"/>
        </w:rPr>
        <w:t xml:space="preserve"> ，联系电话        。</w:t>
      </w:r>
    </w:p>
    <w:p w14:paraId="13B3D1DC">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根据使用需要，甲方如需提前或推迟收货，甲方应当提前电话或邮箱或其他任何在本合同约定的方式通知乙方，乙方应无条件配合，不得收取仓储费等任何费用。</w:t>
      </w:r>
    </w:p>
    <w:p w14:paraId="7C75CB67">
      <w:pPr>
        <w:spacing w:line="500" w:lineRule="exact"/>
        <w:rPr>
          <w:rFonts w:ascii="仿宋" w:hAnsi="仿宋" w:eastAsia="仿宋"/>
          <w:b/>
          <w:color w:val="auto"/>
          <w:sz w:val="22"/>
          <w:szCs w:val="22"/>
          <w:highlight w:val="none"/>
        </w:rPr>
      </w:pPr>
      <w:r>
        <w:rPr>
          <w:rFonts w:hint="eastAsia" w:ascii="仿宋" w:hAnsi="仿宋" w:eastAsia="仿宋"/>
          <w:b/>
          <w:color w:val="auto"/>
          <w:sz w:val="22"/>
          <w:szCs w:val="22"/>
          <w:highlight w:val="none"/>
        </w:rPr>
        <w:t>第六条：货款结算方式：</w:t>
      </w:r>
    </w:p>
    <w:p w14:paraId="676C27E9">
      <w:pPr>
        <w:spacing w:line="500" w:lineRule="exact"/>
        <w:rPr>
          <w:rFonts w:ascii="仿宋" w:hAnsi="仿宋" w:eastAsia="仿宋"/>
          <w:b/>
          <w:bCs/>
          <w:color w:val="auto"/>
          <w:sz w:val="22"/>
          <w:szCs w:val="22"/>
          <w:highlight w:val="none"/>
        </w:rPr>
      </w:pPr>
      <w:r>
        <w:rPr>
          <w:rFonts w:hint="eastAsia" w:ascii="仿宋" w:hAnsi="仿宋" w:eastAsia="仿宋"/>
          <w:b/>
          <w:bCs/>
          <w:color w:val="auto"/>
          <w:sz w:val="22"/>
          <w:szCs w:val="22"/>
          <w:highlight w:val="none"/>
        </w:rPr>
        <w:t>1、付款条件说明：待货物验收合格后，由中标单位向采购单位开具全额发票，并于30日历日内支付合同总金额。</w:t>
      </w:r>
    </w:p>
    <w:p w14:paraId="1FA0EB58">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 xml:space="preserve">2、支付方式：甲方直接将货款通过银行转账的方式转入乙方指定的专用账号。乙方账户名：  </w:t>
      </w:r>
      <w:r>
        <w:rPr>
          <w:rFonts w:hint="eastAsia" w:ascii="仿宋" w:hAnsi="仿宋" w:eastAsia="仿宋"/>
          <w:color w:val="auto"/>
          <w:sz w:val="22"/>
          <w:szCs w:val="22"/>
          <w:highlight w:val="none"/>
          <w:u w:val="single"/>
        </w:rPr>
        <w:t xml:space="preserve">                                 </w:t>
      </w:r>
      <w:r>
        <w:rPr>
          <w:rFonts w:hint="eastAsia" w:ascii="仿宋" w:hAnsi="仿宋" w:eastAsia="仿宋"/>
          <w:color w:val="auto"/>
          <w:sz w:val="22"/>
          <w:szCs w:val="22"/>
          <w:highlight w:val="none"/>
        </w:rPr>
        <w:t>。</w:t>
      </w:r>
    </w:p>
    <w:p w14:paraId="2FD56C25">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 xml:space="preserve">账号：  </w:t>
      </w:r>
      <w:r>
        <w:rPr>
          <w:rFonts w:hint="eastAsia" w:ascii="仿宋" w:hAnsi="仿宋" w:eastAsia="仿宋"/>
          <w:color w:val="auto"/>
          <w:sz w:val="22"/>
          <w:szCs w:val="22"/>
          <w:highlight w:val="none"/>
          <w:u w:val="single"/>
        </w:rPr>
        <w:t xml:space="preserve">                                 </w:t>
      </w:r>
      <w:r>
        <w:rPr>
          <w:rFonts w:hint="eastAsia" w:ascii="仿宋" w:hAnsi="仿宋" w:eastAsia="仿宋"/>
          <w:color w:val="auto"/>
          <w:sz w:val="22"/>
          <w:szCs w:val="22"/>
          <w:highlight w:val="none"/>
        </w:rPr>
        <w:t>。</w:t>
      </w:r>
    </w:p>
    <w:p w14:paraId="297D6511">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 xml:space="preserve">开户行  </w:t>
      </w:r>
      <w:r>
        <w:rPr>
          <w:rFonts w:hint="eastAsia" w:ascii="仿宋" w:hAnsi="仿宋" w:eastAsia="仿宋"/>
          <w:color w:val="auto"/>
          <w:sz w:val="22"/>
          <w:szCs w:val="22"/>
          <w:highlight w:val="none"/>
          <w:u w:val="single"/>
        </w:rPr>
        <w:t xml:space="preserve">                                 </w:t>
      </w:r>
      <w:r>
        <w:rPr>
          <w:rFonts w:hint="eastAsia" w:ascii="仿宋" w:hAnsi="仿宋" w:eastAsia="仿宋"/>
          <w:color w:val="auto"/>
          <w:sz w:val="22"/>
          <w:szCs w:val="22"/>
          <w:highlight w:val="none"/>
        </w:rPr>
        <w:t xml:space="preserve">。           </w:t>
      </w:r>
    </w:p>
    <w:p w14:paraId="4309D214">
      <w:pPr>
        <w:spacing w:line="500" w:lineRule="exact"/>
        <w:rPr>
          <w:rFonts w:ascii="仿宋" w:hAnsi="仿宋" w:eastAsia="仿宋"/>
          <w:b/>
          <w:color w:val="auto"/>
          <w:sz w:val="22"/>
          <w:szCs w:val="22"/>
          <w:highlight w:val="none"/>
        </w:rPr>
      </w:pPr>
      <w:r>
        <w:rPr>
          <w:rFonts w:hint="eastAsia" w:ascii="仿宋" w:hAnsi="仿宋" w:eastAsia="仿宋"/>
          <w:b/>
          <w:color w:val="auto"/>
          <w:sz w:val="22"/>
          <w:szCs w:val="22"/>
          <w:highlight w:val="none"/>
        </w:rPr>
        <w:t>第七条：包装方式：</w:t>
      </w:r>
    </w:p>
    <w:p w14:paraId="207A393E">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包装箱应用新的、坚固的、经过熏蒸后的木箱，并在木箱上施封IPPC标识。每件货物必须单独包装发运，不得捆扎并适用于长途运输，防潮、防锈、防震、防粗暴装卸，适用于海、空、陆运输和整体吊装，保证产品到达之后各项功能完好无损，包装材料必须符合中国有关动植物检疫等相关规定。</w:t>
      </w:r>
    </w:p>
    <w:p w14:paraId="65B7A68D">
      <w:pPr>
        <w:spacing w:line="500" w:lineRule="exact"/>
        <w:rPr>
          <w:rFonts w:ascii="仿宋" w:hAnsi="仿宋" w:eastAsia="仿宋"/>
          <w:b/>
          <w:color w:val="auto"/>
          <w:sz w:val="22"/>
          <w:szCs w:val="22"/>
          <w:highlight w:val="none"/>
        </w:rPr>
      </w:pPr>
      <w:r>
        <w:rPr>
          <w:rFonts w:hint="eastAsia" w:ascii="仿宋" w:hAnsi="仿宋" w:eastAsia="仿宋"/>
          <w:b/>
          <w:color w:val="auto"/>
          <w:sz w:val="22"/>
          <w:szCs w:val="22"/>
          <w:highlight w:val="none"/>
        </w:rPr>
        <w:t>第八条：运输及风险：</w:t>
      </w:r>
    </w:p>
    <w:p w14:paraId="3C92D2A0">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1、选择运输风险小、运费低、距离短的运输路线。</w:t>
      </w:r>
    </w:p>
    <w:p w14:paraId="224B21BC">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2、乙方自行选择运送方式并负责将产品运输到指定交货地点，并承担合同中约定的全部费用。</w:t>
      </w:r>
    </w:p>
    <w:p w14:paraId="306F350B">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3、运杂费包含在合同总金额内，包括乙方发货地至交货地之间所需的运输费、仓储费、装卸费、保险费、二次倒运费、现场保管费用等。</w:t>
      </w:r>
    </w:p>
    <w:p w14:paraId="7DCE56E7">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4、货物在交付甲方之前，毁损、灭失的风险均由乙方全部承担。</w:t>
      </w:r>
    </w:p>
    <w:p w14:paraId="22506B97">
      <w:pPr>
        <w:spacing w:line="500" w:lineRule="exact"/>
        <w:rPr>
          <w:rFonts w:ascii="仿宋" w:hAnsi="仿宋" w:eastAsia="仿宋"/>
          <w:color w:val="auto"/>
          <w:sz w:val="22"/>
          <w:szCs w:val="22"/>
          <w:highlight w:val="none"/>
        </w:rPr>
      </w:pPr>
      <w:r>
        <w:rPr>
          <w:rFonts w:hint="eastAsia" w:ascii="仿宋" w:hAnsi="仿宋" w:eastAsia="仿宋"/>
          <w:b/>
          <w:color w:val="auto"/>
          <w:sz w:val="22"/>
          <w:szCs w:val="22"/>
          <w:highlight w:val="none"/>
        </w:rPr>
        <w:t>第九条：质量保证：</w:t>
      </w:r>
    </w:p>
    <w:p w14:paraId="3F371C10">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1、乙</w:t>
      </w:r>
      <w:r>
        <w:rPr>
          <w:rFonts w:ascii="仿宋" w:hAnsi="仿宋" w:eastAsia="仿宋"/>
          <w:color w:val="auto"/>
          <w:sz w:val="22"/>
          <w:szCs w:val="22"/>
          <w:highlight w:val="none"/>
        </w:rPr>
        <w:t>方</w:t>
      </w:r>
      <w:r>
        <w:rPr>
          <w:rFonts w:hint="eastAsia" w:ascii="仿宋" w:hAnsi="仿宋" w:eastAsia="仿宋"/>
          <w:color w:val="auto"/>
          <w:sz w:val="22"/>
          <w:szCs w:val="22"/>
          <w:highlight w:val="none"/>
        </w:rPr>
        <w:t>的</w:t>
      </w:r>
      <w:r>
        <w:rPr>
          <w:rFonts w:ascii="仿宋" w:hAnsi="仿宋" w:eastAsia="仿宋"/>
          <w:color w:val="auto"/>
          <w:sz w:val="22"/>
          <w:szCs w:val="22"/>
          <w:highlight w:val="none"/>
        </w:rPr>
        <w:t>产品质量</w:t>
      </w:r>
      <w:r>
        <w:rPr>
          <w:rFonts w:hint="eastAsia" w:ascii="仿宋" w:hAnsi="仿宋" w:eastAsia="仿宋"/>
          <w:color w:val="auto"/>
          <w:sz w:val="22"/>
          <w:szCs w:val="22"/>
          <w:highlight w:val="none"/>
        </w:rPr>
        <w:t>应当符合国家行业规定的标准，并无任何瑕疵；乙方应按配置清单要求提供原装全新产品，对该产品实行三包（即包修、包退、包换）。</w:t>
      </w:r>
    </w:p>
    <w:p w14:paraId="03A5E3E1">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2、如交付品种、</w:t>
      </w:r>
      <w:r>
        <w:rPr>
          <w:color w:val="auto"/>
          <w:sz w:val="22"/>
          <w:szCs w:val="22"/>
          <w:highlight w:val="none"/>
        </w:rPr>
        <w:fldChar w:fldCharType="begin"/>
      </w:r>
      <w:r>
        <w:rPr>
          <w:color w:val="auto"/>
          <w:sz w:val="22"/>
          <w:szCs w:val="22"/>
          <w:highlight w:val="none"/>
        </w:rPr>
        <w:instrText xml:space="preserve"> HYPERLINK "http://www.hudong.com/wiki/%E5%9E%8B%E5%8F%B7" \t "_blank" \o "型号" </w:instrText>
      </w:r>
      <w:r>
        <w:rPr>
          <w:color w:val="auto"/>
          <w:sz w:val="22"/>
          <w:szCs w:val="22"/>
          <w:highlight w:val="none"/>
        </w:rPr>
        <w:fldChar w:fldCharType="separate"/>
      </w:r>
      <w:r>
        <w:rPr>
          <w:rFonts w:hint="eastAsia" w:ascii="仿宋" w:hAnsi="仿宋" w:eastAsia="仿宋"/>
          <w:color w:val="auto"/>
          <w:sz w:val="22"/>
          <w:szCs w:val="22"/>
          <w:highlight w:val="none"/>
        </w:rPr>
        <w:t>型号</w:t>
      </w:r>
      <w:r>
        <w:rPr>
          <w:rFonts w:hint="eastAsia" w:ascii="仿宋" w:hAnsi="仿宋" w:eastAsia="仿宋"/>
          <w:color w:val="auto"/>
          <w:sz w:val="22"/>
          <w:szCs w:val="22"/>
          <w:highlight w:val="none"/>
        </w:rPr>
        <w:fldChar w:fldCharType="end"/>
      </w:r>
      <w:r>
        <w:rPr>
          <w:rFonts w:hint="eastAsia" w:ascii="仿宋" w:hAnsi="仿宋" w:eastAsia="仿宋"/>
          <w:color w:val="auto"/>
          <w:sz w:val="22"/>
          <w:szCs w:val="22"/>
          <w:highlight w:val="none"/>
        </w:rPr>
        <w:t>、</w:t>
      </w:r>
      <w:r>
        <w:rPr>
          <w:color w:val="auto"/>
          <w:sz w:val="22"/>
          <w:szCs w:val="22"/>
          <w:highlight w:val="none"/>
        </w:rPr>
        <w:fldChar w:fldCharType="begin"/>
      </w:r>
      <w:r>
        <w:rPr>
          <w:color w:val="auto"/>
          <w:sz w:val="22"/>
          <w:szCs w:val="22"/>
          <w:highlight w:val="none"/>
        </w:rPr>
        <w:instrText xml:space="preserve"> HYPERLINK "http://www.hudong.com/wiki/%E8%A7%84%E6%A0%BC" \t "_blank" \o "规格" </w:instrText>
      </w:r>
      <w:r>
        <w:rPr>
          <w:color w:val="auto"/>
          <w:sz w:val="22"/>
          <w:szCs w:val="22"/>
          <w:highlight w:val="none"/>
        </w:rPr>
        <w:fldChar w:fldCharType="separate"/>
      </w:r>
      <w:r>
        <w:rPr>
          <w:rFonts w:hint="eastAsia" w:ascii="仿宋" w:hAnsi="仿宋" w:eastAsia="仿宋"/>
          <w:color w:val="auto"/>
          <w:sz w:val="22"/>
          <w:szCs w:val="22"/>
          <w:highlight w:val="none"/>
        </w:rPr>
        <w:t>规格</w:t>
      </w:r>
      <w:r>
        <w:rPr>
          <w:rFonts w:hint="eastAsia" w:ascii="仿宋" w:hAnsi="仿宋" w:eastAsia="仿宋"/>
          <w:color w:val="auto"/>
          <w:sz w:val="22"/>
          <w:szCs w:val="22"/>
          <w:highlight w:val="none"/>
        </w:rPr>
        <w:fldChar w:fldCharType="end"/>
      </w:r>
      <w:r>
        <w:rPr>
          <w:rFonts w:hint="eastAsia" w:ascii="仿宋" w:hAnsi="仿宋" w:eastAsia="仿宋"/>
          <w:color w:val="auto"/>
          <w:sz w:val="22"/>
          <w:szCs w:val="22"/>
          <w:highlight w:val="none"/>
        </w:rPr>
        <w:t>不符合同约定的，由乙方负责退换，由此产生的一切费用及给甲方造成的相关损失由乙方全部承担并赔偿相应损失</w:t>
      </w:r>
      <w:r>
        <w:rPr>
          <w:rFonts w:ascii="仿宋" w:hAnsi="仿宋" w:eastAsia="仿宋"/>
          <w:color w:val="auto"/>
          <w:sz w:val="22"/>
          <w:szCs w:val="22"/>
          <w:highlight w:val="none"/>
        </w:rPr>
        <w:t>。</w:t>
      </w:r>
    </w:p>
    <w:p w14:paraId="1ED47CBC">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3、如</w:t>
      </w:r>
      <w:r>
        <w:rPr>
          <w:rFonts w:ascii="仿宋" w:hAnsi="仿宋" w:eastAsia="仿宋"/>
          <w:color w:val="auto"/>
          <w:sz w:val="22"/>
          <w:szCs w:val="22"/>
          <w:highlight w:val="none"/>
        </w:rPr>
        <w:t>不能修理或者不能调换的，按不能交货处理</w:t>
      </w:r>
      <w:r>
        <w:rPr>
          <w:rFonts w:hint="eastAsia" w:ascii="仿宋" w:hAnsi="仿宋" w:eastAsia="仿宋"/>
          <w:color w:val="auto"/>
          <w:sz w:val="22"/>
          <w:szCs w:val="22"/>
          <w:highlight w:val="none"/>
        </w:rPr>
        <w:t>，因此给甲方造成的所有经济损失乙方应予全额赔偿。</w:t>
      </w:r>
    </w:p>
    <w:p w14:paraId="5141763B">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4、如因该产品本身的质量原因而在使用过程中造成的任何医疗事故纠纷，由乙方全额负责赔偿。</w:t>
      </w:r>
    </w:p>
    <w:p w14:paraId="4BB89796">
      <w:pPr>
        <w:spacing w:line="500" w:lineRule="exact"/>
        <w:rPr>
          <w:rFonts w:ascii="仿宋" w:hAnsi="仿宋" w:eastAsia="仿宋"/>
          <w:b/>
          <w:color w:val="auto"/>
          <w:sz w:val="22"/>
          <w:szCs w:val="22"/>
          <w:highlight w:val="none"/>
        </w:rPr>
      </w:pPr>
      <w:r>
        <w:rPr>
          <w:rFonts w:hint="eastAsia" w:ascii="仿宋" w:hAnsi="仿宋" w:eastAsia="仿宋"/>
          <w:b/>
          <w:color w:val="auto"/>
          <w:sz w:val="22"/>
          <w:szCs w:val="22"/>
          <w:highlight w:val="none"/>
        </w:rPr>
        <w:t>第十条：售后服务：</w:t>
      </w:r>
    </w:p>
    <w:p w14:paraId="3CC573A3">
      <w:pPr>
        <w:numPr>
          <w:ilvl w:val="0"/>
          <w:numId w:val="0"/>
        </w:numPr>
        <w:spacing w:line="500" w:lineRule="exact"/>
        <w:rPr>
          <w:rFonts w:hint="eastAsia" w:ascii="仿宋" w:hAnsi="仿宋" w:eastAsia="仿宋"/>
          <w:b/>
          <w:bCs/>
          <w:color w:val="auto"/>
          <w:sz w:val="22"/>
          <w:szCs w:val="22"/>
          <w:highlight w:val="none"/>
          <w:u w:val="single"/>
          <w:lang w:eastAsia="zh-CN"/>
        </w:rPr>
      </w:pPr>
      <w:r>
        <w:rPr>
          <w:rFonts w:hint="eastAsia" w:ascii="仿宋" w:hAnsi="仿宋" w:eastAsia="仿宋"/>
          <w:color w:val="auto"/>
          <w:sz w:val="22"/>
          <w:szCs w:val="22"/>
          <w:highlight w:val="none"/>
          <w:lang w:val="en-US" w:eastAsia="zh-CN"/>
        </w:rPr>
        <w:t>1、</w:t>
      </w:r>
      <w:r>
        <w:rPr>
          <w:rFonts w:hint="eastAsia" w:ascii="仿宋" w:hAnsi="仿宋" w:eastAsia="仿宋"/>
          <w:color w:val="auto"/>
          <w:sz w:val="22"/>
          <w:szCs w:val="22"/>
          <w:highlight w:val="none"/>
        </w:rPr>
        <w:t>乙方同意该产品自安装、调试、验收合格并正常使用之日起免费保修</w:t>
      </w:r>
      <w:r>
        <w:rPr>
          <w:rFonts w:hint="eastAsia" w:ascii="仿宋" w:hAnsi="仿宋" w:eastAsia="仿宋"/>
          <w:b/>
          <w:bCs/>
          <w:color w:val="auto"/>
          <w:sz w:val="22"/>
          <w:szCs w:val="22"/>
          <w:highlight w:val="none"/>
          <w:lang w:val="en-US" w:eastAsia="zh-CN"/>
        </w:rPr>
        <w:t>二年，超过质保期的维修只收取零部件的费用</w:t>
      </w:r>
      <w:r>
        <w:rPr>
          <w:rFonts w:hint="eastAsia" w:ascii="仿宋" w:hAnsi="仿宋" w:eastAsia="仿宋"/>
          <w:color w:val="auto"/>
          <w:sz w:val="22"/>
          <w:szCs w:val="22"/>
          <w:highlight w:val="none"/>
          <w:lang w:eastAsia="zh-CN"/>
        </w:rPr>
        <w:t>。</w:t>
      </w:r>
    </w:p>
    <w:p w14:paraId="47B102B8">
      <w:pPr>
        <w:numPr>
          <w:ilvl w:val="0"/>
          <w:numId w:val="0"/>
        </w:numPr>
        <w:spacing w:line="500" w:lineRule="exact"/>
        <w:rPr>
          <w:rFonts w:hint="eastAsia" w:ascii="仿宋" w:hAnsi="仿宋" w:eastAsia="仿宋"/>
          <w:color w:val="auto"/>
          <w:sz w:val="22"/>
          <w:szCs w:val="22"/>
          <w:highlight w:val="none"/>
        </w:rPr>
      </w:pPr>
      <w:r>
        <w:rPr>
          <w:rFonts w:hint="eastAsia" w:ascii="仿宋" w:hAnsi="仿宋" w:eastAsia="仿宋"/>
          <w:color w:val="auto"/>
          <w:sz w:val="22"/>
          <w:szCs w:val="22"/>
          <w:highlight w:val="none"/>
          <w:lang w:val="en-US" w:eastAsia="zh-CN"/>
        </w:rPr>
        <w:t>2</w:t>
      </w:r>
      <w:r>
        <w:rPr>
          <w:rFonts w:hint="eastAsia" w:ascii="仿宋" w:hAnsi="仿宋" w:eastAsia="仿宋"/>
          <w:color w:val="auto"/>
          <w:sz w:val="22"/>
          <w:szCs w:val="22"/>
          <w:highlight w:val="none"/>
        </w:rPr>
        <w:t>、售后服务响应时间（质保期内）：即时响应（包括电话响应）；电话响应无法解决 8 小时内到达现场。修复时间48小时内解决；如在48小时内无法修复，则提供部件冗余服务或采取应急措施，提供相同产品或不低于故障产品规格档次的备用产品供采购人使用，以确保货物的正常使用。</w:t>
      </w:r>
    </w:p>
    <w:p w14:paraId="0136D014">
      <w:pPr>
        <w:spacing w:line="500" w:lineRule="exact"/>
        <w:rPr>
          <w:rFonts w:hint="eastAsia" w:ascii="仿宋" w:hAnsi="仿宋" w:eastAsia="仿宋"/>
          <w:color w:val="auto"/>
          <w:sz w:val="22"/>
          <w:szCs w:val="22"/>
          <w:highlight w:val="none"/>
        </w:rPr>
      </w:pPr>
      <w:r>
        <w:rPr>
          <w:rFonts w:hint="eastAsia" w:ascii="仿宋" w:hAnsi="仿宋" w:eastAsia="仿宋"/>
          <w:color w:val="auto"/>
          <w:sz w:val="22"/>
          <w:szCs w:val="22"/>
          <w:highlight w:val="none"/>
          <w:lang w:val="en-US" w:eastAsia="zh-CN"/>
        </w:rPr>
        <w:t>3</w:t>
      </w:r>
      <w:r>
        <w:rPr>
          <w:rFonts w:hint="eastAsia" w:ascii="仿宋" w:hAnsi="仿宋" w:eastAsia="仿宋"/>
          <w:color w:val="auto"/>
          <w:sz w:val="22"/>
          <w:szCs w:val="22"/>
          <w:highlight w:val="none"/>
        </w:rPr>
        <w:t>、乙方不得以转让、部分转让、分包或与第三方合作等方式履行本合同义务。如有违反，甲方有权解除合同，乙方除承担返还合同全部已付款项外，还应按合同总额30%承担违约金。</w:t>
      </w:r>
    </w:p>
    <w:p w14:paraId="204D7396">
      <w:pPr>
        <w:spacing w:line="500" w:lineRule="exact"/>
        <w:rPr>
          <w:rFonts w:hint="eastAsia" w:ascii="仿宋" w:hAnsi="仿宋" w:eastAsia="仿宋"/>
          <w:color w:val="auto"/>
          <w:sz w:val="22"/>
          <w:szCs w:val="22"/>
          <w:highlight w:val="none"/>
        </w:rPr>
      </w:pPr>
      <w:r>
        <w:rPr>
          <w:rFonts w:hint="eastAsia" w:ascii="仿宋" w:hAnsi="仿宋" w:eastAsia="仿宋"/>
          <w:color w:val="auto"/>
          <w:sz w:val="22"/>
          <w:szCs w:val="22"/>
          <w:highlight w:val="none"/>
          <w:lang w:val="en-US" w:eastAsia="zh-CN"/>
        </w:rPr>
        <w:t>4</w:t>
      </w:r>
      <w:r>
        <w:rPr>
          <w:rFonts w:hint="eastAsia" w:ascii="仿宋" w:hAnsi="仿宋" w:eastAsia="仿宋"/>
          <w:color w:val="auto"/>
          <w:sz w:val="22"/>
          <w:szCs w:val="22"/>
          <w:highlight w:val="none"/>
        </w:rPr>
        <w:t>、乙方免费提供设备使用中必要的培训及指导，直至使用人员能正确熟练操作使用本设备。</w:t>
      </w:r>
    </w:p>
    <w:p w14:paraId="075596AC">
      <w:pPr>
        <w:spacing w:line="500" w:lineRule="exact"/>
        <w:rPr>
          <w:rFonts w:ascii="仿宋" w:hAnsi="仿宋" w:eastAsia="仿宋"/>
          <w:b/>
          <w:color w:val="auto"/>
          <w:sz w:val="22"/>
          <w:szCs w:val="22"/>
          <w:highlight w:val="none"/>
        </w:rPr>
      </w:pPr>
      <w:r>
        <w:rPr>
          <w:rFonts w:hint="eastAsia" w:ascii="仿宋" w:hAnsi="仿宋" w:eastAsia="仿宋"/>
          <w:b/>
          <w:color w:val="auto"/>
          <w:sz w:val="22"/>
          <w:szCs w:val="22"/>
          <w:highlight w:val="none"/>
        </w:rPr>
        <w:t>第十一条：技术服务：</w:t>
      </w:r>
    </w:p>
    <w:p w14:paraId="48334632">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1、乙方必须在交货时向甲方提供产品详细的中文技术资料1套/台、中文技术操作手册、中文维修手册、中文保养手册、设备总图、电子线路图、机械结构图、产品合格证、中文产品使用说明书等相关材料。</w:t>
      </w:r>
    </w:p>
    <w:p w14:paraId="3CEF8634">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2、乙方应当负责对甲方的工作人员进行操作培训，培训队员掌握基本的搭建、调试和收拢打包技能。</w:t>
      </w:r>
    </w:p>
    <w:p w14:paraId="0CE79F15">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3、乙方应当负责该产品的调试、安装到位，保证正常使用，全部费用由乙方承担。</w:t>
      </w:r>
    </w:p>
    <w:p w14:paraId="274D533B">
      <w:pPr>
        <w:spacing w:line="500" w:lineRule="exact"/>
        <w:rPr>
          <w:rFonts w:ascii="仿宋" w:hAnsi="仿宋" w:eastAsia="仿宋"/>
          <w:b/>
          <w:color w:val="auto"/>
          <w:sz w:val="22"/>
          <w:szCs w:val="22"/>
          <w:highlight w:val="none"/>
        </w:rPr>
      </w:pPr>
      <w:r>
        <w:rPr>
          <w:rFonts w:hint="eastAsia" w:ascii="仿宋" w:hAnsi="仿宋" w:eastAsia="仿宋"/>
          <w:b/>
          <w:color w:val="auto"/>
          <w:sz w:val="22"/>
          <w:szCs w:val="22"/>
          <w:highlight w:val="none"/>
        </w:rPr>
        <w:t>第十二条：产品的验收：</w:t>
      </w:r>
    </w:p>
    <w:p w14:paraId="20EB0D26">
      <w:pPr>
        <w:spacing w:line="500" w:lineRule="exac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1.验收分初次开箱验收和医院最终验收两个阶段，以最终验收为准。</w:t>
      </w:r>
    </w:p>
    <w:p w14:paraId="200818FC">
      <w:pPr>
        <w:spacing w:line="500" w:lineRule="exac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4438A4C3">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3.甲方使用单位初验合格后提出验收申请，医院相关部门根据使用单位技术验收结果，组织有关专家进行货物的最终验收。</w:t>
      </w:r>
    </w:p>
    <w:p w14:paraId="47045427">
      <w:pPr>
        <w:spacing w:line="500" w:lineRule="exact"/>
        <w:rPr>
          <w:rFonts w:ascii="仿宋" w:hAnsi="仿宋" w:eastAsia="仿宋"/>
          <w:b/>
          <w:color w:val="auto"/>
          <w:sz w:val="22"/>
          <w:szCs w:val="22"/>
          <w:highlight w:val="none"/>
        </w:rPr>
      </w:pPr>
      <w:r>
        <w:rPr>
          <w:rFonts w:hint="eastAsia" w:ascii="仿宋" w:hAnsi="仿宋" w:eastAsia="仿宋"/>
          <w:b/>
          <w:color w:val="auto"/>
          <w:sz w:val="22"/>
          <w:szCs w:val="22"/>
          <w:highlight w:val="none"/>
        </w:rPr>
        <w:t>第十三条：违约责任：</w:t>
      </w:r>
    </w:p>
    <w:p w14:paraId="65F5D568">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1、乙方如不能及时交货或未按照本合同约定及时安装、调试完毕或违反第九条约定，应向甲方支付本合同总价款10 %的违约金。如交付的产品数量、品种、规格、质量不符合国家标准和合同约定的由乙方负责包修、包换、退货，并承担由此给甲方造成的所有经济损失；逾期交货的，应向甲方支付迟延履行的违约金，每日违约金按逾期交货货款金额万分之一计算。</w:t>
      </w:r>
    </w:p>
    <w:p w14:paraId="2C7288F2">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2、除前款约定外，乙方未按合同要求提供产品或提供虚假材料，且质量不能满足技术要求的，甲方有权终止合同，同时要求乙方承担相应的经济损失或承担本合同总价款10％的违约金。</w:t>
      </w:r>
    </w:p>
    <w:p w14:paraId="20738F5C">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3、自本合同签订之日起，若甲方无故中途退货，应向乙方支付退货部分货款的10 %的违约金。</w:t>
      </w:r>
    </w:p>
    <w:p w14:paraId="71876567">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4、甲方应当按时向乙方支付货款，逾期付款的，应向乙方支付迟延履行的违约金，每日违约金按逾期付款金额的万分之一计算。</w:t>
      </w:r>
    </w:p>
    <w:p w14:paraId="29EBAAEF">
      <w:pPr>
        <w:spacing w:line="500" w:lineRule="exact"/>
        <w:rPr>
          <w:rFonts w:ascii="仿宋" w:hAnsi="仿宋" w:eastAsia="仿宋"/>
          <w:b/>
          <w:color w:val="auto"/>
          <w:sz w:val="22"/>
          <w:szCs w:val="22"/>
          <w:highlight w:val="none"/>
        </w:rPr>
      </w:pPr>
      <w:r>
        <w:rPr>
          <w:rFonts w:hint="eastAsia" w:ascii="仿宋" w:hAnsi="仿宋" w:eastAsia="仿宋"/>
          <w:b/>
          <w:color w:val="auto"/>
          <w:sz w:val="22"/>
          <w:szCs w:val="22"/>
          <w:highlight w:val="none"/>
        </w:rPr>
        <w:t>第十四条：不可抗力：</w:t>
      </w:r>
    </w:p>
    <w:p w14:paraId="670B7C90">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如果发生由于无法预见并且对其发生和后果无法防止或避免的事件（统称：不可抗力事件），如交通事故、地震、水灾、火灾、战争、暴动等，以及政府行为的禁运令、禁止令或其他政府限制行动，直接致使遇到上述事件的一方（即受阻方）不能正常履行本合同约定的全部或部分义务时，受阻方应立即通知另一方，并在不可抗力事件发生后六十个工作日内提供附有有关该事件的权威机关证明的书面材料，包括陈述迟延履行、部分履行或无法履行本合同义务的理由的说明书，方可免责。</w:t>
      </w:r>
    </w:p>
    <w:p w14:paraId="2516F3C0">
      <w:pPr>
        <w:spacing w:line="500" w:lineRule="exact"/>
        <w:rPr>
          <w:rFonts w:ascii="仿宋" w:hAnsi="仿宋" w:eastAsia="仿宋"/>
          <w:b/>
          <w:color w:val="auto"/>
          <w:sz w:val="22"/>
          <w:szCs w:val="22"/>
          <w:highlight w:val="none"/>
        </w:rPr>
      </w:pPr>
      <w:r>
        <w:rPr>
          <w:rFonts w:hint="eastAsia" w:ascii="仿宋" w:hAnsi="仿宋" w:eastAsia="仿宋"/>
          <w:b/>
          <w:color w:val="auto"/>
          <w:sz w:val="22"/>
          <w:szCs w:val="22"/>
          <w:highlight w:val="none"/>
        </w:rPr>
        <w:t>第十五条：通知：</w:t>
      </w:r>
    </w:p>
    <w:p w14:paraId="197E303C">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一方发给另一方的通知或信件应是书面的，按本合同所示地址投送。上述通知或信件应由专人传递或通过传真传送，如由专人传送，则于送达至指定专人接收之日视为正式送交；如以传真发送，则以传真接收人收到该通知之日为准。任何一方变更地址或法定代表人或企业名称等相关信息时，应当在3个工作日内以书面形式通知对方。甲、乙双方在此一致确认接收通知或文件（包括但不限于日后如发生诉讼案件或其他事件时，法院或其他司法机关或政府等部门送达文书均可采用以下信息）等的信息如下：</w:t>
      </w:r>
    </w:p>
    <w:p w14:paraId="2EC9FB63">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甲方：                                      乙方：</w:t>
      </w:r>
    </w:p>
    <w:p w14:paraId="3F967266">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地址：                                      地址：</w:t>
      </w:r>
    </w:p>
    <w:p w14:paraId="45B34FF7">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电话：                                      电话：</w:t>
      </w:r>
    </w:p>
    <w:p w14:paraId="751B35B0">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邮编：                                      邮编：</w:t>
      </w:r>
    </w:p>
    <w:p w14:paraId="6A77A8C3">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传真：                                      传真：</w:t>
      </w:r>
    </w:p>
    <w:p w14:paraId="76AD106B">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邮箱：                                      邮箱：</w:t>
      </w:r>
    </w:p>
    <w:p w14:paraId="491C0667">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指定收件人：                                法定代表人：</w:t>
      </w:r>
    </w:p>
    <w:p w14:paraId="37AC2270">
      <w:pPr>
        <w:spacing w:line="500" w:lineRule="exact"/>
        <w:rPr>
          <w:rFonts w:ascii="仿宋" w:hAnsi="仿宋" w:eastAsia="仿宋"/>
          <w:b/>
          <w:color w:val="auto"/>
          <w:sz w:val="22"/>
          <w:szCs w:val="22"/>
          <w:highlight w:val="none"/>
        </w:rPr>
      </w:pPr>
      <w:r>
        <w:rPr>
          <w:rFonts w:hint="eastAsia" w:ascii="仿宋" w:hAnsi="仿宋" w:eastAsia="仿宋"/>
          <w:b/>
          <w:color w:val="auto"/>
          <w:sz w:val="22"/>
          <w:szCs w:val="22"/>
          <w:highlight w:val="none"/>
        </w:rPr>
        <w:t>第十六条：纠纷的解决：</w:t>
      </w:r>
    </w:p>
    <w:p w14:paraId="429661D3">
      <w:pPr>
        <w:spacing w:line="500" w:lineRule="exact"/>
        <w:rPr>
          <w:rFonts w:ascii="仿宋" w:hAnsi="仿宋" w:eastAsia="仿宋"/>
          <w:color w:val="auto"/>
          <w:sz w:val="22"/>
          <w:szCs w:val="22"/>
          <w:highlight w:val="none"/>
        </w:rPr>
      </w:pPr>
      <w:r>
        <w:rPr>
          <w:rFonts w:hint="eastAsia" w:ascii="仿宋" w:hAnsi="仿宋" w:eastAsia="仿宋"/>
          <w:bCs/>
          <w:color w:val="auto"/>
          <w:sz w:val="22"/>
          <w:szCs w:val="22"/>
          <w:highlight w:val="none"/>
        </w:rPr>
        <w:t>1</w:t>
      </w:r>
      <w:r>
        <w:rPr>
          <w:rFonts w:hint="eastAsia" w:ascii="仿宋" w:hAnsi="仿宋" w:eastAsia="仿宋"/>
          <w:color w:val="auto"/>
          <w:sz w:val="22"/>
          <w:szCs w:val="22"/>
          <w:highlight w:val="none"/>
        </w:rPr>
        <w:t>、争议解决：在合同履行过程中发生争议，双方协商解决。协商不成的，由甲方所在地人民法院裁决。如诉争标的超出甲方所在地人民法院受案范围，则由当地中级人民法院裁决。</w:t>
      </w:r>
    </w:p>
    <w:p w14:paraId="3302DA50">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2、因乙方违约导致甲方权益受损，甲方通过诉讼方式主张权益所支出的合理费用由乙方负担（诉讼费、保全费、律师代理费等必要开支）。</w:t>
      </w:r>
    </w:p>
    <w:p w14:paraId="1D8F894A">
      <w:pPr>
        <w:spacing w:line="500" w:lineRule="exact"/>
        <w:rPr>
          <w:rFonts w:ascii="仿宋" w:hAnsi="仿宋" w:eastAsia="仿宋"/>
          <w:b/>
          <w:color w:val="auto"/>
          <w:sz w:val="22"/>
          <w:szCs w:val="22"/>
          <w:highlight w:val="none"/>
        </w:rPr>
      </w:pPr>
      <w:r>
        <w:rPr>
          <w:rFonts w:hint="eastAsia" w:ascii="仿宋" w:hAnsi="仿宋" w:eastAsia="仿宋"/>
          <w:b/>
          <w:color w:val="auto"/>
          <w:sz w:val="22"/>
          <w:szCs w:val="22"/>
          <w:highlight w:val="none"/>
        </w:rPr>
        <w:t>第十七条：以下资料为本合同不可分割部分，与本合同具有同等法律效力：</w:t>
      </w:r>
    </w:p>
    <w:p w14:paraId="391C933E">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1、本合同所涉产品的国家标准及乙方宣传标准；</w:t>
      </w:r>
    </w:p>
    <w:p w14:paraId="4AF13F1C">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2、本产品的详细资料；</w:t>
      </w:r>
    </w:p>
    <w:p w14:paraId="01FCE95D">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3、招投标文件；</w:t>
      </w:r>
    </w:p>
    <w:p w14:paraId="11FAEEB0">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4、本套产品配置及配套设备零件报价详单；（附于合同后）</w:t>
      </w:r>
    </w:p>
    <w:p w14:paraId="154D73B9">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5、本套产品配套耗材清单、报价详单。（附于合同后）</w:t>
      </w:r>
    </w:p>
    <w:p w14:paraId="600E305A">
      <w:pPr>
        <w:spacing w:line="500" w:lineRule="exact"/>
        <w:rPr>
          <w:rFonts w:ascii="仿宋" w:hAnsi="仿宋" w:eastAsia="仿宋"/>
          <w:b/>
          <w:color w:val="auto"/>
          <w:sz w:val="22"/>
          <w:szCs w:val="22"/>
          <w:highlight w:val="none"/>
        </w:rPr>
      </w:pPr>
      <w:r>
        <w:rPr>
          <w:rFonts w:hint="eastAsia" w:ascii="仿宋" w:hAnsi="仿宋" w:eastAsia="仿宋"/>
          <w:b/>
          <w:color w:val="auto"/>
          <w:sz w:val="22"/>
          <w:szCs w:val="22"/>
          <w:highlight w:val="none"/>
        </w:rPr>
        <w:t>第十八条：本合同一式六份，甲方执伍份、乙方执一份，均具有同等法律效力。</w:t>
      </w:r>
    </w:p>
    <w:p w14:paraId="04D73D7A">
      <w:pPr>
        <w:spacing w:line="500" w:lineRule="exact"/>
        <w:rPr>
          <w:rFonts w:ascii="仿宋" w:hAnsi="仿宋" w:eastAsia="仿宋"/>
          <w:b/>
          <w:color w:val="auto"/>
          <w:sz w:val="22"/>
          <w:szCs w:val="22"/>
          <w:highlight w:val="none"/>
        </w:rPr>
      </w:pPr>
      <w:r>
        <w:rPr>
          <w:rFonts w:hint="eastAsia" w:ascii="仿宋" w:hAnsi="仿宋" w:eastAsia="仿宋"/>
          <w:b/>
          <w:color w:val="auto"/>
          <w:sz w:val="22"/>
          <w:szCs w:val="22"/>
          <w:highlight w:val="none"/>
        </w:rPr>
        <w:t>第十九条：本合同未尽事宜，由甲、乙双方另行签订补充协议，补充协议作为合同附件与本合同具有同等法律效力。</w:t>
      </w:r>
    </w:p>
    <w:p w14:paraId="366548F5">
      <w:pPr>
        <w:spacing w:line="500" w:lineRule="exact"/>
        <w:rPr>
          <w:rFonts w:ascii="仿宋" w:hAnsi="仿宋" w:eastAsia="仿宋"/>
          <w:b/>
          <w:color w:val="auto"/>
          <w:sz w:val="22"/>
          <w:szCs w:val="22"/>
          <w:highlight w:val="none"/>
        </w:rPr>
      </w:pPr>
      <w:r>
        <w:rPr>
          <w:rFonts w:hint="eastAsia" w:ascii="仿宋" w:hAnsi="仿宋" w:eastAsia="仿宋"/>
          <w:b/>
          <w:color w:val="auto"/>
          <w:sz w:val="22"/>
          <w:szCs w:val="22"/>
          <w:highlight w:val="none"/>
        </w:rPr>
        <w:t>第二十条：本合同自甲、乙双方正式授权代表签字并加盖公章之日起生效。</w:t>
      </w:r>
    </w:p>
    <w:p w14:paraId="2B6FA5B4">
      <w:pPr>
        <w:spacing w:line="500" w:lineRule="exact"/>
        <w:rPr>
          <w:rFonts w:ascii="仿宋" w:hAnsi="仿宋" w:eastAsia="仿宋"/>
          <w:b/>
          <w:color w:val="auto"/>
          <w:sz w:val="22"/>
          <w:szCs w:val="22"/>
          <w:highlight w:val="none"/>
        </w:rPr>
      </w:pPr>
      <w:r>
        <w:rPr>
          <w:rFonts w:hint="eastAsia" w:ascii="仿宋" w:hAnsi="仿宋" w:eastAsia="仿宋"/>
          <w:b/>
          <w:color w:val="auto"/>
          <w:sz w:val="22"/>
          <w:szCs w:val="22"/>
          <w:highlight w:val="none"/>
        </w:rPr>
        <w:t>第二十一条：本合同有效期自生效之日起至合同执行完毕时止。</w:t>
      </w:r>
    </w:p>
    <w:p w14:paraId="1A803BD0">
      <w:pPr>
        <w:spacing w:line="500" w:lineRule="exact"/>
        <w:rPr>
          <w:rFonts w:ascii="仿宋" w:hAnsi="仿宋" w:eastAsia="仿宋"/>
          <w:b/>
          <w:color w:val="auto"/>
          <w:sz w:val="22"/>
          <w:szCs w:val="22"/>
          <w:highlight w:val="none"/>
        </w:rPr>
      </w:pPr>
      <w:r>
        <w:rPr>
          <w:rFonts w:hint="eastAsia" w:ascii="仿宋" w:hAnsi="仿宋" w:eastAsia="仿宋"/>
          <w:b/>
          <w:color w:val="auto"/>
          <w:sz w:val="22"/>
          <w:szCs w:val="22"/>
          <w:highlight w:val="none"/>
        </w:rPr>
        <w:t>第二十二条：本合同应当按照中华人民共和国的现行法律、法规进行解释。</w:t>
      </w:r>
    </w:p>
    <w:p w14:paraId="45B9AD5B">
      <w:pPr>
        <w:spacing w:line="500" w:lineRule="exact"/>
        <w:rPr>
          <w:rFonts w:ascii="仿宋" w:hAnsi="仿宋" w:eastAsia="仿宋"/>
          <w:color w:val="auto"/>
          <w:sz w:val="22"/>
          <w:szCs w:val="22"/>
          <w:highlight w:val="none"/>
        </w:rPr>
      </w:pPr>
      <w:r>
        <w:rPr>
          <w:rFonts w:hint="eastAsia" w:ascii="仿宋" w:hAnsi="仿宋" w:eastAsia="仿宋"/>
          <w:color w:val="auto"/>
          <w:sz w:val="22"/>
          <w:szCs w:val="22"/>
          <w:highlight w:val="none"/>
        </w:rPr>
        <w:t>（本页以下无正文）</w:t>
      </w:r>
    </w:p>
    <w:p w14:paraId="08EA0748">
      <w:pPr>
        <w:keepNext w:val="0"/>
        <w:keepLines w:val="0"/>
        <w:pageBreakBefore w:val="0"/>
        <w:widowControl w:val="0"/>
        <w:kinsoku/>
        <w:wordWrap/>
        <w:overflowPunct/>
        <w:topLinePunct w:val="0"/>
        <w:autoSpaceDE/>
        <w:autoSpaceDN/>
        <w:bidi w:val="0"/>
        <w:spacing w:line="500" w:lineRule="exac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tbl>
      <w:tblPr>
        <w:tblStyle w:val="4"/>
        <w:tblW w:w="8403" w:type="dxa"/>
        <w:jc w:val="center"/>
        <w:tblLayout w:type="fixed"/>
        <w:tblCellMar>
          <w:top w:w="0" w:type="dxa"/>
          <w:left w:w="108" w:type="dxa"/>
          <w:bottom w:w="0" w:type="dxa"/>
          <w:right w:w="108" w:type="dxa"/>
        </w:tblCellMar>
      </w:tblPr>
      <w:tblGrid>
        <w:gridCol w:w="4201"/>
        <w:gridCol w:w="4202"/>
      </w:tblGrid>
      <w:tr w14:paraId="77A09707">
        <w:tblPrEx>
          <w:tblCellMar>
            <w:top w:w="0" w:type="dxa"/>
            <w:left w:w="108" w:type="dxa"/>
            <w:bottom w:w="0" w:type="dxa"/>
            <w:right w:w="108" w:type="dxa"/>
          </w:tblCellMar>
        </w:tblPrEx>
        <w:trPr>
          <w:trHeight w:val="567" w:hRule="exact"/>
          <w:jc w:val="center"/>
        </w:trPr>
        <w:tc>
          <w:tcPr>
            <w:tcW w:w="4201" w:type="dxa"/>
            <w:noWrap w:val="0"/>
            <w:vAlign w:val="center"/>
          </w:tcPr>
          <w:p w14:paraId="5CD78743">
            <w:pPr>
              <w:spacing w:line="500" w:lineRule="exact"/>
              <w:rPr>
                <w:rFonts w:hint="eastAsia" w:ascii="仿宋" w:hAnsi="仿宋" w:eastAsia="仿宋" w:cs="Times New Roman"/>
                <w:color w:val="auto"/>
                <w:sz w:val="22"/>
                <w:szCs w:val="22"/>
                <w:highlight w:val="none"/>
              </w:rPr>
            </w:pPr>
            <w:r>
              <w:rPr>
                <w:rFonts w:hint="eastAsia" w:ascii="仿宋" w:hAnsi="仿宋" w:eastAsia="仿宋" w:cs="Times New Roman"/>
                <w:color w:val="auto"/>
                <w:sz w:val="22"/>
                <w:szCs w:val="22"/>
                <w:highlight w:val="none"/>
              </w:rPr>
              <w:t>甲  方</w:t>
            </w:r>
          </w:p>
        </w:tc>
        <w:tc>
          <w:tcPr>
            <w:tcW w:w="4202" w:type="dxa"/>
            <w:noWrap w:val="0"/>
            <w:vAlign w:val="center"/>
          </w:tcPr>
          <w:p w14:paraId="3DC92BBD">
            <w:pPr>
              <w:spacing w:line="500" w:lineRule="exact"/>
              <w:rPr>
                <w:rFonts w:hint="eastAsia" w:ascii="仿宋" w:hAnsi="仿宋" w:eastAsia="仿宋" w:cs="Times New Roman"/>
                <w:color w:val="auto"/>
                <w:sz w:val="22"/>
                <w:szCs w:val="22"/>
                <w:highlight w:val="none"/>
              </w:rPr>
            </w:pPr>
            <w:r>
              <w:rPr>
                <w:rFonts w:hint="eastAsia" w:ascii="仿宋" w:hAnsi="仿宋" w:eastAsia="仿宋" w:cs="Times New Roman"/>
                <w:color w:val="auto"/>
                <w:sz w:val="22"/>
                <w:szCs w:val="22"/>
                <w:highlight w:val="none"/>
              </w:rPr>
              <w:t>乙  方</w:t>
            </w:r>
          </w:p>
        </w:tc>
      </w:tr>
      <w:tr w14:paraId="3D96A3AD">
        <w:tblPrEx>
          <w:tblCellMar>
            <w:top w:w="0" w:type="dxa"/>
            <w:left w:w="108" w:type="dxa"/>
            <w:bottom w:w="0" w:type="dxa"/>
            <w:right w:w="108" w:type="dxa"/>
          </w:tblCellMar>
        </w:tblPrEx>
        <w:trPr>
          <w:trHeight w:val="567" w:hRule="exact"/>
          <w:jc w:val="center"/>
        </w:trPr>
        <w:tc>
          <w:tcPr>
            <w:tcW w:w="4201" w:type="dxa"/>
            <w:noWrap w:val="0"/>
            <w:vAlign w:val="center"/>
          </w:tcPr>
          <w:p w14:paraId="77966E75">
            <w:pPr>
              <w:spacing w:line="500" w:lineRule="exact"/>
              <w:rPr>
                <w:rFonts w:hint="eastAsia" w:ascii="仿宋" w:hAnsi="仿宋" w:eastAsia="仿宋" w:cs="Times New Roman"/>
                <w:color w:val="auto"/>
                <w:sz w:val="22"/>
                <w:szCs w:val="22"/>
                <w:highlight w:val="none"/>
              </w:rPr>
            </w:pPr>
            <w:r>
              <w:rPr>
                <w:rFonts w:hint="eastAsia" w:ascii="仿宋" w:hAnsi="仿宋" w:eastAsia="仿宋" w:cs="Times New Roman"/>
                <w:color w:val="auto"/>
                <w:sz w:val="22"/>
                <w:szCs w:val="22"/>
                <w:highlight w:val="none"/>
              </w:rPr>
              <w:t>（盖章）</w:t>
            </w:r>
          </w:p>
        </w:tc>
        <w:tc>
          <w:tcPr>
            <w:tcW w:w="4202" w:type="dxa"/>
            <w:noWrap w:val="0"/>
            <w:vAlign w:val="center"/>
          </w:tcPr>
          <w:p w14:paraId="6B6C4908">
            <w:pPr>
              <w:spacing w:line="500" w:lineRule="exact"/>
              <w:rPr>
                <w:rFonts w:hint="eastAsia" w:ascii="仿宋" w:hAnsi="仿宋" w:eastAsia="仿宋" w:cs="Times New Roman"/>
                <w:color w:val="auto"/>
                <w:sz w:val="22"/>
                <w:szCs w:val="22"/>
                <w:highlight w:val="none"/>
              </w:rPr>
            </w:pPr>
            <w:r>
              <w:rPr>
                <w:rFonts w:hint="eastAsia" w:ascii="仿宋" w:hAnsi="仿宋" w:eastAsia="仿宋" w:cs="Times New Roman"/>
                <w:color w:val="auto"/>
                <w:sz w:val="22"/>
                <w:szCs w:val="22"/>
                <w:highlight w:val="none"/>
              </w:rPr>
              <w:t>（盖章）</w:t>
            </w:r>
          </w:p>
        </w:tc>
      </w:tr>
      <w:tr w14:paraId="779B5E5A">
        <w:tblPrEx>
          <w:tblCellMar>
            <w:top w:w="0" w:type="dxa"/>
            <w:left w:w="108" w:type="dxa"/>
            <w:bottom w:w="0" w:type="dxa"/>
            <w:right w:w="108" w:type="dxa"/>
          </w:tblCellMar>
        </w:tblPrEx>
        <w:trPr>
          <w:trHeight w:val="567" w:hRule="exact"/>
          <w:jc w:val="center"/>
        </w:trPr>
        <w:tc>
          <w:tcPr>
            <w:tcW w:w="4201" w:type="dxa"/>
            <w:noWrap w:val="0"/>
            <w:vAlign w:val="center"/>
          </w:tcPr>
          <w:p w14:paraId="586EEBE5">
            <w:pPr>
              <w:spacing w:line="500" w:lineRule="exact"/>
              <w:rPr>
                <w:rFonts w:hint="eastAsia" w:ascii="仿宋" w:hAnsi="仿宋" w:eastAsia="仿宋" w:cs="Times New Roman"/>
                <w:color w:val="auto"/>
                <w:sz w:val="22"/>
                <w:szCs w:val="22"/>
                <w:highlight w:val="none"/>
              </w:rPr>
            </w:pPr>
            <w:r>
              <w:rPr>
                <w:rFonts w:hint="eastAsia" w:ascii="仿宋" w:hAnsi="仿宋" w:eastAsia="仿宋" w:cs="Times New Roman"/>
                <w:color w:val="auto"/>
                <w:sz w:val="22"/>
                <w:szCs w:val="22"/>
                <w:highlight w:val="none"/>
              </w:rPr>
              <w:t xml:space="preserve">地址： </w:t>
            </w:r>
          </w:p>
        </w:tc>
        <w:tc>
          <w:tcPr>
            <w:tcW w:w="4202" w:type="dxa"/>
            <w:noWrap w:val="0"/>
            <w:vAlign w:val="center"/>
          </w:tcPr>
          <w:p w14:paraId="5F134523">
            <w:pPr>
              <w:spacing w:line="500" w:lineRule="exact"/>
              <w:rPr>
                <w:rFonts w:hint="eastAsia" w:ascii="仿宋" w:hAnsi="仿宋" w:eastAsia="仿宋" w:cs="Times New Roman"/>
                <w:color w:val="auto"/>
                <w:sz w:val="22"/>
                <w:szCs w:val="22"/>
                <w:highlight w:val="none"/>
              </w:rPr>
            </w:pPr>
            <w:r>
              <w:rPr>
                <w:rFonts w:hint="eastAsia" w:ascii="仿宋" w:hAnsi="仿宋" w:eastAsia="仿宋" w:cs="Times New Roman"/>
                <w:color w:val="auto"/>
                <w:sz w:val="22"/>
                <w:szCs w:val="22"/>
                <w:highlight w:val="none"/>
              </w:rPr>
              <w:t>地址：</w:t>
            </w:r>
          </w:p>
        </w:tc>
      </w:tr>
      <w:tr w14:paraId="0AE09FB0">
        <w:tblPrEx>
          <w:tblCellMar>
            <w:top w:w="0" w:type="dxa"/>
            <w:left w:w="108" w:type="dxa"/>
            <w:bottom w:w="0" w:type="dxa"/>
            <w:right w:w="108" w:type="dxa"/>
          </w:tblCellMar>
        </w:tblPrEx>
        <w:trPr>
          <w:trHeight w:val="567" w:hRule="exact"/>
          <w:jc w:val="center"/>
        </w:trPr>
        <w:tc>
          <w:tcPr>
            <w:tcW w:w="4201" w:type="dxa"/>
            <w:noWrap w:val="0"/>
            <w:vAlign w:val="center"/>
          </w:tcPr>
          <w:p w14:paraId="37003781">
            <w:pPr>
              <w:spacing w:line="500" w:lineRule="exact"/>
              <w:rPr>
                <w:rFonts w:hint="eastAsia" w:ascii="仿宋" w:hAnsi="仿宋" w:eastAsia="仿宋" w:cs="Times New Roman"/>
                <w:color w:val="auto"/>
                <w:sz w:val="22"/>
                <w:szCs w:val="22"/>
                <w:highlight w:val="none"/>
              </w:rPr>
            </w:pPr>
            <w:r>
              <w:rPr>
                <w:rFonts w:hint="eastAsia" w:ascii="仿宋" w:hAnsi="仿宋" w:eastAsia="仿宋" w:cs="Times New Roman"/>
                <w:color w:val="auto"/>
                <w:sz w:val="22"/>
                <w:szCs w:val="22"/>
                <w:highlight w:val="none"/>
              </w:rPr>
              <w:t>邮编：</w:t>
            </w:r>
          </w:p>
        </w:tc>
        <w:tc>
          <w:tcPr>
            <w:tcW w:w="4202" w:type="dxa"/>
            <w:noWrap w:val="0"/>
            <w:vAlign w:val="center"/>
          </w:tcPr>
          <w:p w14:paraId="3AA6C406">
            <w:pPr>
              <w:spacing w:line="500" w:lineRule="exact"/>
              <w:rPr>
                <w:rFonts w:hint="eastAsia" w:ascii="仿宋" w:hAnsi="仿宋" w:eastAsia="仿宋" w:cs="Times New Roman"/>
                <w:color w:val="auto"/>
                <w:sz w:val="22"/>
                <w:szCs w:val="22"/>
                <w:highlight w:val="none"/>
              </w:rPr>
            </w:pPr>
            <w:r>
              <w:rPr>
                <w:rFonts w:hint="eastAsia" w:ascii="仿宋" w:hAnsi="仿宋" w:eastAsia="仿宋" w:cs="Times New Roman"/>
                <w:color w:val="auto"/>
                <w:sz w:val="22"/>
                <w:szCs w:val="22"/>
                <w:highlight w:val="none"/>
              </w:rPr>
              <w:t>邮编：</w:t>
            </w:r>
          </w:p>
        </w:tc>
      </w:tr>
      <w:tr w14:paraId="0A68F7FA">
        <w:tblPrEx>
          <w:tblCellMar>
            <w:top w:w="0" w:type="dxa"/>
            <w:left w:w="108" w:type="dxa"/>
            <w:bottom w:w="0" w:type="dxa"/>
            <w:right w:w="108" w:type="dxa"/>
          </w:tblCellMar>
        </w:tblPrEx>
        <w:trPr>
          <w:trHeight w:val="567" w:hRule="exact"/>
          <w:jc w:val="center"/>
        </w:trPr>
        <w:tc>
          <w:tcPr>
            <w:tcW w:w="4201" w:type="dxa"/>
            <w:noWrap w:val="0"/>
            <w:vAlign w:val="center"/>
          </w:tcPr>
          <w:p w14:paraId="4FA7AFF0">
            <w:pPr>
              <w:spacing w:line="500" w:lineRule="exact"/>
              <w:rPr>
                <w:rFonts w:hint="eastAsia" w:ascii="仿宋" w:hAnsi="仿宋" w:eastAsia="仿宋" w:cs="Times New Roman"/>
                <w:color w:val="auto"/>
                <w:sz w:val="22"/>
                <w:szCs w:val="22"/>
                <w:highlight w:val="none"/>
              </w:rPr>
            </w:pPr>
            <w:r>
              <w:rPr>
                <w:rFonts w:hint="eastAsia" w:ascii="仿宋" w:hAnsi="仿宋" w:eastAsia="仿宋" w:cs="Times New Roman"/>
                <w:color w:val="auto"/>
                <w:sz w:val="22"/>
                <w:szCs w:val="22"/>
                <w:highlight w:val="none"/>
              </w:rPr>
              <w:t xml:space="preserve">法定代表人： </w:t>
            </w:r>
          </w:p>
        </w:tc>
        <w:tc>
          <w:tcPr>
            <w:tcW w:w="4202" w:type="dxa"/>
            <w:noWrap w:val="0"/>
            <w:vAlign w:val="center"/>
          </w:tcPr>
          <w:p w14:paraId="522E7751">
            <w:pPr>
              <w:spacing w:line="500" w:lineRule="exact"/>
              <w:rPr>
                <w:rFonts w:hint="eastAsia" w:ascii="仿宋" w:hAnsi="仿宋" w:eastAsia="仿宋" w:cs="Times New Roman"/>
                <w:color w:val="auto"/>
                <w:sz w:val="22"/>
                <w:szCs w:val="22"/>
                <w:highlight w:val="none"/>
              </w:rPr>
            </w:pPr>
            <w:r>
              <w:rPr>
                <w:rFonts w:hint="eastAsia" w:ascii="仿宋" w:hAnsi="仿宋" w:eastAsia="仿宋" w:cs="Times New Roman"/>
                <w:color w:val="auto"/>
                <w:sz w:val="22"/>
                <w:szCs w:val="22"/>
                <w:highlight w:val="none"/>
              </w:rPr>
              <w:t>法定代表人：</w:t>
            </w:r>
          </w:p>
        </w:tc>
      </w:tr>
      <w:tr w14:paraId="223CFE55">
        <w:tblPrEx>
          <w:tblCellMar>
            <w:top w:w="0" w:type="dxa"/>
            <w:left w:w="108" w:type="dxa"/>
            <w:bottom w:w="0" w:type="dxa"/>
            <w:right w:w="108" w:type="dxa"/>
          </w:tblCellMar>
        </w:tblPrEx>
        <w:trPr>
          <w:trHeight w:val="567" w:hRule="exact"/>
          <w:jc w:val="center"/>
        </w:trPr>
        <w:tc>
          <w:tcPr>
            <w:tcW w:w="4201" w:type="dxa"/>
            <w:noWrap w:val="0"/>
            <w:vAlign w:val="center"/>
          </w:tcPr>
          <w:p w14:paraId="1788166D">
            <w:pPr>
              <w:spacing w:line="500" w:lineRule="exact"/>
              <w:rPr>
                <w:rFonts w:hint="eastAsia" w:ascii="仿宋" w:hAnsi="仿宋" w:eastAsia="仿宋" w:cs="Times New Roman"/>
                <w:color w:val="auto"/>
                <w:sz w:val="22"/>
                <w:szCs w:val="22"/>
                <w:highlight w:val="none"/>
              </w:rPr>
            </w:pPr>
            <w:r>
              <w:rPr>
                <w:rFonts w:hint="eastAsia" w:ascii="仿宋" w:hAnsi="仿宋" w:eastAsia="仿宋" w:cs="Times New Roman"/>
                <w:color w:val="auto"/>
                <w:sz w:val="22"/>
                <w:szCs w:val="22"/>
                <w:highlight w:val="none"/>
              </w:rPr>
              <w:t>项目负责人：</w:t>
            </w:r>
          </w:p>
        </w:tc>
        <w:tc>
          <w:tcPr>
            <w:tcW w:w="4202" w:type="dxa"/>
            <w:noWrap w:val="0"/>
            <w:vAlign w:val="center"/>
          </w:tcPr>
          <w:p w14:paraId="0638C874">
            <w:pPr>
              <w:spacing w:line="500" w:lineRule="exact"/>
              <w:rPr>
                <w:rFonts w:hint="eastAsia" w:ascii="仿宋" w:hAnsi="仿宋" w:eastAsia="仿宋" w:cs="Times New Roman"/>
                <w:color w:val="auto"/>
                <w:sz w:val="22"/>
                <w:szCs w:val="22"/>
                <w:highlight w:val="none"/>
              </w:rPr>
            </w:pPr>
            <w:r>
              <w:rPr>
                <w:rFonts w:hint="eastAsia" w:ascii="仿宋" w:hAnsi="仿宋" w:eastAsia="仿宋" w:cs="Times New Roman"/>
                <w:color w:val="auto"/>
                <w:sz w:val="22"/>
                <w:szCs w:val="22"/>
                <w:highlight w:val="none"/>
              </w:rPr>
              <w:t>项目负责人：</w:t>
            </w:r>
          </w:p>
        </w:tc>
      </w:tr>
      <w:tr w14:paraId="5BEE9701">
        <w:tblPrEx>
          <w:tblCellMar>
            <w:top w:w="0" w:type="dxa"/>
            <w:left w:w="108" w:type="dxa"/>
            <w:bottom w:w="0" w:type="dxa"/>
            <w:right w:w="108" w:type="dxa"/>
          </w:tblCellMar>
        </w:tblPrEx>
        <w:trPr>
          <w:trHeight w:val="567" w:hRule="exact"/>
          <w:jc w:val="center"/>
        </w:trPr>
        <w:tc>
          <w:tcPr>
            <w:tcW w:w="4201" w:type="dxa"/>
            <w:noWrap w:val="0"/>
            <w:vAlign w:val="center"/>
          </w:tcPr>
          <w:p w14:paraId="626A38EA">
            <w:pPr>
              <w:spacing w:line="500" w:lineRule="exact"/>
              <w:rPr>
                <w:rFonts w:hint="eastAsia" w:ascii="仿宋" w:hAnsi="仿宋" w:eastAsia="仿宋" w:cs="Times New Roman"/>
                <w:color w:val="auto"/>
                <w:sz w:val="22"/>
                <w:szCs w:val="22"/>
                <w:highlight w:val="none"/>
              </w:rPr>
            </w:pPr>
            <w:r>
              <w:rPr>
                <w:rFonts w:hint="eastAsia" w:ascii="仿宋" w:hAnsi="仿宋" w:eastAsia="仿宋" w:cs="Times New Roman"/>
                <w:color w:val="auto"/>
                <w:sz w:val="22"/>
                <w:szCs w:val="22"/>
                <w:highlight w:val="none"/>
              </w:rPr>
              <w:t>电话：</w:t>
            </w:r>
          </w:p>
        </w:tc>
        <w:tc>
          <w:tcPr>
            <w:tcW w:w="4202" w:type="dxa"/>
            <w:noWrap w:val="0"/>
            <w:vAlign w:val="center"/>
          </w:tcPr>
          <w:p w14:paraId="1293133A">
            <w:pPr>
              <w:spacing w:line="500" w:lineRule="exact"/>
              <w:rPr>
                <w:rFonts w:hint="eastAsia" w:ascii="仿宋" w:hAnsi="仿宋" w:eastAsia="仿宋" w:cs="Times New Roman"/>
                <w:color w:val="auto"/>
                <w:sz w:val="22"/>
                <w:szCs w:val="22"/>
                <w:highlight w:val="none"/>
              </w:rPr>
            </w:pPr>
            <w:r>
              <w:rPr>
                <w:rFonts w:hint="eastAsia" w:ascii="仿宋" w:hAnsi="仿宋" w:eastAsia="仿宋" w:cs="Times New Roman"/>
                <w:color w:val="auto"/>
                <w:sz w:val="22"/>
                <w:szCs w:val="22"/>
                <w:highlight w:val="none"/>
              </w:rPr>
              <w:t>电话：</w:t>
            </w:r>
          </w:p>
        </w:tc>
      </w:tr>
      <w:tr w14:paraId="66C389EA">
        <w:tblPrEx>
          <w:tblCellMar>
            <w:top w:w="0" w:type="dxa"/>
            <w:left w:w="108" w:type="dxa"/>
            <w:bottom w:w="0" w:type="dxa"/>
            <w:right w:w="108" w:type="dxa"/>
          </w:tblCellMar>
        </w:tblPrEx>
        <w:trPr>
          <w:trHeight w:val="567" w:hRule="exact"/>
          <w:jc w:val="center"/>
        </w:trPr>
        <w:tc>
          <w:tcPr>
            <w:tcW w:w="4201" w:type="dxa"/>
            <w:noWrap w:val="0"/>
            <w:vAlign w:val="center"/>
          </w:tcPr>
          <w:p w14:paraId="3009CAF0">
            <w:pPr>
              <w:spacing w:line="500" w:lineRule="exact"/>
              <w:rPr>
                <w:rFonts w:hint="eastAsia" w:ascii="仿宋" w:hAnsi="仿宋" w:eastAsia="仿宋" w:cs="Times New Roman"/>
                <w:color w:val="auto"/>
                <w:sz w:val="22"/>
                <w:szCs w:val="22"/>
                <w:highlight w:val="none"/>
              </w:rPr>
            </w:pPr>
            <w:r>
              <w:rPr>
                <w:rFonts w:hint="eastAsia" w:ascii="仿宋" w:hAnsi="仿宋" w:eastAsia="仿宋" w:cs="Times New Roman"/>
                <w:color w:val="auto"/>
                <w:sz w:val="22"/>
                <w:szCs w:val="22"/>
                <w:highlight w:val="none"/>
              </w:rPr>
              <w:t>开户银行：</w:t>
            </w:r>
          </w:p>
        </w:tc>
        <w:tc>
          <w:tcPr>
            <w:tcW w:w="4202" w:type="dxa"/>
            <w:noWrap w:val="0"/>
            <w:vAlign w:val="center"/>
          </w:tcPr>
          <w:p w14:paraId="0BA03F30">
            <w:pPr>
              <w:spacing w:line="500" w:lineRule="exact"/>
              <w:rPr>
                <w:rFonts w:hint="eastAsia" w:ascii="仿宋" w:hAnsi="仿宋" w:eastAsia="仿宋" w:cs="Times New Roman"/>
                <w:color w:val="auto"/>
                <w:sz w:val="22"/>
                <w:szCs w:val="22"/>
                <w:highlight w:val="none"/>
              </w:rPr>
            </w:pPr>
            <w:r>
              <w:rPr>
                <w:rFonts w:hint="eastAsia" w:ascii="仿宋" w:hAnsi="仿宋" w:eastAsia="仿宋" w:cs="Times New Roman"/>
                <w:color w:val="auto"/>
                <w:sz w:val="22"/>
                <w:szCs w:val="22"/>
                <w:highlight w:val="none"/>
              </w:rPr>
              <w:t>开户银行：</w:t>
            </w:r>
          </w:p>
        </w:tc>
      </w:tr>
      <w:tr w14:paraId="1D10BACD">
        <w:tblPrEx>
          <w:tblCellMar>
            <w:top w:w="0" w:type="dxa"/>
            <w:left w:w="108" w:type="dxa"/>
            <w:bottom w:w="0" w:type="dxa"/>
            <w:right w:w="108" w:type="dxa"/>
          </w:tblCellMar>
        </w:tblPrEx>
        <w:trPr>
          <w:trHeight w:val="567" w:hRule="exact"/>
          <w:jc w:val="center"/>
        </w:trPr>
        <w:tc>
          <w:tcPr>
            <w:tcW w:w="4201" w:type="dxa"/>
            <w:noWrap w:val="0"/>
            <w:vAlign w:val="center"/>
          </w:tcPr>
          <w:p w14:paraId="6D1689F5">
            <w:pPr>
              <w:spacing w:line="500" w:lineRule="exact"/>
              <w:rPr>
                <w:rFonts w:hint="eastAsia" w:ascii="仿宋" w:hAnsi="仿宋" w:eastAsia="仿宋" w:cs="Times New Roman"/>
                <w:color w:val="auto"/>
                <w:sz w:val="22"/>
                <w:szCs w:val="22"/>
                <w:highlight w:val="none"/>
              </w:rPr>
            </w:pPr>
            <w:r>
              <w:rPr>
                <w:rFonts w:hint="eastAsia" w:ascii="仿宋" w:hAnsi="仿宋" w:eastAsia="仿宋" w:cs="Times New Roman"/>
                <w:color w:val="auto"/>
                <w:sz w:val="22"/>
                <w:szCs w:val="22"/>
                <w:highlight w:val="none"/>
              </w:rPr>
              <w:t>日期：</w:t>
            </w:r>
          </w:p>
        </w:tc>
        <w:tc>
          <w:tcPr>
            <w:tcW w:w="4202" w:type="dxa"/>
            <w:noWrap w:val="0"/>
            <w:vAlign w:val="center"/>
          </w:tcPr>
          <w:p w14:paraId="52AAE23A">
            <w:pPr>
              <w:spacing w:line="500" w:lineRule="exact"/>
              <w:rPr>
                <w:rFonts w:hint="eastAsia" w:ascii="仿宋" w:hAnsi="仿宋" w:eastAsia="仿宋" w:cs="Times New Roman"/>
                <w:color w:val="auto"/>
                <w:sz w:val="22"/>
                <w:szCs w:val="22"/>
                <w:highlight w:val="none"/>
              </w:rPr>
            </w:pPr>
            <w:r>
              <w:rPr>
                <w:rFonts w:hint="eastAsia" w:ascii="仿宋" w:hAnsi="仿宋" w:eastAsia="仿宋" w:cs="Times New Roman"/>
                <w:color w:val="auto"/>
                <w:sz w:val="22"/>
                <w:szCs w:val="22"/>
                <w:highlight w:val="none"/>
              </w:rPr>
              <w:t>日期：</w:t>
            </w:r>
          </w:p>
        </w:tc>
      </w:tr>
    </w:tbl>
    <w:p w14:paraId="227C8531">
      <w:pPr>
        <w:spacing w:line="500" w:lineRule="exact"/>
        <w:rPr>
          <w:rFonts w:ascii="仿宋" w:hAnsi="仿宋" w:eastAsia="仿宋"/>
          <w:color w:val="auto"/>
          <w:sz w:val="22"/>
          <w:szCs w:val="22"/>
          <w:highlight w:val="none"/>
        </w:rPr>
      </w:pPr>
    </w:p>
    <w:p w14:paraId="32D5D2CC">
      <w:pPr>
        <w:rPr>
          <w:color w:val="auto"/>
          <w:highlight w:val="none"/>
        </w:rPr>
      </w:pPr>
    </w:p>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A7722C"/>
    <w:rsid w:val="413131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0"/>
    <w:pPr>
      <w:adjustRightInd w:val="0"/>
      <w:ind w:firstLine="420"/>
      <w:jc w:val="left"/>
      <w:textAlignment w:val="baseline"/>
    </w:pPr>
    <w:rPr>
      <w:kern w:val="0"/>
      <w:sz w:val="21"/>
    </w:rPr>
  </w:style>
  <w:style w:type="paragraph" w:styleId="3">
    <w:name w:val="Body Text"/>
    <w:basedOn w:val="1"/>
    <w:next w:val="1"/>
    <w:qFormat/>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3162</Words>
  <Characters>3177</Characters>
  <Lines>0</Lines>
  <Paragraphs>0</Paragraphs>
  <TotalTime>0</TotalTime>
  <ScaleCrop>false</ScaleCrop>
  <LinksUpToDate>false</LinksUpToDate>
  <CharactersWithSpaces>3687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2025-07-24T08:21:00Z</dcterms:created>
  <dc:creator>Administrator</dc:creator>
  <cp:lastModifiedBy>FortuneCat</cp:lastModifiedBy>
  <dcterms:modified xsi:type="dcterms:W3CDTF">2025-07-24T10:11:54Z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eyJoZGlkIjoiZDcyMjJjOTFlZDgwNTkyODQ5MWNmMDZjMGUxZDU2NDgiLCJ1c2VySWQiOiI3MjIwNjkxMzkifQ==</vt:lpwstr>
  </property>
  <property fmtid="{D5CDD505-2E9C-101B-9397-08002B2CF9AE}" pid="4" name="ICV">
    <vt:lpwstr>B7B6D53C55364713AEDC6656D9D303BA_12</vt:lpwstr>
  </property>
</Properties>
</file>