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版本号：SXWZ2025ZB-XBZF-18720250724001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2025年度教育网出口带宽服务项目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SXWZ2025ZB-XBZF-187</w:t>
      </w:r>
      <w:r>
        <w:br/>
      </w:r>
      <w:r>
        <w:br/>
      </w:r>
      <w:r>
        <w:br/>
      </w:r>
    </w:p>
    <w:p>
      <w:pPr>
        <w:pStyle w:val="null3"/>
        <w:jc w:val="center"/>
        <w:outlineLvl w:val="5"/>
      </w:pPr>
      <w:r>
        <w:rPr>
          <w:rFonts w:ascii="仿宋_GB2312" w:hAnsi="仿宋_GB2312" w:cs="仿宋_GB2312" w:eastAsia="仿宋_GB2312"/>
          <w:sz w:val="15"/>
          <w:b/>
        </w:rPr>
        <w:t>西北政法大学</w:t>
      </w:r>
    </w:p>
    <w:p>
      <w:pPr>
        <w:pStyle w:val="null3"/>
        <w:jc w:val="center"/>
        <w:outlineLvl w:val="5"/>
      </w:pPr>
      <w:r>
        <w:rPr>
          <w:rFonts w:ascii="仿宋_GB2312" w:hAnsi="仿宋_GB2312" w:cs="仿宋_GB2312" w:eastAsia="仿宋_GB2312"/>
          <w:sz w:val="15"/>
          <w:b/>
        </w:rPr>
        <w:t>陕西万泽招标有限公司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2025年07月24日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西北政法大学</w:t>
      </w:r>
      <w:r>
        <w:rPr>
          <w:rFonts w:ascii="仿宋_GB2312" w:hAnsi="仿宋_GB2312" w:cs="仿宋_GB2312" w:eastAsia="仿宋_GB2312"/>
        </w:rPr>
        <w:t>委托，拟对</w:t>
      </w:r>
      <w:r>
        <w:rPr>
          <w:rFonts w:ascii="仿宋_GB2312" w:hAnsi="仿宋_GB2312" w:cs="仿宋_GB2312" w:eastAsia="仿宋_GB2312"/>
        </w:rPr>
        <w:t>2025年度教育网出口带宽服务项目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SXWZ2025ZB-XBZF-187</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2025年度教育网出口带宽服务项目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西北政法大学2025年度教育网出口带宽服务项目</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1、投标主体：提供合格有效的法人或其他组织的营业执照等证明文件，自然人参与的提供其身份证。</w:t>
      </w:r>
    </w:p>
    <w:p>
      <w:pPr>
        <w:pStyle w:val="null3"/>
      </w:pPr>
      <w:r>
        <w:rPr>
          <w:rFonts w:ascii="仿宋_GB2312" w:hAnsi="仿宋_GB2312" w:cs="仿宋_GB2312" w:eastAsia="仿宋_GB2312"/>
        </w:rPr>
        <w:t>2、授权委托书：非法定代表人参加投标的，须提供法定代表人授权委托书及被授权人身份证及近三个月在本单位缴纳社保的证明；法定代表人参加投标时,只须提供法定代表人身份证。</w:t>
      </w:r>
    </w:p>
    <w:p>
      <w:pPr>
        <w:pStyle w:val="null3"/>
      </w:pPr>
      <w:r>
        <w:rPr>
          <w:rFonts w:ascii="仿宋_GB2312" w:hAnsi="仿宋_GB2312" w:cs="仿宋_GB2312" w:eastAsia="仿宋_GB2312"/>
        </w:rPr>
        <w:t>3、社会保障资金缴纳证明：提供2024年07月至今已缴存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4、税收缴纳证明：提供2024年07月至今已缴纳的至少一个月的纳税证明或完税证明；依法免税的单位应提供相关证明材料。（以税收所属时期为准）</w:t>
      </w:r>
    </w:p>
    <w:p>
      <w:pPr>
        <w:pStyle w:val="null3"/>
      </w:pPr>
      <w:r>
        <w:rPr>
          <w:rFonts w:ascii="仿宋_GB2312" w:hAnsi="仿宋_GB2312" w:cs="仿宋_GB2312" w:eastAsia="仿宋_GB2312"/>
        </w:rPr>
        <w:t>5、财务状况证明：提供经会计师事务所审计的2024年完整的财务审计报告，或在开标日期前六个月内其基本开户银行出具的资信证明；(若投标人成立时间不足六个月，需提供成立至今的财务状况证明材料或成立至开标日期前的基本开户银行出具的资信证明)。</w:t>
      </w:r>
    </w:p>
    <w:p>
      <w:pPr>
        <w:pStyle w:val="null3"/>
      </w:pPr>
      <w:r>
        <w:rPr>
          <w:rFonts w:ascii="仿宋_GB2312" w:hAnsi="仿宋_GB2312" w:cs="仿宋_GB2312" w:eastAsia="仿宋_GB2312"/>
        </w:rPr>
        <w:t>6、供应商信誉证明：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p>
      <w:pPr>
        <w:pStyle w:val="null3"/>
      </w:pPr>
      <w:r>
        <w:rPr>
          <w:rFonts w:ascii="仿宋_GB2312" w:hAnsi="仿宋_GB2312" w:cs="仿宋_GB2312" w:eastAsia="仿宋_GB2312"/>
        </w:rPr>
        <w:t>7、非联合体声明：本项目不接受联合体响应，供应商应提供非联合体声明函（格式自拟）</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西北政法大学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西安市长安区西长安街558号西北政法大学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710122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029-88182586</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西安市雁塔区唐延路35号旺座现代城C座2502室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崔方明 陈晓航 许芳芳 刘嘉辉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029-88319689-8004</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开户名称：陕西万泽招标有限公司</w:t>
            </w:r>
          </w:p>
          <w:p>
            <w:pPr>
              <w:pStyle w:val="null3"/>
            </w:pPr>
            <w:r>
              <w:rPr>
                <w:rFonts w:ascii="仿宋_GB2312" w:hAnsi="仿宋_GB2312" w:cs="仿宋_GB2312" w:eastAsia="仿宋_GB2312"/>
              </w:rPr>
              <w:t>开户银行：招商银行西安枫林绿洲支行</w:t>
            </w:r>
          </w:p>
          <w:p>
            <w:pPr>
              <w:pStyle w:val="null3"/>
            </w:pPr>
            <w:r>
              <w:rPr>
                <w:rFonts w:ascii="仿宋_GB2312" w:hAnsi="仿宋_GB2312" w:cs="仿宋_GB2312" w:eastAsia="仿宋_GB2312"/>
              </w:rPr>
              <w:t>银行账号：129906492210000</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本采购项目中标价为基数，按国家计委颁发的《招标代理服务收费管理暂行办法》（计价格[2002]1980号）和国家发展改革委员会办公厅颁发的《关于招标代理服务收费有关问题的通知》（发改办价格[2003] 857号）的有关规定收取，向采购代理机构一次付清代理服务费。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西北政法大学</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西北政法大学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陕西万泽招标有限公司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2025年度教育网出口带宽服务项目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2025年度教育网出口带宽服务项目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标的名称：2025年度教育网出口带宽服务项目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b/>
              </w:rPr>
              <w:t>一、</w:t>
            </w:r>
            <w:r>
              <w:rPr>
                <w:rFonts w:ascii="仿宋_GB2312" w:hAnsi="仿宋_GB2312" w:cs="仿宋_GB2312" w:eastAsia="仿宋_GB2312"/>
                <w:sz w:val="21"/>
                <w:b/>
              </w:rPr>
              <w:t>商务要求</w:t>
            </w:r>
          </w:p>
          <w:p>
            <w:pPr>
              <w:pStyle w:val="null3"/>
            </w:pPr>
            <w:r>
              <w:rPr>
                <w:rFonts w:ascii="仿宋_GB2312" w:hAnsi="仿宋_GB2312" w:cs="仿宋_GB2312" w:eastAsia="仿宋_GB2312"/>
                <w:sz w:val="21"/>
              </w:rPr>
              <w:t>1、服务期：自合同签订之日起1年</w:t>
            </w:r>
          </w:p>
          <w:p>
            <w:pPr>
              <w:pStyle w:val="null3"/>
            </w:pPr>
            <w:r>
              <w:rPr>
                <w:rFonts w:ascii="仿宋_GB2312" w:hAnsi="仿宋_GB2312" w:cs="仿宋_GB2312" w:eastAsia="仿宋_GB2312"/>
                <w:sz w:val="21"/>
              </w:rPr>
              <w:t>2、售后服务要求：服务期内提供即时服务响应。电话响应无法解决的问题需在2小时内指派技术工程师到达现场。修复时间为4小时内解决；如12小时内无法修复，提供备份设备和链路保障带宽的畅通</w:t>
            </w:r>
          </w:p>
          <w:p>
            <w:pPr>
              <w:pStyle w:val="null3"/>
            </w:pPr>
            <w:r>
              <w:rPr>
                <w:rFonts w:ascii="仿宋_GB2312" w:hAnsi="仿宋_GB2312" w:cs="仿宋_GB2312" w:eastAsia="仿宋_GB2312"/>
                <w:sz w:val="21"/>
              </w:rPr>
              <w:t>3、其他要求：</w:t>
            </w:r>
          </w:p>
          <w:p>
            <w:pPr>
              <w:pStyle w:val="null3"/>
            </w:pPr>
            <w:r>
              <w:rPr>
                <w:rFonts w:ascii="仿宋_GB2312" w:hAnsi="仿宋_GB2312" w:cs="仿宋_GB2312" w:eastAsia="仿宋_GB2312"/>
                <w:sz w:val="21"/>
              </w:rPr>
              <w:t>（</w:t>
            </w:r>
            <w:r>
              <w:rPr>
                <w:rFonts w:ascii="仿宋_GB2312" w:hAnsi="仿宋_GB2312" w:cs="仿宋_GB2312" w:eastAsia="仿宋_GB2312"/>
                <w:sz w:val="21"/>
              </w:rPr>
              <w:t>1）保证学校教育网出口带宽的稳定性，使用独享光缆将学校出口上联至教育网主干节点，并保障光缆的连通性；</w:t>
            </w:r>
          </w:p>
          <w:p>
            <w:pPr>
              <w:pStyle w:val="null3"/>
            </w:pPr>
            <w:r>
              <w:rPr>
                <w:rFonts w:ascii="仿宋_GB2312" w:hAnsi="仿宋_GB2312" w:cs="仿宋_GB2312" w:eastAsia="仿宋_GB2312"/>
                <w:sz w:val="21"/>
              </w:rPr>
              <w:t>（</w:t>
            </w:r>
            <w:r>
              <w:rPr>
                <w:rFonts w:ascii="仿宋_GB2312" w:hAnsi="仿宋_GB2312" w:cs="仿宋_GB2312" w:eastAsia="仿宋_GB2312"/>
                <w:sz w:val="21"/>
              </w:rPr>
              <w:t>2）基于教育网的服务保障，服务期内免费为学校提供网络安全巡检服务，不少于1次/月，在特殊敏感时期，为学校提供站点、业务系统的安全保障服务；</w:t>
            </w:r>
          </w:p>
          <w:p>
            <w:pPr>
              <w:pStyle w:val="null3"/>
            </w:pPr>
            <w:r>
              <w:rPr>
                <w:rFonts w:ascii="仿宋_GB2312" w:hAnsi="仿宋_GB2312" w:cs="仿宋_GB2312" w:eastAsia="仿宋_GB2312"/>
                <w:sz w:val="21"/>
              </w:rPr>
              <w:t>（</w:t>
            </w:r>
            <w:r>
              <w:rPr>
                <w:rFonts w:ascii="仿宋_GB2312" w:hAnsi="仿宋_GB2312" w:cs="仿宋_GB2312" w:eastAsia="仿宋_GB2312"/>
                <w:sz w:val="21"/>
              </w:rPr>
              <w:t>3）Eduroam、CARSI等服务的保障，协助学校完成系统维护；</w:t>
            </w:r>
          </w:p>
          <w:p>
            <w:pPr>
              <w:pStyle w:val="null3"/>
            </w:pPr>
            <w:r>
              <w:rPr>
                <w:rFonts w:ascii="仿宋_GB2312" w:hAnsi="仿宋_GB2312" w:cs="仿宋_GB2312" w:eastAsia="仿宋_GB2312"/>
                <w:sz w:val="21"/>
              </w:rPr>
              <w:t>（</w:t>
            </w:r>
            <w:r>
              <w:rPr>
                <w:rFonts w:ascii="仿宋_GB2312" w:hAnsi="仿宋_GB2312" w:cs="仿宋_GB2312" w:eastAsia="仿宋_GB2312"/>
                <w:sz w:val="21"/>
              </w:rPr>
              <w:t>4）学校大型活动及重要会议期间，根据学校需要提供临时带宽扩容、带宽稳定性等服务保障；</w:t>
            </w:r>
          </w:p>
          <w:p>
            <w:pPr>
              <w:pStyle w:val="null3"/>
            </w:pPr>
            <w:r>
              <w:rPr>
                <w:rFonts w:ascii="仿宋_GB2312" w:hAnsi="仿宋_GB2312" w:cs="仿宋_GB2312" w:eastAsia="仿宋_GB2312"/>
                <w:sz w:val="21"/>
              </w:rPr>
              <w:t>（</w:t>
            </w:r>
            <w:r>
              <w:rPr>
                <w:rFonts w:ascii="仿宋_GB2312" w:hAnsi="仿宋_GB2312" w:cs="仿宋_GB2312" w:eastAsia="仿宋_GB2312"/>
                <w:sz w:val="21"/>
              </w:rPr>
              <w:t>5）协助学校校园网络改造优化工作，在服务期内提供免费的技术支撑保障，配合学校做好校园网出口优化；</w:t>
            </w:r>
          </w:p>
          <w:p>
            <w:pPr>
              <w:pStyle w:val="null3"/>
            </w:pPr>
            <w:r>
              <w:rPr>
                <w:rFonts w:ascii="仿宋_GB2312" w:hAnsi="仿宋_GB2312" w:cs="仿宋_GB2312" w:eastAsia="仿宋_GB2312"/>
                <w:sz w:val="21"/>
                <w:b/>
              </w:rPr>
              <w:t>二、服务内容</w:t>
            </w:r>
          </w:p>
          <w:p>
            <w:pPr>
              <w:pStyle w:val="null3"/>
            </w:pPr>
            <w:r>
              <w:rPr>
                <w:rFonts w:ascii="仿宋_GB2312" w:hAnsi="仿宋_GB2312" w:cs="仿宋_GB2312" w:eastAsia="仿宋_GB2312"/>
                <w:sz w:val="21"/>
              </w:rPr>
              <w:t>1、为西北政法大学提供教育网出口带宽服务，带宽要求IPv4 ≥800Mbps（主干带宽≥500Mbps,省网带宽≥3</w:t>
            </w:r>
            <w:r>
              <w:rPr>
                <w:rFonts w:ascii="仿宋_GB2312" w:hAnsi="仿宋_GB2312" w:cs="仿宋_GB2312" w:eastAsia="仿宋_GB2312"/>
                <w:sz w:val="21"/>
              </w:rPr>
              <w:t>00Mbps），IPv6 ≥ 800Mbps（主干带宽≥500Mbps,省网带宽≥300Mbps），带宽速率上下行对等，采用万兆端口连接西北政法大学校园网；</w:t>
            </w:r>
          </w:p>
          <w:p>
            <w:pPr>
              <w:pStyle w:val="null3"/>
            </w:pPr>
            <w:r>
              <w:rPr>
                <w:rFonts w:ascii="仿宋_GB2312" w:hAnsi="仿宋_GB2312" w:cs="仿宋_GB2312" w:eastAsia="仿宋_GB2312"/>
                <w:sz w:val="21"/>
              </w:rPr>
              <w:t>2、提供nwupl.edu.cn 域名；</w:t>
            </w:r>
          </w:p>
          <w:p>
            <w:pPr>
              <w:pStyle w:val="null3"/>
            </w:pPr>
            <w:r>
              <w:rPr>
                <w:rFonts w:ascii="仿宋_GB2312" w:hAnsi="仿宋_GB2312" w:cs="仿宋_GB2312" w:eastAsia="仿宋_GB2312"/>
                <w:sz w:val="21"/>
              </w:rPr>
              <w:t>3、提供教育网IPv4地址，要求地址数量不少于8个C类地址；</w:t>
            </w:r>
          </w:p>
          <w:p>
            <w:pPr>
              <w:pStyle w:val="null3"/>
            </w:pPr>
            <w:r>
              <w:rPr>
                <w:rFonts w:ascii="仿宋_GB2312" w:hAnsi="仿宋_GB2312" w:cs="仿宋_GB2312" w:eastAsia="仿宋_GB2312"/>
                <w:sz w:val="21"/>
              </w:rPr>
              <w:t>4、提供教育网IPv6地址，要求地址数量不少于一段/48位IPv6地址；</w:t>
            </w:r>
          </w:p>
          <w:p>
            <w:pPr>
              <w:pStyle w:val="null3"/>
            </w:pPr>
            <w:r>
              <w:rPr>
                <w:rFonts w:ascii="仿宋_GB2312" w:hAnsi="仿宋_GB2312" w:cs="仿宋_GB2312" w:eastAsia="仿宋_GB2312"/>
                <w:sz w:val="21"/>
              </w:rPr>
              <w:t>5、提供双栈，同时提供IPv4和IPv6网络；</w:t>
            </w:r>
          </w:p>
          <w:p>
            <w:pPr>
              <w:pStyle w:val="null3"/>
            </w:pPr>
            <w:r>
              <w:rPr>
                <w:rFonts w:ascii="仿宋_GB2312" w:hAnsi="仿宋_GB2312" w:cs="仿宋_GB2312" w:eastAsia="仿宋_GB2312"/>
                <w:sz w:val="21"/>
              </w:rPr>
              <w:t>6、保证学校教育网出口带宽的稳定性，使用独享光缆将学校出口上联至教育网主干节点，并保障光缆的连通性；</w:t>
            </w:r>
          </w:p>
          <w:p>
            <w:pPr>
              <w:pStyle w:val="null3"/>
            </w:pPr>
            <w:r>
              <w:rPr>
                <w:rFonts w:ascii="仿宋_GB2312" w:hAnsi="仿宋_GB2312" w:cs="仿宋_GB2312" w:eastAsia="仿宋_GB2312"/>
                <w:sz w:val="21"/>
              </w:rPr>
              <w:t>7、提供基于教育网的服务保障，服务期内免费为学校提供网络安全巡检服务，不少于1次/月，在特殊敏感时期，为学校提供站点、业务系统的安全保障服务；</w:t>
            </w:r>
          </w:p>
          <w:p>
            <w:pPr>
              <w:pStyle w:val="null3"/>
            </w:pPr>
            <w:r>
              <w:rPr>
                <w:rFonts w:ascii="仿宋_GB2312" w:hAnsi="仿宋_GB2312" w:cs="仿宋_GB2312" w:eastAsia="仿宋_GB2312"/>
                <w:sz w:val="21"/>
              </w:rPr>
              <w:t>8、提供Eduroam、CARSI等服务的保障，协助学校完成系统维护；</w:t>
            </w:r>
          </w:p>
          <w:p>
            <w:pPr>
              <w:pStyle w:val="null3"/>
            </w:pPr>
            <w:r>
              <w:rPr>
                <w:rFonts w:ascii="仿宋_GB2312" w:hAnsi="仿宋_GB2312" w:cs="仿宋_GB2312" w:eastAsia="仿宋_GB2312"/>
                <w:sz w:val="21"/>
              </w:rPr>
              <w:t>9、在学校大型活动及重要会议期间，根据学校需要提供临时带宽扩容、带宽稳定性等服务保障；</w:t>
            </w:r>
          </w:p>
          <w:p>
            <w:pPr>
              <w:pStyle w:val="null3"/>
            </w:pPr>
            <w:r>
              <w:rPr>
                <w:rFonts w:ascii="仿宋_GB2312" w:hAnsi="仿宋_GB2312" w:cs="仿宋_GB2312" w:eastAsia="仿宋_GB2312"/>
                <w:sz w:val="21"/>
              </w:rPr>
              <w:t>10、协助学校校园网络改造优化工作，在服务期内提供免费的技术支撑保障，配合学校做好校园网出口优化；</w:t>
            </w:r>
          </w:p>
          <w:p>
            <w:pPr>
              <w:pStyle w:val="null3"/>
            </w:pPr>
            <w:r>
              <w:rPr>
                <w:rFonts w:ascii="仿宋_GB2312" w:hAnsi="仿宋_GB2312" w:cs="仿宋_GB2312" w:eastAsia="仿宋_GB2312"/>
                <w:sz w:val="21"/>
              </w:rPr>
              <w:t>11、国际资源访问方面，要求访问主流国际期刊文献网站访问延迟低于255ms,丢包率低于3%；提供测试数据截图；</w:t>
            </w:r>
          </w:p>
          <w:p>
            <w:pPr>
              <w:pStyle w:val="null3"/>
            </w:pPr>
            <w:r>
              <w:rPr>
                <w:rFonts w:ascii="仿宋_GB2312" w:hAnsi="仿宋_GB2312" w:cs="仿宋_GB2312" w:eastAsia="仿宋_GB2312"/>
                <w:sz w:val="21"/>
                <w:b/>
              </w:rPr>
              <w:t>三</w:t>
            </w:r>
            <w:r>
              <w:rPr>
                <w:rFonts w:ascii="仿宋_GB2312" w:hAnsi="仿宋_GB2312" w:cs="仿宋_GB2312" w:eastAsia="仿宋_GB2312"/>
                <w:sz w:val="21"/>
                <w:b/>
              </w:rPr>
              <w:t>、网络服务方案</w:t>
            </w:r>
          </w:p>
          <w:p>
            <w:pPr>
              <w:pStyle w:val="null3"/>
            </w:pPr>
            <w:r>
              <w:rPr>
                <w:rFonts w:ascii="仿宋_GB2312" w:hAnsi="仿宋_GB2312" w:cs="仿宋_GB2312" w:eastAsia="仿宋_GB2312"/>
                <w:sz w:val="21"/>
              </w:rPr>
              <w:t>校园网是大学教育的基础设施，设计必须满足当前各项需求应用，又面向未来快速增长的发展需求，因此必须是高质量的、高安全可靠灵活的、开放的。我们在进行设计时，遵循以下设计原则：</w:t>
            </w:r>
          </w:p>
          <w:p>
            <w:pPr>
              <w:pStyle w:val="null3"/>
              <w:ind w:firstLine="315"/>
            </w:pPr>
            <w:r>
              <w:rPr>
                <w:rFonts w:ascii="仿宋_GB2312" w:hAnsi="仿宋_GB2312" w:cs="仿宋_GB2312" w:eastAsia="仿宋_GB2312"/>
                <w:sz w:val="21"/>
              </w:rPr>
              <w:t>具备高度的可靠性，具备抵抗设备故障、线路故障和环境风险等因素的能力，保障用户应用系统的正常运行；</w:t>
            </w:r>
          </w:p>
          <w:p>
            <w:pPr>
              <w:pStyle w:val="null3"/>
              <w:ind w:firstLine="210"/>
            </w:pPr>
            <w:r>
              <w:rPr>
                <w:rFonts w:ascii="仿宋_GB2312" w:hAnsi="仿宋_GB2312" w:cs="仿宋_GB2312" w:eastAsia="仿宋_GB2312"/>
                <w:sz w:val="21"/>
              </w:rPr>
              <w:t>具备高度的实用性、先进性，采用先进成熟的技术和设备，满足当前的需求，兼顾未来的业务需求，尽可能采用最先进的技术、设备，以适应高速的数据传输需要，在一段时期内保持技术的先进性，并具有良好的发展潜力，以适应未来信息产业业务的发展和技术升级的需要。</w:t>
            </w:r>
          </w:p>
          <w:p>
            <w:pPr>
              <w:pStyle w:val="null3"/>
              <w:ind w:firstLine="210"/>
            </w:pPr>
            <w:r>
              <w:rPr>
                <w:rFonts w:ascii="仿宋_GB2312" w:hAnsi="仿宋_GB2312" w:cs="仿宋_GB2312" w:eastAsia="仿宋_GB2312"/>
                <w:sz w:val="21"/>
              </w:rPr>
              <w:t>具备高度的安全性，符合国家安全性的要求；</w:t>
            </w:r>
          </w:p>
          <w:p>
            <w:pPr>
              <w:pStyle w:val="null3"/>
              <w:ind w:firstLine="210"/>
            </w:pPr>
            <w:r>
              <w:rPr>
                <w:rFonts w:ascii="仿宋_GB2312" w:hAnsi="仿宋_GB2312" w:cs="仿宋_GB2312" w:eastAsia="仿宋_GB2312"/>
                <w:sz w:val="21"/>
              </w:rPr>
              <w:t>具备高度的可管理性，能够对线路和设备进行有效监测、快速响应和及时排除故障；提供</w:t>
            </w:r>
            <w:r>
              <w:rPr>
                <w:rFonts w:ascii="仿宋_GB2312" w:hAnsi="仿宋_GB2312" w:cs="仿宋_GB2312" w:eastAsia="仿宋_GB2312"/>
                <w:sz w:val="21"/>
              </w:rPr>
              <w:t>24小 时监控系统，对网络进行有效快速的监控；</w:t>
            </w:r>
          </w:p>
          <w:p>
            <w:pPr>
              <w:pStyle w:val="null3"/>
              <w:ind w:firstLine="210"/>
            </w:pPr>
            <w:r>
              <w:rPr>
                <w:rFonts w:ascii="仿宋_GB2312" w:hAnsi="仿宋_GB2312" w:cs="仿宋_GB2312" w:eastAsia="仿宋_GB2312"/>
                <w:sz w:val="21"/>
              </w:rPr>
              <w:t>具备灵活性与可扩展性，网络具有可扩展性，能够根据今后业务不断深入发展的需要，提高用户数量和质量。</w:t>
            </w:r>
          </w:p>
          <w:p>
            <w:pPr>
              <w:pStyle w:val="null3"/>
              <w:ind w:firstLine="210"/>
            </w:pPr>
            <w:r>
              <w:rPr>
                <w:rFonts w:ascii="仿宋_GB2312" w:hAnsi="仿宋_GB2312" w:cs="仿宋_GB2312" w:eastAsia="仿宋_GB2312"/>
                <w:sz w:val="21"/>
              </w:rPr>
              <w:t>网络采用标准化管理，基于国际标准和国家颁布的有关标准，包括计算机局域网、广域网标准，坚持统一规范的原则，从而为未来的业务发展，设备增容奠定基础。</w:t>
            </w:r>
          </w:p>
          <w:p>
            <w:pPr>
              <w:pStyle w:val="null3"/>
            </w:pPr>
            <w:r>
              <w:rPr>
                <w:rFonts w:ascii="仿宋_GB2312" w:hAnsi="仿宋_GB2312" w:cs="仿宋_GB2312" w:eastAsia="仿宋_GB2312"/>
                <w:sz w:val="21"/>
                <w:b/>
              </w:rPr>
              <w:t>四、接入拓扑图（详见附件）</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提供满足本项目服务需求的人员配置</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提供满足本项目服务需求的设施设备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西北政法大学指定地点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合同生效后分四次按季度支付，支付时乙方需提供全额增值税普通发票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合同生效后分四次按季度支付，支付时乙方需提供全额增值税普通发票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合同生效后分四次按季度支付，支付时乙方需提供全额增值税普通发票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合同生效后分四次按季度支付，支付时乙方需提供全额增值税普通发票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供应商需要在线提交所有通过电子化交易平台实施的政府采购项目的投标文件，同时，线下提交纸质投标文件正本壹份、副本贰份。 纸质投标文件正副本需胶装，标明供应商名称密封递交，递交截止时间同在线递交电子投标文件截止时间一致。 若电子投标文件与纸质投标文件不一致的，以电子投标文件为准。 线下递交文件时间：同开标时间 线下递交文件地点：西安市高新区唐延路旺座现代城C座2502室；若选择邮寄，请邮寄至2502室。 邮箱：sxwzzb123@163.com</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供应商资格证明资料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投标主体</w:t>
            </w:r>
          </w:p>
        </w:tc>
        <w:tc>
          <w:tcPr>
            <w:tcW w:type="dxa" w:w="3322"/>
          </w:tcPr>
          <w:p>
            <w:pPr>
              <w:pStyle w:val="null3"/>
            </w:pPr>
            <w:r>
              <w:rPr>
                <w:rFonts w:ascii="仿宋_GB2312" w:hAnsi="仿宋_GB2312" w:cs="仿宋_GB2312" w:eastAsia="仿宋_GB2312"/>
              </w:rPr>
              <w:t>提供合格有效的法人或其他组织的营业执照等证明文件，自然人参与的提供其身份证。</w:t>
            </w:r>
          </w:p>
        </w:tc>
        <w:tc>
          <w:tcPr>
            <w:tcW w:type="dxa" w:w="1661"/>
          </w:tcPr>
          <w:p>
            <w:pPr>
              <w:pStyle w:val="null3"/>
            </w:pPr>
            <w:r>
              <w:rPr>
                <w:rFonts w:ascii="仿宋_GB2312" w:hAnsi="仿宋_GB2312" w:cs="仿宋_GB2312" w:eastAsia="仿宋_GB2312"/>
              </w:rPr>
              <w:t>供应商资格证明资料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非法定代表人参加投标的，须提供法定代表人授权委托书及被授权人身份证及近三个月在本单位缴纳社保的证明；法定代表人参加投标时,只须提供法定代表人身份证。</w:t>
            </w:r>
          </w:p>
        </w:tc>
        <w:tc>
          <w:tcPr>
            <w:tcW w:type="dxa" w:w="1661"/>
          </w:tcPr>
          <w:p>
            <w:pPr>
              <w:pStyle w:val="null3"/>
            </w:pPr>
            <w:r>
              <w:rPr>
                <w:rFonts w:ascii="仿宋_GB2312" w:hAnsi="仿宋_GB2312" w:cs="仿宋_GB2312" w:eastAsia="仿宋_GB2312"/>
              </w:rPr>
              <w:t>供应商资格证明资料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07月至今已缴存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供应商资格证明资料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提供2024年07月至今已缴纳的至少一个月的纳税证明或完税证明；依法免税的单位应提供相关证明材料。（以税收所属时期为准）</w:t>
            </w:r>
          </w:p>
        </w:tc>
        <w:tc>
          <w:tcPr>
            <w:tcW w:type="dxa" w:w="1661"/>
          </w:tcPr>
          <w:p>
            <w:pPr>
              <w:pStyle w:val="null3"/>
            </w:pPr>
            <w:r>
              <w:rPr>
                <w:rFonts w:ascii="仿宋_GB2312" w:hAnsi="仿宋_GB2312" w:cs="仿宋_GB2312" w:eastAsia="仿宋_GB2312"/>
              </w:rPr>
              <w:t>供应商资格证明资料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2024年完整的财务审计报告，或在开标日期前六个月内其基本开户银行出具的资信证明；(若投标人成立时间不足六个月，需提供成立至今的财务状况证明材料或成立至开标日期前的基本开户银行出具的资信证明)。</w:t>
            </w:r>
          </w:p>
        </w:tc>
        <w:tc>
          <w:tcPr>
            <w:tcW w:type="dxa" w:w="1661"/>
          </w:tcPr>
          <w:p>
            <w:pPr>
              <w:pStyle w:val="null3"/>
            </w:pPr>
            <w:r>
              <w:rPr>
                <w:rFonts w:ascii="仿宋_GB2312" w:hAnsi="仿宋_GB2312" w:cs="仿宋_GB2312" w:eastAsia="仿宋_GB2312"/>
              </w:rPr>
              <w:t>供应商资格证明资料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供应商信誉证明</w:t>
            </w:r>
          </w:p>
        </w:tc>
        <w:tc>
          <w:tcPr>
            <w:tcW w:type="dxa" w:w="3322"/>
          </w:tcPr>
          <w:p>
            <w:pPr>
              <w:pStyle w:val="null3"/>
            </w:pPr>
            <w:r>
              <w:rPr>
                <w:rFonts w:ascii="仿宋_GB2312" w:hAnsi="仿宋_GB2312" w:cs="仿宋_GB2312" w:eastAsia="仿宋_GB2312"/>
              </w:rPr>
              <w:t>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tc>
        <w:tc>
          <w:tcPr>
            <w:tcW w:type="dxa" w:w="1661"/>
          </w:tcPr>
          <w:p>
            <w:pPr>
              <w:pStyle w:val="null3"/>
            </w:pPr>
            <w:r>
              <w:rPr>
                <w:rFonts w:ascii="仿宋_GB2312" w:hAnsi="仿宋_GB2312" w:cs="仿宋_GB2312" w:eastAsia="仿宋_GB2312"/>
              </w:rPr>
              <w:t>供应商资格证明资料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本项目不接受联合体响应，供应商应提供非联合体声明函（格式自拟）</w:t>
            </w:r>
          </w:p>
        </w:tc>
        <w:tc>
          <w:tcPr>
            <w:tcW w:type="dxa" w:w="1661"/>
          </w:tcPr>
          <w:p>
            <w:pPr>
              <w:pStyle w:val="null3"/>
            </w:pPr>
            <w:r>
              <w:rPr>
                <w:rFonts w:ascii="仿宋_GB2312" w:hAnsi="仿宋_GB2312" w:cs="仿宋_GB2312" w:eastAsia="仿宋_GB2312"/>
              </w:rPr>
              <w:t>供应商资格证明资料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响应报价是否超过预算或最高限价</w:t>
            </w:r>
          </w:p>
        </w:tc>
        <w:tc>
          <w:tcPr>
            <w:tcW w:type="dxa" w:w="1661"/>
          </w:tcPr>
          <w:p>
            <w:pPr>
              <w:pStyle w:val="null3"/>
            </w:pPr>
            <w:r>
              <w:rPr>
                <w:rFonts w:ascii="仿宋_GB2312" w:hAnsi="仿宋_GB2312" w:cs="仿宋_GB2312" w:eastAsia="仿宋_GB2312"/>
              </w:rPr>
              <w:t>分项报价表 标的清单 响应一览表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服务期是否满足采购文件要求</w:t>
            </w:r>
          </w:p>
        </w:tc>
        <w:tc>
          <w:tcPr>
            <w:tcW w:type="dxa" w:w="1661"/>
          </w:tcPr>
          <w:p>
            <w:pPr>
              <w:pStyle w:val="null3"/>
            </w:pPr>
            <w:r>
              <w:rPr>
                <w:rFonts w:ascii="仿宋_GB2312" w:hAnsi="仿宋_GB2312" w:cs="仿宋_GB2312" w:eastAsia="仿宋_GB2312"/>
              </w:rPr>
              <w:t>商务和技术响应偏离表 报价表 响应一览表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谈判有效期是否满足采购文件要求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与采购文件商务要求条款不一致或增加了采购人难以接受的条款</w:t>
            </w:r>
          </w:p>
        </w:tc>
        <w:tc>
          <w:tcPr>
            <w:tcW w:type="dxa" w:w="1661"/>
          </w:tcPr>
          <w:p>
            <w:pPr>
              <w:pStyle w:val="null3"/>
            </w:pPr>
            <w:r>
              <w:rPr>
                <w:rFonts w:ascii="仿宋_GB2312" w:hAnsi="仿宋_GB2312" w:cs="仿宋_GB2312" w:eastAsia="仿宋_GB2312"/>
              </w:rPr>
              <w:t>商务和技术响应偏离表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响应文件签字、盖章是否满足采购文件要求</w:t>
            </w:r>
          </w:p>
        </w:tc>
        <w:tc>
          <w:tcPr>
            <w:tcW w:type="dxa" w:w="1661"/>
          </w:tcPr>
          <w:p>
            <w:pPr>
              <w:pStyle w:val="null3"/>
            </w:pPr>
            <w:r>
              <w:rPr>
                <w:rFonts w:ascii="仿宋_GB2312" w:hAnsi="仿宋_GB2312" w:cs="仿宋_GB2312" w:eastAsia="仿宋_GB2312"/>
              </w:rPr>
              <w:t>供应商资格证明资料 分项报价表 中小企业声明函 商务和技术响应偏离表 供应商认为其他有必要说明的其他问题 报价表 响应一览表 谈判保证金 响应文件封面 残疾人福利性单位声明函 服务方案 陕西省政府采购供应商拒绝政府采购领域商业贿赂承诺书 标的清单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法律法规和实质性要求：是否符合法律法规和采购文件规定的其他实质性要求</w:t>
            </w:r>
          </w:p>
        </w:tc>
        <w:tc>
          <w:tcPr>
            <w:tcW w:type="dxa" w:w="1661"/>
          </w:tcPr>
          <w:p>
            <w:pPr>
              <w:pStyle w:val="null3"/>
            </w:pPr>
            <w:r>
              <w:rPr>
                <w:rFonts w:ascii="仿宋_GB2312" w:hAnsi="仿宋_GB2312" w:cs="仿宋_GB2312" w:eastAsia="仿宋_GB2312"/>
              </w:rPr>
              <w:t>陕西省政府采购供应商拒绝政府采购领域商业贿赂承诺书</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详见附件：响应一览表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详见附件：供应商资格证明资料</w:t>
      </w:r>
    </w:p>
    <w:p>
      <w:pPr>
        <w:pStyle w:val="null3"/>
        <w:ind w:firstLine="960"/>
      </w:pPr>
      <w:r>
        <w:rPr>
          <w:rFonts w:ascii="仿宋_GB2312" w:hAnsi="仿宋_GB2312" w:cs="仿宋_GB2312" w:eastAsia="仿宋_GB2312"/>
        </w:rPr>
        <w:t>详见附件：商务和技术响应偏离表</w:t>
      </w:r>
    </w:p>
    <w:p>
      <w:pPr>
        <w:pStyle w:val="null3"/>
        <w:ind w:firstLine="960"/>
      </w:pPr>
      <w:r>
        <w:rPr>
          <w:rFonts w:ascii="仿宋_GB2312" w:hAnsi="仿宋_GB2312" w:cs="仿宋_GB2312" w:eastAsia="仿宋_GB2312"/>
        </w:rPr>
        <w:t>详见附件：谈判保证金</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详见附件：供应商认为其他有必要说明的其他问题</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