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版本号：THXZB2025-105420250731002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金花校区纺织学院实验室内部环境提升工程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THXZB2025-1054</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金花校区纺织学院实验室内部环境提升工程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金花校区纺织学院实验室内部环境提升工程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本项目是针对纺织楼1-3层所有房间、5层525室及机电楼424室内部环境进行提升，本项目的工程建筑面积约为： 6410.45m2,楼体结构为砖混结构。施工地点为西安工程大学金花校区纺织楼及机电楼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采购包1（金花校区纺织学院实验室内部环境提升工程）：属于专门面向小微企业采购。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人或被授权人身份证明：法定代表人直接磋商须提交其身份证复印件，法定代表人授权代表参加磋商的，须出具授权书及被授权人身份证复印件、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磋商截止时间前十二个月内任意三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磋商截止时间前十二个月内任意三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无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企业资质：供应商须具备建设部门颁发的建筑工程施工总承包三级(含)及以上资质或建筑装修装饰工程专业承包二级(含)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10、拟派项目负责人：拟派项目负责人须具备建筑工程专业二级(含)及以上注册建造师执业资格和有效的安全生产考核合格证书（建安B证），在本单位注册，且无在建项目（提供无在建承诺），供应商需在项目电子化交易系统中按要求上传相应证明文件并进行电子签章。</w:t>
      </w:r>
    </w:p>
    <w:p>
      <w:pPr>
        <w:pStyle w:val="null3"/>
      </w:pPr>
      <w:r>
        <w:rPr>
          <w:rFonts w:ascii="仿宋_GB2312" w:hAnsi="仿宋_GB2312" w:cs="仿宋_GB2312" w:eastAsia="仿宋_GB2312"/>
        </w:rPr>
        <w:t>11、供应商信息查询：供应商基本信息及项目经理基本信息应在陕西省建筑市场监管与诚信信息发布平台可查询，供应商需在项目电子化交易系统中按要求上传相应证明文件并进行电子签章。</w:t>
      </w:r>
    </w:p>
    <w:p>
      <w:pPr>
        <w:pStyle w:val="null3"/>
      </w:pPr>
      <w:r>
        <w:rPr>
          <w:rFonts w:ascii="仿宋_GB2312" w:hAnsi="仿宋_GB2312" w:cs="仿宋_GB2312" w:eastAsia="仿宋_GB2312"/>
        </w:rPr>
        <w:t>12、中小企业声明函：本项目专门面向小微企业采购，仅限符合《政府采购促进中小企业发展管理办法》（财库〔2020〕46号）条件的小型或者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采购包1：870,198.32元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说明：（1）供应商成交后凭中标通知书向采购人缴纳成交金额的5%作为履约保证金； （2）履约保证金应使用人民币，可选择使用银行转账、支票、汇票、本票或者金融机构、担保机构出具的保函等非现金形式缴纳或提交； （3）采购人验收合格后，成交供应商提出书面申请，采购人将履约保证金（无息）退还成交供应商。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代理服务费收费标准：参照国家发展和改革委员会《招标代理服务收费暂行办法》（计价格[2002]1980号）和国家发展改革委（发改价格[2003]857号）文件规定计取，以中标金额作为基数，差额累进法进行计算。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踏勘时间：2025-08-04 09:00:00</w:t>
            </w:r>
          </w:p>
          <w:p>
            <w:pPr>
              <w:pStyle w:val="null3"/>
              <w:ind w:firstLine="975"/>
            </w:pPr>
            <w:r>
              <w:rPr>
                <w:rFonts w:ascii="仿宋_GB2312" w:hAnsi="仿宋_GB2312" w:cs="仿宋_GB2312" w:eastAsia="仿宋_GB2312"/>
              </w:rPr>
              <w:t>踏勘地点： 金花校区2号楼（纺织楼门口）</w:t>
            </w:r>
          </w:p>
          <w:p>
            <w:pPr>
              <w:pStyle w:val="null3"/>
              <w:ind w:firstLine="975"/>
            </w:pPr>
            <w:r>
              <w:rPr>
                <w:rFonts w:ascii="仿宋_GB2312" w:hAnsi="仿宋_GB2312" w:cs="仿宋_GB2312" w:eastAsia="仿宋_GB2312"/>
              </w:rPr>
              <w:t>联系人：王工（领取文件后第一时间联系）</w:t>
            </w:r>
          </w:p>
          <w:p>
            <w:pPr>
              <w:pStyle w:val="null3"/>
              <w:ind w:firstLine="975"/>
            </w:pPr>
            <w:r>
              <w:rPr>
                <w:rFonts w:ascii="仿宋_GB2312" w:hAnsi="仿宋_GB2312" w:cs="仿宋_GB2312" w:eastAsia="仿宋_GB2312"/>
              </w:rPr>
              <w:t>联系电话号码：13319210869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需满足国家建筑工程施工及验收规范标准以及材料、设备所涉及的现行国家、省、市或行业的工程建设标准、规范的要求。 符合本工程磋商文件技术要求及国家、行业标准，达到合格标准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联系电话：02988210791转811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870,198.32</w:t>
      </w:r>
    </w:p>
    <w:p>
      <w:pPr>
        <w:pStyle w:val="null3"/>
      </w:pPr>
      <w:r>
        <w:rPr>
          <w:rFonts w:ascii="仿宋_GB2312" w:hAnsi="仿宋_GB2312" w:cs="仿宋_GB2312" w:eastAsia="仿宋_GB2312"/>
        </w:rPr>
        <w:t>采购包最高限价（元）: 870,198.32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金花校区纺织学院实验室内部环境提升工程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870,198.32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标的名称：金花校区纺织学院实验室内部环境提升工程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1、施工工程包括：</w:t>
            </w:r>
          </w:p>
          <w:p>
            <w:pPr>
              <w:pStyle w:val="null3"/>
              <w:jc w:val="both"/>
            </w:pPr>
            <w:r>
              <w:rPr>
                <w:rFonts w:ascii="仿宋_GB2312" w:hAnsi="仿宋_GB2312" w:cs="仿宋_GB2312" w:eastAsia="仿宋_GB2312"/>
                <w:sz w:val="24"/>
              </w:rPr>
              <w:t>（1）墙面涂料铲除，新作乳胶漆墙面；（2）顶面涂料铲除，新作无机涂料顶棚；（3）地面塑胶铲除，新作金刚砂自流坪；（4）现状灯具拆除，新作LED矩形灯；（5）强电线路改造，新作插座；（6）暖气罩拆除新作；（7）现状黑板拆除并换新；（8）新增双层钢化玻璃隔断；（9）新作多人不锈钢洗手池；（10）现状大型设备拆装及搬运挪移等。</w:t>
            </w:r>
          </w:p>
          <w:p>
            <w:pPr>
              <w:pStyle w:val="null3"/>
              <w:jc w:val="both"/>
            </w:pPr>
            <w:r>
              <w:rPr>
                <w:rFonts w:ascii="仿宋_GB2312" w:hAnsi="仿宋_GB2312" w:cs="仿宋_GB2312" w:eastAsia="仿宋_GB2312"/>
                <w:sz w:val="24"/>
              </w:rPr>
              <w:t>注：具体工程内容以设计图纸及工程量清单为准。</w:t>
            </w:r>
          </w:p>
          <w:p>
            <w:pPr>
              <w:pStyle w:val="null3"/>
              <w:jc w:val="both"/>
            </w:pPr>
            <w:r>
              <w:rPr>
                <w:rFonts w:ascii="仿宋_GB2312" w:hAnsi="仿宋_GB2312" w:cs="仿宋_GB2312" w:eastAsia="仿宋_GB2312"/>
              </w:rPr>
              <w:t>2、</w:t>
            </w:r>
            <w:r>
              <w:rPr>
                <w:rFonts w:ascii="仿宋_GB2312" w:hAnsi="仿宋_GB2312" w:cs="仿宋_GB2312" w:eastAsia="仿宋_GB2312"/>
                <w:sz w:val="24"/>
              </w:rPr>
              <w:t>项目需执行的国家标准、行业标准、地方标准或者其他标准、规范等</w:t>
            </w:r>
          </w:p>
          <w:tbl>
            <w:tblPr>
              <w:tblInd w:type="dxa" w:w="390"/>
              <w:tblBorders>
                <w:top w:val="none" w:color="000000" w:sz="4"/>
                <w:left w:val="none" w:color="000000" w:sz="4"/>
                <w:bottom w:val="none" w:color="000000" w:sz="4"/>
                <w:right w:val="none" w:color="000000" w:sz="4"/>
                <w:insideH w:val="none"/>
                <w:insideV w:val="none"/>
              </w:tblBorders>
            </w:tblPr>
            <w:tblGrid>
              <w:gridCol w:w="318"/>
              <w:gridCol w:w="2235"/>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标准、规范、规程名称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《民用建筑电气设计标准》</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《建筑设计防火规范》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《建筑物防雷设计规范》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《建筑照明设计标准》</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《供配电系统设计规范》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《低压配电设计规范》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《综合布线系统工程设计规范》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《教育建筑电气设计规范》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《消防应急照明和疏散指示系统技术标准》</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《建筑电气与智能化通用规范》</w:t>
                  </w:r>
                </w:p>
              </w:tc>
            </w:tr>
          </w:tbl>
          <w:p>
            <w:pPr>
              <w:pStyle w:val="null3"/>
            </w:pPr>
            <w:r>
              <w:rPr>
                <w:rFonts w:ascii="仿宋_GB2312" w:hAnsi="仿宋_GB2312" w:cs="仿宋_GB2312" w:eastAsia="仿宋_GB2312"/>
              </w:rPr>
              <w:t>3、</w:t>
            </w:r>
            <w:r>
              <w:rPr>
                <w:rFonts w:ascii="仿宋_GB2312" w:hAnsi="仿宋_GB2312" w:cs="仿宋_GB2312" w:eastAsia="仿宋_GB2312"/>
                <w:sz w:val="24"/>
              </w:rPr>
              <w:t>主要</w:t>
            </w:r>
            <w:r>
              <w:rPr>
                <w:rFonts w:ascii="仿宋_GB2312" w:hAnsi="仿宋_GB2312" w:cs="仿宋_GB2312" w:eastAsia="仿宋_GB2312"/>
                <w:sz w:val="24"/>
              </w:rPr>
              <w:t>材料</w:t>
            </w:r>
            <w:r>
              <w:rPr>
                <w:rFonts w:ascii="仿宋_GB2312" w:hAnsi="仿宋_GB2312" w:cs="仿宋_GB2312" w:eastAsia="仿宋_GB2312"/>
                <w:sz w:val="24"/>
              </w:rPr>
              <w:t>、</w:t>
            </w:r>
            <w:r>
              <w:rPr>
                <w:rFonts w:ascii="仿宋_GB2312" w:hAnsi="仿宋_GB2312" w:cs="仿宋_GB2312" w:eastAsia="仿宋_GB2312"/>
                <w:sz w:val="24"/>
              </w:rPr>
              <w:t>设备</w:t>
            </w:r>
            <w:r>
              <w:rPr>
                <w:rFonts w:ascii="仿宋_GB2312" w:hAnsi="仿宋_GB2312" w:cs="仿宋_GB2312" w:eastAsia="仿宋_GB2312"/>
                <w:sz w:val="24"/>
              </w:rPr>
              <w:t>规格型号及技术参数要求</w:t>
            </w:r>
          </w:p>
          <w:tbl>
            <w:tblPr>
              <w:tblBorders>
                <w:top w:val="none" w:color="000000" w:sz="4"/>
                <w:left w:val="none" w:color="000000" w:sz="4"/>
                <w:bottom w:val="none" w:color="000000" w:sz="4"/>
                <w:right w:val="none" w:color="000000" w:sz="4"/>
                <w:insideH w:val="none"/>
                <w:insideV w:val="none"/>
              </w:tblBorders>
            </w:tblPr>
            <w:tblGrid>
              <w:gridCol w:w="314"/>
              <w:gridCol w:w="639"/>
              <w:gridCol w:w="983"/>
              <w:gridCol w:w="863"/>
              <w:gridCol w:w="386"/>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材料（设备）名称</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规格型号</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技术参数、性能指标及配置要求</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金刚砂自流平地面</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厚</w:t>
                  </w:r>
                  <w:r>
                    <w:rPr>
                      <w:rFonts w:ascii="仿宋_GB2312" w:hAnsi="仿宋_GB2312" w:cs="仿宋_GB2312" w:eastAsia="仿宋_GB2312"/>
                      <w:sz w:val="18"/>
                      <w:color w:val="000000"/>
                    </w:rPr>
                    <w:t>DS M20</w:t>
                  </w:r>
                  <w:r>
                    <w:rPr>
                      <w:rFonts w:ascii="仿宋_GB2312" w:hAnsi="仿宋_GB2312" w:cs="仿宋_GB2312" w:eastAsia="仿宋_GB2312"/>
                      <w:sz w:val="18"/>
                      <w:color w:val="000000"/>
                    </w:rPr>
                    <w:t>砂浆（</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2.5</w:t>
                  </w:r>
                  <w:r>
                    <w:rPr>
                      <w:rFonts w:ascii="仿宋_GB2312" w:hAnsi="仿宋_GB2312" w:cs="仿宋_GB2312" w:eastAsia="仿宋_GB2312"/>
                      <w:sz w:val="18"/>
                      <w:color w:val="000000"/>
                    </w:rPr>
                    <w:t>水泥砂浆）</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基层清理</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基层铺钉</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面层铺贴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乳胶漆</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乳胶漆两底一面</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界面剂一道</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基层清理</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刷防护材料、油漆</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无机涂料天棚</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白色无机涂料</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水泥砂浆找平</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基层清理</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刷防护材料、油漆</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双层钢化玻璃隔断</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TP6+1.52PVB+TP6</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制作、安装双层钢化玻璃隔断</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教室内配电箱</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HX XRM301A</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250*250*90mm</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基础型钢制作、安装</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箱体安装</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电气配管</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PC20</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刨沟槽</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接地</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电气配线</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WDZN-BYJ-2.5(</w:t>
                  </w:r>
                  <w:r>
                    <w:rPr>
                      <w:rFonts w:ascii="仿宋_GB2312" w:hAnsi="仿宋_GB2312" w:cs="仿宋_GB2312" w:eastAsia="仿宋_GB2312"/>
                      <w:sz w:val="18"/>
                      <w:color w:val="000000"/>
                    </w:rPr>
                    <w:t>照明</w:t>
                  </w:r>
                  <w:r>
                    <w:br/>
                  </w:r>
                  <w:r>
                    <w:rPr>
                      <w:rFonts w:ascii="仿宋_GB2312" w:hAnsi="仿宋_GB2312" w:cs="仿宋_GB2312" w:eastAsia="仿宋_GB2312"/>
                      <w:sz w:val="18"/>
                      <w:color w:val="000000"/>
                    </w:rPr>
                    <w:t>)</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管内穿线，无卤低烟阻燃</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电气配线</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WDZN-BYJ-4.0(</w:t>
                  </w:r>
                  <w:r>
                    <w:rPr>
                      <w:rFonts w:ascii="仿宋_GB2312" w:hAnsi="仿宋_GB2312" w:cs="仿宋_GB2312" w:eastAsia="仿宋_GB2312"/>
                      <w:sz w:val="18"/>
                      <w:color w:val="000000"/>
                    </w:rPr>
                    <w:t>照明</w:t>
                  </w:r>
                  <w:r>
                    <w:br/>
                  </w:r>
                  <w:r>
                    <w:rPr>
                      <w:rFonts w:ascii="仿宋_GB2312" w:hAnsi="仿宋_GB2312" w:cs="仿宋_GB2312" w:eastAsia="仿宋_GB2312"/>
                      <w:sz w:val="18"/>
                      <w:color w:val="000000"/>
                    </w:rPr>
                    <w:t>)</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管内穿线，无卤低烟阻燃</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装饰灯</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平板灯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1500*300</w:t>
                  </w:r>
                  <w:r>
                    <w:rPr>
                      <w:rFonts w:ascii="仿宋_GB2312" w:hAnsi="仿宋_GB2312" w:cs="仿宋_GB2312" w:eastAsia="仿宋_GB2312"/>
                      <w:sz w:val="18"/>
                      <w:color w:val="000000"/>
                    </w:rPr>
                    <w:t>、</w:t>
                  </w:r>
                  <w:r>
                    <w:rPr>
                      <w:rFonts w:ascii="仿宋_GB2312" w:hAnsi="仿宋_GB2312" w:cs="仿宋_GB2312" w:eastAsia="仿宋_GB2312"/>
                      <w:sz w:val="18"/>
                      <w:color w:val="000000"/>
                    </w:rPr>
                    <w:t>2*28W</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支架制作、安装</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双联开关</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250V 10A</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成套插座</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250V 10A</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安装</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焊、压接线端子</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bl>
          <w:p>
            <w:pPr>
              <w:pStyle w:val="null3"/>
            </w:pPr>
            <w:r>
              <w:rPr>
                <w:rFonts w:ascii="仿宋_GB2312" w:hAnsi="仿宋_GB2312" w:cs="仿宋_GB2312" w:eastAsia="仿宋_GB2312"/>
                <w:sz w:val="24"/>
              </w:rPr>
              <w:t>4、结算方式</w:t>
            </w:r>
          </w:p>
          <w:p>
            <w:pPr>
              <w:pStyle w:val="null3"/>
              <w:ind w:firstLine="480"/>
              <w:jc w:val="both"/>
            </w:pPr>
            <w:r>
              <w:rPr>
                <w:rFonts w:ascii="仿宋_GB2312" w:hAnsi="仿宋_GB2312" w:cs="仿宋_GB2312" w:eastAsia="仿宋_GB2312"/>
                <w:sz w:val="24"/>
              </w:rPr>
              <w:t>合同签订后，</w:t>
            </w:r>
            <w:r>
              <w:rPr>
                <w:rFonts w:ascii="仿宋_GB2312" w:hAnsi="仿宋_GB2312" w:cs="仿宋_GB2312" w:eastAsia="仿宋_GB2312"/>
                <w:sz w:val="24"/>
              </w:rPr>
              <w:t>施工方</w:t>
            </w:r>
            <w:r>
              <w:rPr>
                <w:rFonts w:ascii="仿宋_GB2312" w:hAnsi="仿宋_GB2312" w:cs="仿宋_GB2312" w:eastAsia="仿宋_GB2312"/>
                <w:sz w:val="24"/>
              </w:rPr>
              <w:t>向</w:t>
            </w:r>
            <w:r>
              <w:rPr>
                <w:rFonts w:ascii="仿宋_GB2312" w:hAnsi="仿宋_GB2312" w:cs="仿宋_GB2312" w:eastAsia="仿宋_GB2312"/>
                <w:sz w:val="24"/>
              </w:rPr>
              <w:t>校方</w:t>
            </w:r>
            <w:r>
              <w:rPr>
                <w:rFonts w:ascii="仿宋_GB2312" w:hAnsi="仿宋_GB2312" w:cs="仿宋_GB2312" w:eastAsia="仿宋_GB2312"/>
                <w:sz w:val="24"/>
              </w:rPr>
              <w:t>提供预付款等额的银行、保险公司等金融机构出具的预付款保函或其他担保措施，</w:t>
            </w:r>
            <w:r>
              <w:rPr>
                <w:rFonts w:ascii="仿宋_GB2312" w:hAnsi="仿宋_GB2312" w:cs="仿宋_GB2312" w:eastAsia="仿宋_GB2312"/>
                <w:sz w:val="24"/>
              </w:rPr>
              <w:t>校</w:t>
            </w:r>
            <w:r>
              <w:rPr>
                <w:rFonts w:ascii="仿宋_GB2312" w:hAnsi="仿宋_GB2312" w:cs="仿宋_GB2312" w:eastAsia="仿宋_GB2312"/>
                <w:sz w:val="24"/>
              </w:rPr>
              <w:t>方向</w:t>
            </w:r>
            <w:r>
              <w:rPr>
                <w:rFonts w:ascii="仿宋_GB2312" w:hAnsi="仿宋_GB2312" w:cs="仿宋_GB2312" w:eastAsia="仿宋_GB2312"/>
                <w:sz w:val="24"/>
              </w:rPr>
              <w:t>施工方</w:t>
            </w:r>
            <w:r>
              <w:rPr>
                <w:rFonts w:ascii="仿宋_GB2312" w:hAnsi="仿宋_GB2312" w:cs="仿宋_GB2312" w:eastAsia="仿宋_GB2312"/>
                <w:sz w:val="24"/>
              </w:rPr>
              <w:t>支付合同总价的40%作为预付款；正式审计报告出具后</w:t>
            </w:r>
            <w:r>
              <w:rPr>
                <w:rFonts w:ascii="仿宋_GB2312" w:hAnsi="仿宋_GB2312" w:cs="仿宋_GB2312" w:eastAsia="仿宋_GB2312"/>
                <w:sz w:val="24"/>
              </w:rPr>
              <w:t>校</w:t>
            </w:r>
            <w:r>
              <w:rPr>
                <w:rFonts w:ascii="仿宋_GB2312" w:hAnsi="仿宋_GB2312" w:cs="仿宋_GB2312" w:eastAsia="仿宋_GB2312"/>
                <w:sz w:val="24"/>
              </w:rPr>
              <w:t>方在办理完校内工程款支付审批手续后，支付至工程审定造价的95%；剩余5%余款在</w:t>
            </w:r>
            <w:r>
              <w:rPr>
                <w:rFonts w:ascii="仿宋_GB2312" w:hAnsi="仿宋_GB2312" w:cs="仿宋_GB2312" w:eastAsia="仿宋_GB2312"/>
                <w:sz w:val="24"/>
              </w:rPr>
              <w:t>施工方</w:t>
            </w:r>
            <w:r>
              <w:rPr>
                <w:rFonts w:ascii="仿宋_GB2312" w:hAnsi="仿宋_GB2312" w:cs="仿宋_GB2312" w:eastAsia="仿宋_GB2312"/>
                <w:sz w:val="24"/>
              </w:rPr>
              <w:t>履行保修义务无质量问题后支付。</w:t>
            </w:r>
          </w:p>
          <w:p>
            <w:pPr>
              <w:pStyle w:val="null3"/>
              <w:ind w:firstLine="480"/>
              <w:jc w:val="both"/>
            </w:pPr>
            <w:r>
              <w:rPr>
                <w:rFonts w:ascii="仿宋_GB2312" w:hAnsi="仿宋_GB2312" w:cs="仿宋_GB2312" w:eastAsia="仿宋_GB2312"/>
                <w:sz w:val="24"/>
              </w:rPr>
              <w:t>本工程为包工包料、包工期、包质量、包安全、包文明施工的施工总承包。工程发包采用固定综合单价合同，投标综合单价在约定的范围内不变。招标范围内执行</w:t>
            </w:r>
            <w:r>
              <w:rPr>
                <w:rFonts w:ascii="仿宋_GB2312" w:hAnsi="仿宋_GB2312" w:cs="仿宋_GB2312" w:eastAsia="仿宋_GB2312"/>
                <w:sz w:val="24"/>
              </w:rPr>
              <w:t>施工</w:t>
            </w:r>
            <w:r>
              <w:rPr>
                <w:rFonts w:ascii="仿宋_GB2312" w:hAnsi="仿宋_GB2312" w:cs="仿宋_GB2312" w:eastAsia="仿宋_GB2312"/>
                <w:sz w:val="24"/>
              </w:rPr>
              <w:t>方中标综合单价，工程量据实结算。施工合同以外经发包方批准的工程价款确认办法：合同中已有适用于变更工程的价格，按合同已有价格；</w:t>
            </w:r>
            <w:r>
              <w:rPr>
                <w:rFonts w:ascii="仿宋_GB2312" w:hAnsi="仿宋_GB2312" w:cs="仿宋_GB2312" w:eastAsia="仿宋_GB2312"/>
                <w:sz w:val="24"/>
              </w:rPr>
              <w:t>合同中没有适用的单价，由施工方提出变更认价报告，校方对主材认价</w:t>
            </w:r>
            <w:r>
              <w:rPr>
                <w:rFonts w:ascii="仿宋_GB2312" w:hAnsi="仿宋_GB2312" w:cs="仿宋_GB2312" w:eastAsia="仿宋_GB2312"/>
                <w:sz w:val="24"/>
              </w:rPr>
              <w:t>，相关取费参照2009《陕西省建设工程工程量清单计价规则》、2004《陕西省建筑、装饰工程消耗量定额》、2004《陕西省安装工程消耗量定额》及其配套的2009价目表和学校相关规定执行。</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需满足国家建筑工程施工及验收规范标准以及材料、设备所涉及的现行国家、省、市或行业的工程建设标准、规范的要求。 符合本工程磋商文件技术要求及国家、行业标准，达到合格标准。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1、质保期：本项目竣工验收合格通过之日起 1 年，供应商可在此基础上根据企业自身情况自主承诺予以延长。 2、保修要求：（含维修响应条件、培训要求等）保修期内，施工方应保证随叫随到，故障及质量瑕疵工程材料免费更换。 3、工期：50日历天，具体开工时间以学校通知为准。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1、本项目所属行业类别： 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供应商需要在线提交所有通过电子化交易平台实施的政府采购项目的响应文件，同时，线下提交纸质响应文件正本1份、副本1份，纸质响应文件正副本分别胶装，标明供应商名称密封递交，递交截止时间同在线递交电子响应文件截止时间一致，线下递交文件地点：西安市雁塔区雁南二路西京公司西京科创园3号楼25楼、联系人：王天鹏，联系电话：02988210791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（1）《财政部 发展改革委 生态环境部 市场监管总局关于调整优化节能产品、环境标志产品政府采购执行机制的通知》（财库〔2019〕9 号）；（2）国务院办公厅《关于建立政府强制 采购节能产品制度的通知》（国办发〔2007〕 51号）；（3）《关于印发节能产品政府采购 品目清单的通知》（财库〔2019〕19号）；（4）《关于印发环境标志产品政府采购品目清 单的通知》（财库〔2019〕18号（5）《政 府采购促进中小企业发展管理办法》（财库〔2 020〕46号）； （6）《关于政府采购支持监 狱企业发展有关问题的通知》（财库〔2014〕 68号）；（7）《关于促进残疾人就业政府采 购政策的通知》（财库〔2017〕141号）；（ 8）《关于进一步加大政府采购支持中小企业力度的通知》（财库〔2022〕19号）； （9）《 陕西省财政厅关于进一步落实政府采购支持中 小企业相关政策的通知》（陕财办采〔2023〕 3号）；（10）《陕西省中小企业政府采购信 用融资办法》（陕财办采〔2018〕23号）； （11）《财政部 农业农村部 国家乡村振兴局关于运用政府采购政策支持乡村产业振兴的通知》（财库〔2021〕19 号）； （12）《陕西省财政厅关于加快推进我省中小企业政府采购信用融资工作的通知》（陕财办采〔2020〕15号）；（13）其他需要落实的政府采购政策。</w:t>
            </w:r>
          </w:p>
        </w:tc>
        <w:tc>
          <w:tcPr>
            <w:tcW w:type="dxa" w:w="1661"/>
          </w:tcPr>
          <w:p>
            <w:pPr>
              <w:pStyle w:val="null3"/>
            </w:pPr>
            <w:r>
              <w:rPr>
                <w:rFonts w:ascii="仿宋_GB2312" w:hAnsi="仿宋_GB2312" w:cs="仿宋_GB2312" w:eastAsia="仿宋_GB2312"/>
              </w:rPr>
              <w:t>中小企业声明函 残疾人福利性单位声明函 强制优先采购产品承诺函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法人或被授权人身份证明</w:t>
            </w:r>
          </w:p>
        </w:tc>
        <w:tc>
          <w:tcPr>
            <w:tcW w:type="dxa" w:w="3322"/>
          </w:tcPr>
          <w:p>
            <w:pPr>
              <w:pStyle w:val="null3"/>
            </w:pPr>
            <w:r>
              <w:rPr>
                <w:rFonts w:ascii="仿宋_GB2312" w:hAnsi="仿宋_GB2312" w:cs="仿宋_GB2312" w:eastAsia="仿宋_GB2312"/>
              </w:rPr>
              <w:t>法定代表人直接磋商须提交其身份证复印件，法定代表人授权代表参加磋商的，须出具授权书及被授权人身份证复印件、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十二个月内任意三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前十二个月内任意三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含)及以上资质或建筑装修装饰工程专业承包二级(含)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建筑工程专业二级(含)及以上注册建造师执业资格和有效的安全生产考核合格证书（建安B证），在本单位注册，且无在建项目（提供无在建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供应商信息查询</w:t>
            </w:r>
          </w:p>
        </w:tc>
        <w:tc>
          <w:tcPr>
            <w:tcW w:type="dxa" w:w="3322"/>
          </w:tcPr>
          <w:p>
            <w:pPr>
              <w:pStyle w:val="null3"/>
            </w:pPr>
            <w:r>
              <w:rPr>
                <w:rFonts w:ascii="仿宋_GB2312" w:hAnsi="仿宋_GB2312" w:cs="仿宋_GB2312" w:eastAsia="仿宋_GB2312"/>
              </w:rPr>
              <w:t>供应商基本信息及项目经理基本信息应在陕西省建筑市场监管与诚信信息发布平台可查询，供应商需在项目电子化交易系统中按要求上传相应证明文件并进行电子签章。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采购，仅限符合《政府采购促进中小企业发展管理办法》（财库〔2020〕46号）条件的小型或者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磋商响应文件与项目的一致性</w:t>
            </w:r>
          </w:p>
        </w:tc>
        <w:tc>
          <w:tcPr>
            <w:tcW w:type="dxa" w:w="3322"/>
          </w:tcPr>
          <w:p>
            <w:pPr>
              <w:pStyle w:val="null3"/>
            </w:pPr>
            <w:r>
              <w:rPr>
                <w:rFonts w:ascii="仿宋_GB2312" w:hAnsi="仿宋_GB2312" w:cs="仿宋_GB2312" w:eastAsia="仿宋_GB2312"/>
              </w:rPr>
              <w:t>磋商响应文件中项目名称、项目编号、标段与本项目一致，无遗漏；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磋商报价符合唯一性要求；磋商报价未超出采购预算及采购最高限价；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提供详细、可行、专业的施工方案，包括但不限于工程概况、施工组织、施工计划、施工工艺、技术措施等内容。 a.方案可靠性、专业性强，可行性高，内容详尽明确、细节到位，有利于项目实施计4-6分； b.方案可靠性、专业性较强，可行性较高，内容比较明确计2-4分； c.方案专业性、可行性较差，内容不全、细节不明确，技术措施简单计0-2分。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施工组织设计--施工方案.docx</w:t>
            </w:r>
          </w:p>
        </w:tc>
      </w:tr>
      <w:tr>
        <w:tc>
          <w:tcPr>
            <w:tcW w:type="dxa" w:w="831"/>
            <w:vMerge/>
          </w:tcPr>
          <w:p/>
        </w:tc>
        <w:tc>
          <w:tcPr>
            <w:tcW w:type="dxa" w:w="1661"/>
          </w:tcPr>
          <w:p>
            <w:pPr>
              <w:pStyle w:val="null3"/>
            </w:pPr>
            <w:r>
              <w:rPr>
                <w:rFonts w:ascii="仿宋_GB2312" w:hAnsi="仿宋_GB2312" w:cs="仿宋_GB2312" w:eastAsia="仿宋_GB2312"/>
              </w:rPr>
              <w:t>确保工期技术组织措施</w:t>
            </w:r>
          </w:p>
        </w:tc>
        <w:tc>
          <w:tcPr>
            <w:tcW w:type="dxa" w:w="2492"/>
          </w:tcPr>
          <w:p>
            <w:pPr>
              <w:pStyle w:val="null3"/>
            </w:pPr>
            <w:r>
              <w:rPr>
                <w:rFonts w:ascii="仿宋_GB2312" w:hAnsi="仿宋_GB2312" w:cs="仿宋_GB2312" w:eastAsia="仿宋_GB2312"/>
              </w:rPr>
              <w:t>提供科学合理、切实可行的工期保障措施，包括但不限于工期目标、 工期保障体系、控制方法、进度控制要点、误期的补救措施等内容。 a.措施详尽、可行合理、可行性度高计3-5分； b.措施基本完善、基本合理、可行性一般计0-3分。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施工组织设计--确保工期技术组织措施.docx</w:t>
            </w:r>
          </w:p>
        </w:tc>
      </w:tr>
      <w:tr>
        <w:tc>
          <w:tcPr>
            <w:tcW w:type="dxa" w:w="831"/>
            <w:vMerge/>
          </w:tcPr>
          <w:p/>
        </w:tc>
        <w:tc>
          <w:tcPr>
            <w:tcW w:type="dxa" w:w="1661"/>
          </w:tcPr>
          <w:p>
            <w:pPr>
              <w:pStyle w:val="null3"/>
            </w:pPr>
            <w:r>
              <w:rPr>
                <w:rFonts w:ascii="仿宋_GB2312" w:hAnsi="仿宋_GB2312" w:cs="仿宋_GB2312" w:eastAsia="仿宋_GB2312"/>
              </w:rPr>
              <w:t>劳动力及材料供应计划</w:t>
            </w:r>
          </w:p>
        </w:tc>
        <w:tc>
          <w:tcPr>
            <w:tcW w:type="dxa" w:w="2492"/>
          </w:tcPr>
          <w:p>
            <w:pPr>
              <w:pStyle w:val="null3"/>
            </w:pPr>
            <w:r>
              <w:rPr>
                <w:rFonts w:ascii="仿宋_GB2312" w:hAnsi="仿宋_GB2312" w:cs="仿宋_GB2312" w:eastAsia="仿宋_GB2312"/>
              </w:rPr>
              <w:t>提供科学合理的劳动力及材料供应计划： a.劳动力安排合理，材料供应贴紧项目进度且数量充足，可操作性强，能确保项目如期保质保量完成计3-5分； b.劳动力安排基本合理，材料供应基本满足项目需求计0-3分。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施工组织设计--劳动力及材料供应计划.docx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供应商针对本项目提供施工进度表或施工网络图。 a.内容全面、工作进度计划清晰、合理，控制措施有力计2-4分； b.内容简单、工作进度计划不清晰，不够合理计0-2分。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施工组织设计--进度计划.docx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供应商针对本项目配备健全的项目管理机构，项目经理部组成人员包含但不限于项目经理、资料员、质量员、施工员、专职安全员、材料员等，提供身份证或岗位证等相关资料。 a.项目经理部组成合理，团队人员配备齐全，专业知识构架全面，岗位职责明确，人员技术经验丰富计4-6分； b.项目经理部组成不够合理，团队人员配备较齐全，岗位职责不够明确，人员技术经验不够丰富计2-4分。 c.项目经理部组成不合理，团队人员配备不齐全，岗位职责不明确，人员技术经验不丰富计0-2分。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施工组织设计--项目经理部组成人员.docx</w:t>
            </w:r>
          </w:p>
        </w:tc>
      </w:tr>
      <w:tr>
        <w:tc>
          <w:tcPr>
            <w:tcW w:type="dxa" w:w="831"/>
            <w:vMerge/>
          </w:tcPr>
          <w:p/>
        </w:tc>
        <w:tc>
          <w:tcPr>
            <w:tcW w:type="dxa" w:w="1661"/>
          </w:tcPr>
          <w:p>
            <w:pPr>
              <w:pStyle w:val="null3"/>
            </w:pPr>
            <w:r>
              <w:rPr>
                <w:rFonts w:ascii="仿宋_GB2312" w:hAnsi="仿宋_GB2312" w:cs="仿宋_GB2312" w:eastAsia="仿宋_GB2312"/>
              </w:rPr>
              <w:t>确保工程质量保证体系及措施</w:t>
            </w:r>
          </w:p>
        </w:tc>
        <w:tc>
          <w:tcPr>
            <w:tcW w:type="dxa" w:w="2492"/>
          </w:tcPr>
          <w:p>
            <w:pPr>
              <w:pStyle w:val="null3"/>
            </w:pPr>
            <w:r>
              <w:rPr>
                <w:rFonts w:ascii="仿宋_GB2312" w:hAnsi="仿宋_GB2312" w:cs="仿宋_GB2312" w:eastAsia="仿宋_GB2312"/>
              </w:rPr>
              <w:t>提供科学合理、切实可行的工程质量保证体系及措施，包括但不限于质量目标、质量体系、质量控制流程、质量控制要点、质量预防及控制措施等内容。 a.措施及体系详尽、科学有效、切实可行计4-6分； b.措施及体系基本完善、基本合理、可行性一般计2-4分； c.措施及体系简单笼统，不合理，可行性差计0-2分。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施工组织设计--确保工程质量保证体系及措施.docx</w:t>
            </w:r>
          </w:p>
        </w:tc>
      </w:tr>
      <w:tr>
        <w:tc>
          <w:tcPr>
            <w:tcW w:type="dxa" w:w="831"/>
            <w:vMerge/>
          </w:tcPr>
          <w:p/>
        </w:tc>
        <w:tc>
          <w:tcPr>
            <w:tcW w:type="dxa" w:w="1661"/>
          </w:tcPr>
          <w:p>
            <w:pPr>
              <w:pStyle w:val="null3"/>
            </w:pPr>
            <w:r>
              <w:rPr>
                <w:rFonts w:ascii="仿宋_GB2312" w:hAnsi="仿宋_GB2312" w:cs="仿宋_GB2312" w:eastAsia="仿宋_GB2312"/>
              </w:rPr>
              <w:t>安全生产、文明施工技术组织措施</w:t>
            </w:r>
          </w:p>
        </w:tc>
        <w:tc>
          <w:tcPr>
            <w:tcW w:type="dxa" w:w="2492"/>
          </w:tcPr>
          <w:p>
            <w:pPr>
              <w:pStyle w:val="null3"/>
            </w:pPr>
            <w:r>
              <w:rPr>
                <w:rFonts w:ascii="仿宋_GB2312" w:hAnsi="仿宋_GB2312" w:cs="仿宋_GB2312" w:eastAsia="仿宋_GB2312"/>
              </w:rPr>
              <w:t>提供科学合理、切实可行的安全生产、文明施工技术组织措施，包括但不限于安全生产，文明施工目标、保障体系、管理制度、施工现场的整洁保障等内容。 a.措施详尽、科学合理，体系完善、切实可行计3-5分； b.措施及体系基本完善、基本合理、可行性一般计0-3分。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施工组织设计--安全生产、文明施工技术组织措施.docx</w:t>
            </w:r>
          </w:p>
        </w:tc>
      </w:tr>
      <w:tr>
        <w:tc>
          <w:tcPr>
            <w:tcW w:type="dxa" w:w="831"/>
            <w:vMerge/>
          </w:tcPr>
          <w:p/>
        </w:tc>
        <w:tc>
          <w:tcPr>
            <w:tcW w:type="dxa" w:w="1661"/>
          </w:tcPr>
          <w:p>
            <w:pPr>
              <w:pStyle w:val="null3"/>
            </w:pPr>
            <w:r>
              <w:rPr>
                <w:rFonts w:ascii="仿宋_GB2312" w:hAnsi="仿宋_GB2312" w:cs="仿宋_GB2312" w:eastAsia="仿宋_GB2312"/>
              </w:rPr>
              <w:t>环境保护、成本控制措施</w:t>
            </w:r>
          </w:p>
        </w:tc>
        <w:tc>
          <w:tcPr>
            <w:tcW w:type="dxa" w:w="2492"/>
          </w:tcPr>
          <w:p>
            <w:pPr>
              <w:pStyle w:val="null3"/>
            </w:pPr>
            <w:r>
              <w:rPr>
                <w:rFonts w:ascii="仿宋_GB2312" w:hAnsi="仿宋_GB2312" w:cs="仿宋_GB2312" w:eastAsia="仿宋_GB2312"/>
              </w:rPr>
              <w:t>提供科学合理、切实可行的环境保护、成本控制措施，包含但不限于影响环境因素分析、解决办法和防治措施，成本控制措施及控制流程和技术组织。 a.措施全面、完整，能从多方面考虑影响环境因素，并提出相关解决和防治措施，成本控制措施科学有效，确保本项目顺利实施计3-5分； b.环境保护措施滞后，执行力度弱，成本控制磋商简单粗略，可行性一般计0-3分。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施工组织设计--环境保护、成本控制措施.docx</w:t>
            </w:r>
          </w:p>
        </w:tc>
      </w:tr>
      <w:tr>
        <w:tc>
          <w:tcPr>
            <w:tcW w:type="dxa" w:w="831"/>
            <w:vMerge/>
          </w:tcPr>
          <w:p/>
        </w:tc>
        <w:tc>
          <w:tcPr>
            <w:tcW w:type="dxa" w:w="1661"/>
          </w:tcPr>
          <w:p>
            <w:pPr>
              <w:pStyle w:val="null3"/>
            </w:pPr>
            <w:r>
              <w:rPr>
                <w:rFonts w:ascii="仿宋_GB2312" w:hAnsi="仿宋_GB2312" w:cs="仿宋_GB2312" w:eastAsia="仿宋_GB2312"/>
              </w:rPr>
              <w:t>施工机械设备投入</w:t>
            </w:r>
          </w:p>
        </w:tc>
        <w:tc>
          <w:tcPr>
            <w:tcW w:type="dxa" w:w="2492"/>
          </w:tcPr>
          <w:p>
            <w:pPr>
              <w:pStyle w:val="null3"/>
            </w:pPr>
            <w:r>
              <w:rPr>
                <w:rFonts w:ascii="仿宋_GB2312" w:hAnsi="仿宋_GB2312" w:cs="仿宋_GB2312" w:eastAsia="仿宋_GB2312"/>
              </w:rPr>
              <w:t>提供详细、合理的施工机械配备投入计划： a.施工机械配备合理、科学，能保证项目顺利实施计3-5分； b.施工机械配备不够合理、合理，基本或很难保证项目顺利实施计0-3分。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施工组织设计--施工机械设备投入.docx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新技术、新产品、新工艺、新材料的应用</w:t>
            </w:r>
          </w:p>
        </w:tc>
        <w:tc>
          <w:tcPr>
            <w:tcW w:type="dxa" w:w="2492"/>
          </w:tcPr>
          <w:p>
            <w:pPr>
              <w:pStyle w:val="null3"/>
            </w:pPr>
            <w:r>
              <w:rPr>
                <w:rFonts w:ascii="仿宋_GB2312" w:hAnsi="仿宋_GB2312" w:cs="仿宋_GB2312" w:eastAsia="仿宋_GB2312"/>
              </w:rPr>
              <w:t>提供新技术、新产品、新工艺、新材料的应用计划和方案： a.计划和方案科学、可行计2-3分； b.计划和科学不够科学，可行性不高计0-2分。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施工组织设计--新技术、新产品、新工艺、新材料的应用.docx</w:t>
            </w:r>
          </w:p>
        </w:tc>
      </w:tr>
      <w:tr>
        <w:tc>
          <w:tcPr>
            <w:tcW w:type="dxa" w:w="831"/>
            <w:vMerge/>
          </w:tcPr>
          <w:p/>
        </w:tc>
        <w:tc>
          <w:tcPr>
            <w:tcW w:type="dxa" w:w="1661"/>
          </w:tcPr>
          <w:p>
            <w:pPr>
              <w:pStyle w:val="null3"/>
            </w:pPr>
            <w:r>
              <w:rPr>
                <w:rFonts w:ascii="仿宋_GB2312" w:hAnsi="仿宋_GB2312" w:cs="仿宋_GB2312" w:eastAsia="仿宋_GB2312"/>
              </w:rPr>
              <w:t>质量保障及合理化建议</w:t>
            </w:r>
          </w:p>
        </w:tc>
        <w:tc>
          <w:tcPr>
            <w:tcW w:type="dxa" w:w="2492"/>
          </w:tcPr>
          <w:p>
            <w:pPr>
              <w:pStyle w:val="null3"/>
            </w:pPr>
            <w:r>
              <w:rPr>
                <w:rFonts w:ascii="仿宋_GB2312" w:hAnsi="仿宋_GB2312" w:cs="仿宋_GB2312" w:eastAsia="仿宋_GB2312"/>
              </w:rPr>
              <w:t>供应商针对本项目提供质量保障及合理化建议，包含但不限于：质量保障措施、后期维护管理及发生质量问题后的补救措施、合理化建议等： a.质量保障措施完善、科学，合理化建议合理，可操作性强计3-5分； b.质量保障措施不够完整，合理化建议可操作性一般计2-3分； c.质量保障措施简单笼统，合理化建议不够合理计0-2分。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质量保障及合理化建议.docx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供应商针对本项目提供详细的承诺，包含但不限于对工期、质量、安全、施工等有明确具体的承诺，与学校相关部门的配合协调承诺等： a.承诺完善详细，科学合理，针对性强，满足项目要求计3-5分； b.承诺不够完善详细，合理性、针对性一般计2-3分； c.承诺简单，不能满足项目要求计0-2分。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提供2022年7月1日至今同类项目业绩，以合同复印件为准，每提供一个计2分，最高得10分。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详见附件：施工组织设计--安全生产、文明施工技术组织措施.docx</w:t>
      </w:r>
    </w:p>
    <w:p>
      <w:pPr>
        <w:pStyle w:val="null3"/>
        <w:ind w:firstLine="960"/>
      </w:pPr>
      <w:r>
        <w:rPr>
          <w:rFonts w:ascii="仿宋_GB2312" w:hAnsi="仿宋_GB2312" w:cs="仿宋_GB2312" w:eastAsia="仿宋_GB2312"/>
        </w:rPr>
        <w:t>详见附件：施工组织设计--环境保护、成本控制措施.docx</w:t>
      </w:r>
    </w:p>
    <w:p>
      <w:pPr>
        <w:pStyle w:val="null3"/>
        <w:ind w:firstLine="960"/>
      </w:pPr>
      <w:r>
        <w:rPr>
          <w:rFonts w:ascii="仿宋_GB2312" w:hAnsi="仿宋_GB2312" w:cs="仿宋_GB2312" w:eastAsia="仿宋_GB2312"/>
        </w:rPr>
        <w:t>详见附件：施工组织设计--进度计划.docx</w:t>
      </w:r>
    </w:p>
    <w:p>
      <w:pPr>
        <w:pStyle w:val="null3"/>
        <w:ind w:firstLine="960"/>
      </w:pPr>
      <w:r>
        <w:rPr>
          <w:rFonts w:ascii="仿宋_GB2312" w:hAnsi="仿宋_GB2312" w:cs="仿宋_GB2312" w:eastAsia="仿宋_GB2312"/>
        </w:rPr>
        <w:t>详见附件：施工组织设计--劳动力及材料供应计划.docx</w:t>
      </w:r>
    </w:p>
    <w:p>
      <w:pPr>
        <w:pStyle w:val="null3"/>
        <w:ind w:firstLine="960"/>
      </w:pPr>
      <w:r>
        <w:rPr>
          <w:rFonts w:ascii="仿宋_GB2312" w:hAnsi="仿宋_GB2312" w:cs="仿宋_GB2312" w:eastAsia="仿宋_GB2312"/>
        </w:rPr>
        <w:t>详见附件：施工组织设计--确保工程质量保证体系及措施.docx</w:t>
      </w:r>
    </w:p>
    <w:p>
      <w:pPr>
        <w:pStyle w:val="null3"/>
        <w:ind w:firstLine="960"/>
      </w:pPr>
      <w:r>
        <w:rPr>
          <w:rFonts w:ascii="仿宋_GB2312" w:hAnsi="仿宋_GB2312" w:cs="仿宋_GB2312" w:eastAsia="仿宋_GB2312"/>
        </w:rPr>
        <w:t>详见附件：施工组织设计--确保工期技术组织措施.docx</w:t>
      </w:r>
    </w:p>
    <w:p>
      <w:pPr>
        <w:pStyle w:val="null3"/>
        <w:ind w:firstLine="960"/>
      </w:pPr>
      <w:r>
        <w:rPr>
          <w:rFonts w:ascii="仿宋_GB2312" w:hAnsi="仿宋_GB2312" w:cs="仿宋_GB2312" w:eastAsia="仿宋_GB2312"/>
        </w:rPr>
        <w:t>详见附件：施工组织设计--施工方案.docx</w:t>
      </w:r>
    </w:p>
    <w:p>
      <w:pPr>
        <w:pStyle w:val="null3"/>
        <w:ind w:firstLine="960"/>
      </w:pPr>
      <w:r>
        <w:rPr>
          <w:rFonts w:ascii="仿宋_GB2312" w:hAnsi="仿宋_GB2312" w:cs="仿宋_GB2312" w:eastAsia="仿宋_GB2312"/>
        </w:rPr>
        <w:t>详见附件：施工组织设计--施工机械设备投入.docx</w:t>
      </w:r>
    </w:p>
    <w:p>
      <w:pPr>
        <w:pStyle w:val="null3"/>
        <w:ind w:firstLine="960"/>
      </w:pPr>
      <w:r>
        <w:rPr>
          <w:rFonts w:ascii="仿宋_GB2312" w:hAnsi="仿宋_GB2312" w:cs="仿宋_GB2312" w:eastAsia="仿宋_GB2312"/>
        </w:rPr>
        <w:t>详见附件：施工组织设计--项目经理部组成人员.docx</w:t>
      </w:r>
    </w:p>
    <w:p>
      <w:pPr>
        <w:pStyle w:val="null3"/>
        <w:ind w:firstLine="960"/>
      </w:pPr>
      <w:r>
        <w:rPr>
          <w:rFonts w:ascii="仿宋_GB2312" w:hAnsi="仿宋_GB2312" w:cs="仿宋_GB2312" w:eastAsia="仿宋_GB2312"/>
        </w:rPr>
        <w:t>详见附件：施工组织设计--新技术、新产品、新工艺、新材料的应用.docx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详见附件：质量保障及合理化建议.docx</w:t>
      </w:r>
    </w:p>
    <w:p>
      <w:pPr>
        <w:pStyle w:val="null3"/>
        <w:ind w:firstLine="960"/>
      </w:pPr>
      <w:r>
        <w:rPr>
          <w:rFonts w:ascii="仿宋_GB2312" w:hAnsi="仿宋_GB2312" w:cs="仿宋_GB2312" w:eastAsia="仿宋_GB2312"/>
        </w:rPr>
        <w:t>详见附件：供应商特定资格证明文件.docx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