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rPr>
      </w:pPr>
      <w:r>
        <w:rPr>
          <w:rFonts w:hint="eastAsia"/>
        </w:rPr>
        <w:t>支付交易服务协议</w:t>
      </w:r>
    </w:p>
    <w:p>
      <w:pPr>
        <w:pStyle w:val="8"/>
        <w:spacing w:line="360" w:lineRule="auto"/>
        <w:ind w:firstLine="480" w:firstLineChars="200"/>
        <w:jc w:val="left"/>
        <w:rPr>
          <w:rFonts w:cs="宋体" w:asciiTheme="majorEastAsia" w:hAnsiTheme="majorEastAsia" w:eastAsiaTheme="majorEastAsia"/>
          <w:color w:val="auto"/>
          <w:sz w:val="24"/>
          <w:szCs w:val="24"/>
          <w:u w:val="single"/>
        </w:rPr>
      </w:pPr>
      <w:r>
        <w:rPr>
          <w:rFonts w:hint="eastAsia" w:cs="宋体" w:asciiTheme="majorEastAsia" w:hAnsiTheme="majorEastAsia" w:eastAsiaTheme="majorEastAsia"/>
          <w:b/>
          <w:bCs/>
          <w:color w:val="auto"/>
          <w:sz w:val="24"/>
          <w:szCs w:val="24"/>
          <w:lang w:val="zh-TW" w:eastAsia="zh-TW"/>
        </w:rPr>
        <w:t>甲    方：</w:t>
      </w:r>
      <w:r>
        <w:rPr>
          <w:rFonts w:hint="eastAsia" w:cs="宋体" w:asciiTheme="majorEastAsia" w:hAnsiTheme="majorEastAsia" w:eastAsiaTheme="majorEastAsia"/>
          <w:b/>
          <w:bCs/>
          <w:color w:val="auto"/>
          <w:sz w:val="24"/>
          <w:szCs w:val="24"/>
          <w:u w:val="single"/>
          <w:lang w:val="zh-TW"/>
        </w:rPr>
        <w:t xml:space="preserve"> </w:t>
      </w:r>
      <w:r>
        <w:rPr>
          <w:rFonts w:hint="eastAsia" w:cs="宋体" w:asciiTheme="majorEastAsia" w:hAnsiTheme="majorEastAsia" w:eastAsiaTheme="majorEastAsia"/>
          <w:b/>
          <w:bCs/>
          <w:color w:val="auto"/>
          <w:sz w:val="24"/>
          <w:szCs w:val="24"/>
          <w:u w:val="single"/>
        </w:rPr>
        <w:t xml:space="preserve"> </w:t>
      </w:r>
      <w:r>
        <w:rPr>
          <w:rFonts w:hint="eastAsia" w:cs="宋体" w:asciiTheme="majorEastAsia" w:hAnsiTheme="majorEastAsia" w:eastAsiaTheme="majorEastAsia"/>
          <w:color w:val="auto"/>
          <w:sz w:val="24"/>
          <w:szCs w:val="24"/>
          <w:u w:val="single"/>
        </w:rPr>
        <w:t xml:space="preserve">                   </w:t>
      </w:r>
    </w:p>
    <w:p>
      <w:pPr>
        <w:ind w:firstLine="480" w:firstLineChars="200"/>
        <w:rPr>
          <w:rFonts w:hint="eastAsia" w:cs="宋体" w:asciiTheme="majorEastAsia" w:hAnsiTheme="majorEastAsia" w:eastAsiaTheme="majorEastAsia"/>
          <w:color w:val="auto"/>
          <w:sz w:val="24"/>
          <w:szCs w:val="24"/>
          <w:u w:val="single"/>
        </w:rPr>
      </w:pPr>
      <w:r>
        <w:rPr>
          <w:rFonts w:hint="eastAsia" w:cs="宋体" w:asciiTheme="majorEastAsia" w:hAnsiTheme="majorEastAsia" w:eastAsiaTheme="majorEastAsia"/>
          <w:b/>
          <w:bCs/>
          <w:color w:val="auto"/>
          <w:sz w:val="24"/>
          <w:szCs w:val="24"/>
          <w:lang w:val="zh-TW" w:eastAsia="zh-TW"/>
        </w:rPr>
        <w:t>乙    方：</w:t>
      </w:r>
      <w:r>
        <w:rPr>
          <w:rFonts w:hint="eastAsia" w:cs="宋体" w:asciiTheme="majorEastAsia" w:hAnsiTheme="majorEastAsia" w:eastAsiaTheme="majorEastAsia"/>
          <w:b/>
          <w:bCs/>
          <w:color w:val="auto"/>
          <w:sz w:val="24"/>
          <w:szCs w:val="24"/>
          <w:u w:val="single"/>
          <w:lang w:val="zh-TW"/>
        </w:rPr>
        <w:t xml:space="preserve"> </w:t>
      </w:r>
      <w:r>
        <w:rPr>
          <w:rFonts w:hint="eastAsia" w:cs="宋体" w:asciiTheme="majorEastAsia" w:hAnsiTheme="majorEastAsia" w:eastAsiaTheme="majorEastAsia"/>
          <w:b/>
          <w:bCs/>
          <w:color w:val="auto"/>
          <w:sz w:val="24"/>
          <w:szCs w:val="24"/>
          <w:u w:val="single"/>
        </w:rPr>
        <w:t xml:space="preserve"> </w:t>
      </w:r>
      <w:r>
        <w:rPr>
          <w:rFonts w:hint="eastAsia" w:cs="宋体" w:asciiTheme="majorEastAsia" w:hAnsiTheme="majorEastAsia" w:eastAsiaTheme="majorEastAsia"/>
          <w:color w:val="auto"/>
          <w:sz w:val="24"/>
          <w:szCs w:val="24"/>
          <w:u w:val="single"/>
        </w:rPr>
        <w:t xml:space="preserve">                   </w:t>
      </w:r>
    </w:p>
    <w:p>
      <w:pPr>
        <w:spacing w:line="360" w:lineRule="auto"/>
        <w:ind w:firstLine="480" w:firstLineChars="200"/>
        <w:rPr>
          <w:rFonts w:hint="eastAsia" w:ascii="宋体" w:hAnsi="宋体" w:eastAsia="宋体" w:cs="Times New Roman"/>
          <w:color w:val="000000"/>
          <w:sz w:val="24"/>
          <w:szCs w:val="24"/>
        </w:rPr>
      </w:pPr>
    </w:p>
    <w:p>
      <w:pPr>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甲方使用乙方提供</w:t>
      </w:r>
      <w:r>
        <w:rPr>
          <w:rFonts w:hint="default" w:ascii="宋体" w:hAnsi="宋体" w:eastAsia="宋体" w:cs="Times New Roman"/>
          <w:color w:val="000000"/>
          <w:sz w:val="24"/>
          <w:szCs w:val="24"/>
        </w:rPr>
        <w:t>代收缴</w:t>
      </w:r>
      <w:r>
        <w:rPr>
          <w:rFonts w:hint="eastAsia" w:ascii="宋体" w:hAnsi="宋体" w:eastAsia="宋体" w:cs="Times New Roman"/>
          <w:color w:val="000000"/>
          <w:sz w:val="24"/>
          <w:szCs w:val="24"/>
        </w:rPr>
        <w:t>产品，在平等互利的基础上，甲、乙双方经友好协商，依照《</w:t>
      </w:r>
      <w:r>
        <w:rPr>
          <w:rFonts w:hint="eastAsia" w:ascii="宋体" w:hAnsi="宋体" w:eastAsia="宋体" w:cs="Times New Roman"/>
          <w:b w:val="0"/>
          <w:i w:val="0"/>
          <w:caps w:val="0"/>
          <w:color w:val="000000"/>
          <w:spacing w:val="0"/>
          <w:sz w:val="24"/>
          <w:szCs w:val="24"/>
          <w:shd w:val="clear"/>
        </w:rPr>
        <w:t>中华人民共和国民法典</w:t>
      </w:r>
      <w:r>
        <w:rPr>
          <w:rFonts w:hint="eastAsia" w:ascii="宋体" w:hAnsi="宋体" w:eastAsia="宋体" w:cs="Times New Roman"/>
          <w:color w:val="000000"/>
          <w:sz w:val="24"/>
          <w:szCs w:val="24"/>
        </w:rPr>
        <w:t>》等有关法律法规的规定，就</w:t>
      </w:r>
      <w:r>
        <w:rPr>
          <w:rFonts w:hint="default" w:ascii="宋体" w:hAnsi="宋体" w:eastAsia="宋体" w:cs="Times New Roman"/>
          <w:color w:val="000000"/>
          <w:sz w:val="24"/>
          <w:szCs w:val="24"/>
        </w:rPr>
        <w:t>代收缴</w:t>
      </w:r>
      <w:r>
        <w:rPr>
          <w:rFonts w:hint="eastAsia" w:ascii="宋体" w:hAnsi="宋体" w:eastAsia="宋体" w:cs="Times New Roman"/>
          <w:color w:val="000000"/>
          <w:sz w:val="24"/>
          <w:szCs w:val="24"/>
        </w:rPr>
        <w:t>服务达成如下合作</w:t>
      </w:r>
      <w:r>
        <w:rPr>
          <w:rFonts w:hint="default" w:ascii="宋体" w:hAnsi="宋体" w:eastAsia="宋体" w:cs="Times New Roman"/>
          <w:color w:val="000000"/>
          <w:sz w:val="24"/>
          <w:szCs w:val="24"/>
        </w:rPr>
        <w:t>细则</w:t>
      </w:r>
      <w:r>
        <w:rPr>
          <w:rFonts w:hint="eastAsia" w:ascii="宋体" w:hAnsi="宋体" w:eastAsia="宋体" w:cs="Times New Roman"/>
          <w:color w:val="000000"/>
          <w:sz w:val="24"/>
          <w:szCs w:val="24"/>
        </w:rPr>
        <w:t>：</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第一条 合作资料以及代收缴服务产品</w:t>
      </w:r>
    </w:p>
    <w:p>
      <w:pPr>
        <w:numPr>
          <w:ilvl w:val="-1"/>
          <w:numId w:val="0"/>
        </w:numPr>
        <w:suppressAutoHyphens/>
        <w:spacing w:line="360" w:lineRule="auto"/>
        <w:ind w:left="0"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1.1甲方应在签订协议同时向乙方提供最新的事业单位法人证书、银行开户许可证、法定代表人身份证正反面、相关行业资质证书、</w:t>
      </w: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lang w:val="en-US" w:eastAsia="zh-CN"/>
        </w:rPr>
        <w:t>基本注册信息和账户信息表</w:t>
      </w: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rPr>
        <w:t>。甲方应保证其所提供的信息和资料真实、合法。如甲方提供的相关证明材料发生变更（包括但不限于甲方名称、开户信息、经营网址、APP、域名ICP备案、联系人、地址），甲方应在其变更后7天内书面通知乙方，并向乙方提交变更申请资料，通过乙方审核后方可生效。甲方以上材料发生变更未及时向乙方提交变更报备的，乙方有权利终止与甲方的合作服务。甲方自行承担因其信息和身份资料不一致，不准确、不真实、不完整和提供不及时而引发的一切损失和责任。（以上资质均为复印件并加盖企业\单位\机构公章），双方指定的基本注册信息和账户信息如下</w:t>
      </w:r>
      <w:r>
        <w:rPr>
          <w:rFonts w:hint="default" w:ascii="宋体" w:hAnsi="宋体" w:eastAsia="宋体" w:cs="Times New Roman"/>
          <w:color w:val="000000"/>
          <w:sz w:val="24"/>
          <w:szCs w:val="24"/>
        </w:rPr>
        <w:t>：</w:t>
      </w:r>
    </w:p>
    <w:p>
      <w:pPr>
        <w:numPr>
          <w:ilvl w:val="-1"/>
          <w:numId w:val="0"/>
        </w:numPr>
        <w:suppressAutoHyphens/>
        <w:spacing w:line="360" w:lineRule="auto"/>
        <w:ind w:left="0" w:firstLine="480" w:firstLineChars="200"/>
        <w:jc w:val="center"/>
        <w:rPr>
          <w:rFonts w:hint="eastAsia" w:ascii="宋体" w:hAnsi="宋体" w:eastAsia="宋体" w:cs="Times New Roman"/>
          <w:color w:val="000000"/>
          <w:sz w:val="24"/>
          <w:szCs w:val="24"/>
        </w:rPr>
      </w:pPr>
      <w:r>
        <w:rPr>
          <w:rFonts w:hint="default" w:ascii="宋体" w:hAnsi="宋体" w:eastAsia="宋体" w:cs="Times New Roman"/>
          <w:b w:val="0"/>
          <w:bCs w:val="0"/>
          <w:color w:val="000000"/>
          <w:sz w:val="24"/>
          <w:szCs w:val="24"/>
        </w:rPr>
        <w:t>《基本注册信息与账户信息表》</w:t>
      </w:r>
    </w:p>
    <w:tbl>
      <w:tblPr>
        <w:tblStyle w:val="5"/>
        <w:tblpPr w:leftFromText="180" w:rightFromText="180" w:vertAnchor="text" w:horzAnchor="page" w:tblpX="1682" w:tblpY="306"/>
        <w:tblOverlap w:val="never"/>
        <w:tblW w:w="8762" w:type="dxa"/>
        <w:tblInd w:w="0" w:type="dxa"/>
        <w:tblLayout w:type="fixed"/>
        <w:tblCellMar>
          <w:top w:w="0" w:type="dxa"/>
          <w:left w:w="108" w:type="dxa"/>
          <w:bottom w:w="0" w:type="dxa"/>
          <w:right w:w="108" w:type="dxa"/>
        </w:tblCellMar>
      </w:tblPr>
      <w:tblGrid>
        <w:gridCol w:w="1168"/>
        <w:gridCol w:w="3353"/>
        <w:gridCol w:w="1165"/>
        <w:gridCol w:w="3076"/>
      </w:tblGrid>
      <w:tr>
        <w:trPr>
          <w:cantSplit/>
          <w:trHeight w:val="567" w:hRule="atLeast"/>
        </w:trPr>
        <w:tc>
          <w:tcPr>
            <w:tcW w:w="1168" w:type="dxa"/>
            <w:tcBorders>
              <w:top w:val="doub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甲  方</w:t>
            </w:r>
          </w:p>
        </w:tc>
        <w:tc>
          <w:tcPr>
            <w:tcW w:w="7594" w:type="dxa"/>
            <w:gridSpan w:val="3"/>
            <w:tcBorders>
              <w:top w:val="doub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r>
        <w:trPr>
          <w:cantSplit/>
          <w:trHeight w:val="567" w:hRule="atLeast"/>
        </w:trPr>
        <w:tc>
          <w:tcPr>
            <w:tcW w:w="1168"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地  址</w:t>
            </w:r>
          </w:p>
        </w:tc>
        <w:tc>
          <w:tcPr>
            <w:tcW w:w="3353"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65"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邮  编</w:t>
            </w:r>
          </w:p>
        </w:tc>
        <w:tc>
          <w:tcPr>
            <w:tcW w:w="3076"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r>
        <w:trPr>
          <w:cantSplit/>
          <w:trHeight w:val="567" w:hRule="atLeast"/>
        </w:trPr>
        <w:tc>
          <w:tcPr>
            <w:tcW w:w="1168"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电  话</w:t>
            </w:r>
          </w:p>
        </w:tc>
        <w:tc>
          <w:tcPr>
            <w:tcW w:w="3353"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65"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传  真</w:t>
            </w:r>
          </w:p>
        </w:tc>
        <w:tc>
          <w:tcPr>
            <w:tcW w:w="3076"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r>
        <w:trPr>
          <w:cantSplit/>
          <w:trHeight w:val="567" w:hRule="atLeast"/>
        </w:trPr>
        <w:tc>
          <w:tcPr>
            <w:tcW w:w="1168" w:type="dxa"/>
            <w:vMerge w:val="restart"/>
            <w:tcBorders>
              <w:top w:val="single" w:color="000000" w:sz="4" w:space="0"/>
              <w:left w:val="doub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开户名</w:t>
            </w:r>
          </w:p>
        </w:tc>
        <w:tc>
          <w:tcPr>
            <w:tcW w:w="3353" w:type="dxa"/>
            <w:vMerge w:val="restart"/>
            <w:tcBorders>
              <w:top w:val="single" w:color="000000" w:sz="4" w:space="0"/>
              <w:left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65" w:type="dxa"/>
            <w:vMerge w:val="restart"/>
            <w:tcBorders>
              <w:top w:val="single" w:color="000000" w:sz="4" w:space="0"/>
              <w:left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开户行</w:t>
            </w:r>
          </w:p>
        </w:tc>
        <w:tc>
          <w:tcPr>
            <w:tcW w:w="3076"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rPr>
                <w:rFonts w:hint="eastAsia" w:asciiTheme="minorEastAsia" w:hAnsiTheme="minorEastAsia" w:cstheme="minorEastAsia"/>
                <w:sz w:val="24"/>
                <w:szCs w:val="24"/>
              </w:rPr>
            </w:pPr>
            <w:r>
              <w:rPr>
                <w:rFonts w:hint="eastAsia" w:asciiTheme="minorEastAsia" w:hAnsiTheme="minorEastAsia" w:cstheme="minorEastAsia"/>
                <w:sz w:val="24"/>
                <w:szCs w:val="24"/>
              </w:rPr>
              <w:t>总行：</w:t>
            </w:r>
          </w:p>
        </w:tc>
      </w:tr>
      <w:tr>
        <w:trPr>
          <w:cantSplit/>
          <w:trHeight w:val="567" w:hRule="atLeast"/>
        </w:trPr>
        <w:tc>
          <w:tcPr>
            <w:tcW w:w="1168" w:type="dxa"/>
            <w:vMerge w:val="continue"/>
            <w:tcBorders>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rPr>
                <w:rFonts w:hint="eastAsia" w:asciiTheme="minorEastAsia" w:hAnsiTheme="minorEastAsia" w:cstheme="minorEastAsia"/>
                <w:sz w:val="24"/>
                <w:szCs w:val="24"/>
              </w:rPr>
            </w:pPr>
          </w:p>
        </w:tc>
        <w:tc>
          <w:tcPr>
            <w:tcW w:w="3353" w:type="dxa"/>
            <w:vMerge w:val="continue"/>
            <w:tcBorders>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rPr>
                <w:rFonts w:hint="eastAsia" w:asciiTheme="minorEastAsia" w:hAnsiTheme="minorEastAsia" w:cstheme="minorEastAsia"/>
                <w:sz w:val="24"/>
                <w:szCs w:val="24"/>
              </w:rPr>
            </w:pPr>
          </w:p>
        </w:tc>
        <w:tc>
          <w:tcPr>
            <w:tcW w:w="1165" w:type="dxa"/>
            <w:vMerge w:val="continue"/>
            <w:tcBorders>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rPr>
                <w:rFonts w:hint="eastAsia" w:asciiTheme="minorEastAsia" w:hAnsiTheme="minorEastAsia" w:cstheme="minorEastAsia"/>
                <w:sz w:val="24"/>
                <w:szCs w:val="24"/>
              </w:rPr>
            </w:pPr>
          </w:p>
        </w:tc>
        <w:tc>
          <w:tcPr>
            <w:tcW w:w="3076"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rPr>
                <w:rFonts w:hint="eastAsia" w:asciiTheme="minorEastAsia" w:hAnsiTheme="minorEastAsia" w:cstheme="minorEastAsia"/>
                <w:sz w:val="24"/>
                <w:szCs w:val="24"/>
              </w:rPr>
            </w:pPr>
            <w:r>
              <w:rPr>
                <w:rFonts w:hint="eastAsia" w:asciiTheme="minorEastAsia" w:hAnsiTheme="minorEastAsia" w:cstheme="minorEastAsia"/>
                <w:sz w:val="24"/>
                <w:szCs w:val="24"/>
              </w:rPr>
              <w:t xml:space="preserve">     省    市           支行          </w:t>
            </w:r>
          </w:p>
        </w:tc>
      </w:tr>
      <w:tr>
        <w:trPr>
          <w:cantSplit/>
          <w:trHeight w:val="567" w:hRule="atLeast"/>
        </w:trPr>
        <w:tc>
          <w:tcPr>
            <w:tcW w:w="1168"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开户账号</w:t>
            </w:r>
          </w:p>
        </w:tc>
        <w:tc>
          <w:tcPr>
            <w:tcW w:w="3353"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65" w:type="dxa"/>
            <w:tcBorders>
              <w:top w:val="single" w:color="000000" w:sz="4" w:space="0"/>
              <w:left w:val="single" w:color="000000" w:sz="4" w:space="0"/>
              <w:bottom w:val="single" w:color="000000" w:sz="4" w:space="0"/>
              <w:right w:val="nil"/>
            </w:tcBorders>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网址</w:t>
            </w:r>
            <w:r>
              <w:rPr>
                <w:rFonts w:hint="eastAsia" w:asciiTheme="minorEastAsia" w:hAnsiTheme="minorEastAsia" w:eastAsiaTheme="minorEastAsia" w:cstheme="minorEastAsia"/>
                <w:sz w:val="24"/>
                <w:szCs w:val="24"/>
              </w:rPr>
              <w:t>／APP名称</w:t>
            </w:r>
          </w:p>
        </w:tc>
        <w:tc>
          <w:tcPr>
            <w:tcW w:w="3076" w:type="dxa"/>
            <w:tcBorders>
              <w:top w:val="single" w:color="000000" w:sz="4" w:space="0"/>
              <w:left w:val="single" w:color="000000" w:sz="4" w:space="0"/>
              <w:bottom w:val="single" w:color="000000" w:sz="4" w:space="0"/>
              <w:right w:val="double" w:color="000000" w:sz="4" w:space="0"/>
            </w:tcBorders>
          </w:tcPr>
          <w:p>
            <w:pPr>
              <w:tabs>
                <w:tab w:val="left" w:pos="480"/>
                <w:tab w:val="left" w:pos="960"/>
                <w:tab w:val="left" w:pos="1440"/>
                <w:tab w:val="left" w:pos="1920"/>
                <w:tab w:val="left" w:pos="2400"/>
                <w:tab w:val="left" w:pos="2880"/>
                <w:tab w:val="left" w:pos="3360"/>
                <w:tab w:val="left" w:pos="3840"/>
                <w:tab w:val="left" w:pos="4320"/>
              </w:tabs>
              <w:rPr>
                <w:rFonts w:hint="eastAsia" w:asciiTheme="minorEastAsia" w:hAnsiTheme="minorEastAsia" w:cstheme="minorEastAsia"/>
                <w:sz w:val="24"/>
                <w:szCs w:val="24"/>
              </w:rPr>
            </w:pPr>
          </w:p>
        </w:tc>
      </w:tr>
      <w:tr>
        <w:trPr>
          <w:cantSplit/>
          <w:trHeight w:val="567" w:hRule="atLeast"/>
        </w:trPr>
        <w:tc>
          <w:tcPr>
            <w:tcW w:w="1168"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E-mail</w:t>
            </w:r>
          </w:p>
        </w:tc>
        <w:tc>
          <w:tcPr>
            <w:tcW w:w="7594" w:type="dxa"/>
            <w:gridSpan w:val="3"/>
            <w:tcBorders>
              <w:top w:val="single" w:color="000000" w:sz="4" w:space="0"/>
              <w:left w:val="single" w:color="000000" w:sz="4" w:space="0"/>
              <w:bottom w:val="single" w:color="000000" w:sz="4" w:space="0"/>
              <w:right w:val="double" w:color="000000" w:sz="4" w:space="0"/>
            </w:tcBorders>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b/>
                <w:bCs/>
                <w:sz w:val="24"/>
                <w:szCs w:val="24"/>
              </w:rPr>
            </w:pPr>
            <w:r>
              <w:rPr>
                <w:rFonts w:hint="eastAsia" w:asciiTheme="minorEastAsia" w:hAnsiTheme="minorEastAsia" w:cstheme="minorEastAsia"/>
                <w:b/>
                <w:bCs/>
                <w:sz w:val="24"/>
                <w:szCs w:val="24"/>
              </w:rPr>
              <w:t>（注意：此邮箱将作为商户系统登录名，请正确填写！）</w:t>
            </w:r>
          </w:p>
        </w:tc>
      </w:tr>
      <w:tr>
        <w:trPr>
          <w:cantSplit/>
          <w:trHeight w:val="567" w:hRule="atLeast"/>
        </w:trPr>
        <w:tc>
          <w:tcPr>
            <w:tcW w:w="1168"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业务联系人</w:t>
            </w:r>
          </w:p>
        </w:tc>
        <w:tc>
          <w:tcPr>
            <w:tcW w:w="3353"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65"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业务联系人手  机</w:t>
            </w:r>
          </w:p>
        </w:tc>
        <w:tc>
          <w:tcPr>
            <w:tcW w:w="3076"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r>
        <w:trPr>
          <w:cantSplit/>
          <w:trHeight w:val="567" w:hRule="atLeast"/>
        </w:trPr>
        <w:tc>
          <w:tcPr>
            <w:tcW w:w="1168"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客服联系人</w:t>
            </w:r>
          </w:p>
        </w:tc>
        <w:tc>
          <w:tcPr>
            <w:tcW w:w="3353"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 xml:space="preserve"> </w:t>
            </w:r>
          </w:p>
        </w:tc>
        <w:tc>
          <w:tcPr>
            <w:tcW w:w="1165"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客服热线</w:t>
            </w:r>
          </w:p>
        </w:tc>
        <w:tc>
          <w:tcPr>
            <w:tcW w:w="3076"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bl>
    <w:p>
      <w:pPr>
        <w:tabs>
          <w:tab w:val="left" w:pos="396"/>
        </w:tabs>
        <w:rPr>
          <w:rFonts w:hint="eastAsia" w:asciiTheme="minorEastAsia" w:hAnsiTheme="minorEastAsia" w:cstheme="minorEastAsia"/>
          <w:sz w:val="24"/>
          <w:szCs w:val="24"/>
        </w:rPr>
      </w:pPr>
    </w:p>
    <w:tbl>
      <w:tblPr>
        <w:tblStyle w:val="5"/>
        <w:tblpPr w:leftFromText="180" w:rightFromText="180" w:vertAnchor="text" w:horzAnchor="margin" w:tblpXSpec="center" w:tblpY="-196"/>
        <w:tblOverlap w:val="never"/>
        <w:tblW w:w="8775" w:type="dxa"/>
        <w:tblInd w:w="0" w:type="dxa"/>
        <w:tblLayout w:type="fixed"/>
        <w:tblCellMar>
          <w:top w:w="0" w:type="dxa"/>
          <w:left w:w="108" w:type="dxa"/>
          <w:bottom w:w="0" w:type="dxa"/>
          <w:right w:w="108" w:type="dxa"/>
        </w:tblCellMar>
      </w:tblPr>
      <w:tblGrid>
        <w:gridCol w:w="1170"/>
        <w:gridCol w:w="3340"/>
        <w:gridCol w:w="1175"/>
        <w:gridCol w:w="3090"/>
      </w:tblGrid>
      <w:tr>
        <w:trPr>
          <w:cantSplit/>
          <w:trHeight w:val="567" w:hRule="atLeast"/>
        </w:trPr>
        <w:tc>
          <w:tcPr>
            <w:tcW w:w="1170" w:type="dxa"/>
            <w:tcBorders>
              <w:top w:val="doub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乙  方</w:t>
            </w:r>
          </w:p>
        </w:tc>
        <w:tc>
          <w:tcPr>
            <w:tcW w:w="7605" w:type="dxa"/>
            <w:gridSpan w:val="3"/>
            <w:tcBorders>
              <w:top w:val="doub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r>
        <w:trPr>
          <w:cantSplit/>
          <w:trHeight w:val="567" w:hRule="atLeast"/>
        </w:trPr>
        <w:tc>
          <w:tcPr>
            <w:tcW w:w="1170"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地  址</w:t>
            </w:r>
          </w:p>
        </w:tc>
        <w:tc>
          <w:tcPr>
            <w:tcW w:w="3340"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75"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邮  编</w:t>
            </w:r>
          </w:p>
        </w:tc>
        <w:tc>
          <w:tcPr>
            <w:tcW w:w="3090"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r>
        <w:trPr>
          <w:cantSplit/>
          <w:trHeight w:val="567" w:hRule="atLeast"/>
        </w:trPr>
        <w:tc>
          <w:tcPr>
            <w:tcW w:w="1170"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电  话</w:t>
            </w:r>
          </w:p>
        </w:tc>
        <w:tc>
          <w:tcPr>
            <w:tcW w:w="3340"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75"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传  真</w:t>
            </w:r>
          </w:p>
        </w:tc>
        <w:tc>
          <w:tcPr>
            <w:tcW w:w="3090"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r>
        <w:trPr>
          <w:cantSplit/>
          <w:trHeight w:val="567" w:hRule="atLeast"/>
        </w:trPr>
        <w:tc>
          <w:tcPr>
            <w:tcW w:w="1170"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lang w:val="zh-CN"/>
              </w:rPr>
            </w:pPr>
            <w:r>
              <w:rPr>
                <w:rFonts w:hint="eastAsia" w:asciiTheme="minorEastAsia" w:hAnsiTheme="minorEastAsia" w:cstheme="minorEastAsia"/>
                <w:sz w:val="24"/>
                <w:szCs w:val="24"/>
              </w:rPr>
              <w:t>开户名</w:t>
            </w:r>
          </w:p>
        </w:tc>
        <w:tc>
          <w:tcPr>
            <w:tcW w:w="3340"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75"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lang w:val="zh-CN"/>
              </w:rPr>
            </w:pPr>
            <w:r>
              <w:rPr>
                <w:rFonts w:hint="eastAsia" w:asciiTheme="minorEastAsia" w:hAnsiTheme="minorEastAsia" w:cstheme="minorEastAsia"/>
                <w:sz w:val="24"/>
                <w:szCs w:val="24"/>
              </w:rPr>
              <w:t>开户行</w:t>
            </w:r>
          </w:p>
        </w:tc>
        <w:tc>
          <w:tcPr>
            <w:tcW w:w="3090" w:type="dxa"/>
            <w:tcBorders>
              <w:top w:val="single" w:color="000000" w:sz="4" w:space="0"/>
              <w:left w:val="single" w:color="000000" w:sz="4" w:space="0"/>
              <w:bottom w:val="single" w:color="000000" w:sz="4" w:space="0"/>
              <w:right w:val="double" w:color="000000" w:sz="4" w:space="0"/>
            </w:tcBorders>
            <w:vAlign w:val="center"/>
          </w:tcPr>
          <w:p>
            <w:pPr>
              <w:widowControl/>
              <w:ind w:left="76" w:right="76"/>
              <w:jc w:val="center"/>
              <w:rPr>
                <w:rFonts w:hint="eastAsia" w:asciiTheme="minorEastAsia" w:hAnsiTheme="minorEastAsia" w:cstheme="minorEastAsia"/>
                <w:sz w:val="24"/>
                <w:szCs w:val="24"/>
              </w:rPr>
            </w:pPr>
          </w:p>
        </w:tc>
      </w:tr>
      <w:tr>
        <w:trPr>
          <w:cantSplit/>
          <w:trHeight w:val="567" w:hRule="atLeast"/>
        </w:trPr>
        <w:tc>
          <w:tcPr>
            <w:tcW w:w="1170"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开户账号</w:t>
            </w:r>
          </w:p>
        </w:tc>
        <w:tc>
          <w:tcPr>
            <w:tcW w:w="3340"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75"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公司网址</w:t>
            </w:r>
          </w:p>
        </w:tc>
        <w:tc>
          <w:tcPr>
            <w:tcW w:w="3090"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r>
        <w:trPr>
          <w:cantSplit/>
          <w:trHeight w:val="567" w:hRule="atLeast"/>
        </w:trPr>
        <w:tc>
          <w:tcPr>
            <w:tcW w:w="1170" w:type="dxa"/>
            <w:tcBorders>
              <w:top w:val="single" w:color="000000" w:sz="4" w:space="0"/>
              <w:left w:val="doub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业务联系人</w:t>
            </w:r>
          </w:p>
        </w:tc>
        <w:tc>
          <w:tcPr>
            <w:tcW w:w="3340"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75" w:type="dxa"/>
            <w:tcBorders>
              <w:top w:val="single" w:color="000000" w:sz="4" w:space="0"/>
              <w:left w:val="single" w:color="000000" w:sz="4" w:space="0"/>
              <w:bottom w:val="sing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业务联系人手机</w:t>
            </w:r>
          </w:p>
        </w:tc>
        <w:tc>
          <w:tcPr>
            <w:tcW w:w="3090" w:type="dxa"/>
            <w:tcBorders>
              <w:top w:val="single" w:color="000000" w:sz="4" w:space="0"/>
              <w:left w:val="single" w:color="000000" w:sz="4" w:space="0"/>
              <w:bottom w:val="sing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r>
        <w:trPr>
          <w:cantSplit/>
          <w:trHeight w:val="567" w:hRule="atLeast"/>
        </w:trPr>
        <w:tc>
          <w:tcPr>
            <w:tcW w:w="1170" w:type="dxa"/>
            <w:tcBorders>
              <w:top w:val="single" w:color="000000" w:sz="4" w:space="0"/>
              <w:left w:val="double" w:color="000000" w:sz="4" w:space="0"/>
              <w:bottom w:val="doub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业务联系人E-mail</w:t>
            </w:r>
          </w:p>
        </w:tc>
        <w:tc>
          <w:tcPr>
            <w:tcW w:w="3340" w:type="dxa"/>
            <w:tcBorders>
              <w:top w:val="single" w:color="000000" w:sz="4" w:space="0"/>
              <w:left w:val="single" w:color="000000" w:sz="4" w:space="0"/>
              <w:bottom w:val="double" w:color="000000" w:sz="4" w:space="0"/>
              <w:right w:val="nil"/>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c>
          <w:tcPr>
            <w:tcW w:w="1175" w:type="dxa"/>
            <w:tcBorders>
              <w:top w:val="single" w:color="000000" w:sz="4" w:space="0"/>
              <w:left w:val="single" w:color="000000" w:sz="4" w:space="0"/>
              <w:bottom w:val="double" w:color="000000" w:sz="4" w:space="0"/>
              <w:right w:val="nil"/>
            </w:tcBorders>
            <w:vAlign w:val="center"/>
          </w:tcPr>
          <w:p>
            <w:pPr>
              <w:jc w:val="center"/>
              <w:rPr>
                <w:rFonts w:hint="eastAsia" w:asciiTheme="minorEastAsia" w:hAnsiTheme="minorEastAsia" w:cstheme="minorEastAsia"/>
                <w:sz w:val="24"/>
              </w:rPr>
            </w:pPr>
            <w:r>
              <w:rPr>
                <w:rFonts w:hint="eastAsia" w:asciiTheme="minorEastAsia" w:hAnsiTheme="minorEastAsia" w:cstheme="minorEastAsia"/>
                <w:sz w:val="24"/>
                <w:szCs w:val="24"/>
              </w:rPr>
              <w:t>业务联系人QQ</w:t>
            </w:r>
          </w:p>
        </w:tc>
        <w:tc>
          <w:tcPr>
            <w:tcW w:w="3090" w:type="dxa"/>
            <w:tcBorders>
              <w:top w:val="single" w:color="000000" w:sz="4" w:space="0"/>
              <w:left w:val="single" w:color="000000" w:sz="4" w:space="0"/>
              <w:bottom w:val="double" w:color="000000" w:sz="4" w:space="0"/>
              <w:right w:val="double" w:color="000000" w:sz="4" w:space="0"/>
            </w:tcBorders>
            <w:vAlign w:val="center"/>
          </w:tcPr>
          <w:p>
            <w:pPr>
              <w:tabs>
                <w:tab w:val="left" w:pos="480"/>
                <w:tab w:val="left" w:pos="960"/>
                <w:tab w:val="left" w:pos="1440"/>
                <w:tab w:val="left" w:pos="1920"/>
                <w:tab w:val="left" w:pos="2400"/>
                <w:tab w:val="left" w:pos="2880"/>
                <w:tab w:val="left" w:pos="3360"/>
                <w:tab w:val="left" w:pos="3840"/>
                <w:tab w:val="left" w:pos="4320"/>
              </w:tabs>
              <w:jc w:val="center"/>
              <w:rPr>
                <w:rFonts w:hint="eastAsia" w:asciiTheme="minorEastAsia" w:hAnsiTheme="minorEastAsia" w:cstheme="minorEastAsia"/>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宋体" w:hAnsi="宋体" w:eastAsia="宋体" w:cs="Times New Roman"/>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宋体" w:hAnsi="宋体" w:eastAsia="宋体"/>
          <w:b w:val="0"/>
          <w:bCs w:val="0"/>
          <w:szCs w:val="21"/>
          <w:highlight w:val="yellow"/>
        </w:rPr>
      </w:pPr>
      <w:r>
        <w:rPr>
          <w:rFonts w:hint="default" w:ascii="宋体" w:hAnsi="宋体" w:eastAsia="宋体" w:cs="Times New Roman"/>
          <w:color w:val="000000"/>
          <w:sz w:val="24"/>
          <w:szCs w:val="24"/>
          <w:highlight w:val="yellow"/>
        </w:rPr>
        <w:t>1.2代收缴产品及费率信息（根据表单上的选择，映射出对应的产品：计费策略</w:t>
      </w:r>
      <w:r>
        <w:rPr>
          <w:rFonts w:hint="default" w:ascii="宋体" w:hAnsi="宋体" w:eastAsia="宋体"/>
          <w:b w:val="0"/>
          <w:bCs w:val="0"/>
          <w:i/>
          <w:iCs/>
          <w:color w:val="FF0000"/>
          <w:szCs w:val="21"/>
          <w:highlight w:val="yellow"/>
          <w:shd w:val="clear" w:color="FFFFFF" w:fill="D9D9D9"/>
        </w:rPr>
        <w:t>、费率值、服务费承担方、收取方式、退款是否退代收缴服务费，代收缴服务费计算方式为：交易金额*费率值</w:t>
      </w:r>
      <w:r>
        <w:rPr>
          <w:rFonts w:hint="default" w:ascii="宋体" w:hAnsi="宋体" w:eastAsia="宋体"/>
          <w:b w:val="0"/>
          <w:bCs w:val="0"/>
          <w:szCs w:val="21"/>
          <w:highlight w:val="yellow"/>
        </w:rPr>
        <w:t>）：</w:t>
      </w:r>
    </w:p>
    <w:tbl>
      <w:tblPr>
        <w:tblStyle w:val="5"/>
        <w:tblpPr w:leftFromText="180" w:rightFromText="180" w:vertAnchor="text" w:horzAnchor="page" w:tblpX="1491" w:tblpY="578"/>
        <w:tblOverlap w:val="never"/>
        <w:tblW w:w="8835"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757"/>
        <w:gridCol w:w="1538"/>
        <w:gridCol w:w="1800"/>
        <w:gridCol w:w="1160"/>
        <w:gridCol w:w="1580"/>
      </w:tblGrid>
      <w:tr>
        <w:trPr>
          <w:trHeight w:val="791" w:hRule="atLeast"/>
        </w:trPr>
        <w:tc>
          <w:tcPr>
            <w:tcW w:w="8835" w:type="dxa"/>
            <w:gridSpan w:val="5"/>
            <w:shd w:val="clear" w:color="auto" w:fill="CCCCCC"/>
            <w:vAlign w:val="top"/>
          </w:tcPr>
          <w:p>
            <w:pPr>
              <w:pStyle w:val="11"/>
              <w:spacing w:before="157" w:line="240" w:lineRule="auto"/>
              <w:ind w:left="52" w:right="0"/>
              <w:jc w:val="left"/>
              <w:rPr>
                <w:sz w:val="24"/>
                <w:highlight w:val="none"/>
              </w:rPr>
            </w:pPr>
            <w:r>
              <w:rPr>
                <w:rFonts w:hint="default" w:ascii="Microsoft JhengHei" w:eastAsia="Microsoft JhengHei"/>
                <w:b/>
                <w:sz w:val="24"/>
                <w:highlight w:val="none"/>
              </w:rPr>
              <w:t>代收缴</w:t>
            </w:r>
            <w:r>
              <w:rPr>
                <w:rFonts w:hint="eastAsia" w:ascii="Microsoft JhengHei" w:eastAsia="Microsoft JhengHei"/>
                <w:b/>
                <w:sz w:val="24"/>
                <w:highlight w:val="none"/>
              </w:rPr>
              <w:t>产品：</w:t>
            </w:r>
            <w:r>
              <w:rPr>
                <w:sz w:val="24"/>
                <w:highlight w:val="none"/>
              </w:rPr>
              <w:t>提供同时支持面对面场景和非面对面场景的代收缴产品</w:t>
            </w:r>
          </w:p>
        </w:tc>
      </w:tr>
      <w:tr>
        <w:trPr>
          <w:trHeight w:val="300" w:hRule="atLeast"/>
        </w:trPr>
        <w:tc>
          <w:tcPr>
            <w:tcW w:w="8835" w:type="dxa"/>
            <w:gridSpan w:val="5"/>
            <w:shd w:val="clear" w:color="auto" w:fill="CCCCCC"/>
            <w:vAlign w:val="top"/>
          </w:tcPr>
          <w:p>
            <w:pPr>
              <w:pStyle w:val="11"/>
              <w:ind w:left="52" w:right="0"/>
              <w:jc w:val="left"/>
              <w:rPr>
                <w:rFonts w:hint="eastAsia" w:ascii="Microsoft JhengHei" w:eastAsia="Microsoft JhengHei"/>
                <w:b/>
                <w:sz w:val="24"/>
              </w:rPr>
            </w:pPr>
            <w:r>
              <w:rPr>
                <w:rFonts w:hint="eastAsia" w:ascii="Microsoft JhengHei" w:eastAsia="Microsoft JhengHei"/>
                <w:b/>
                <w:sz w:val="24"/>
              </w:rPr>
              <w:t>聚合产品</w:t>
            </w:r>
          </w:p>
        </w:tc>
      </w:tr>
      <w:tr>
        <w:trPr>
          <w:trHeight w:val="300" w:hRule="atLeast"/>
        </w:trPr>
        <w:tc>
          <w:tcPr>
            <w:tcW w:w="2757" w:type="dxa"/>
            <w:vAlign w:val="top"/>
          </w:tcPr>
          <w:p>
            <w:pPr>
              <w:pStyle w:val="11"/>
              <w:ind w:left="42" w:right="5"/>
              <w:rPr>
                <w:sz w:val="24"/>
                <w:highlight w:val="none"/>
              </w:rPr>
            </w:pPr>
            <w:r>
              <w:rPr>
                <w:sz w:val="24"/>
                <w:highlight w:val="none"/>
              </w:rPr>
              <w:t>产品名称</w:t>
            </w:r>
          </w:p>
        </w:tc>
        <w:tc>
          <w:tcPr>
            <w:tcW w:w="1538" w:type="dxa"/>
            <w:vAlign w:val="top"/>
          </w:tcPr>
          <w:p>
            <w:pPr>
              <w:pStyle w:val="11"/>
              <w:rPr>
                <w:sz w:val="24"/>
                <w:highlight w:val="none"/>
              </w:rPr>
            </w:pPr>
            <w:r>
              <w:rPr>
                <w:sz w:val="24"/>
                <w:highlight w:val="none"/>
              </w:rPr>
              <w:t>计费策略</w:t>
            </w:r>
          </w:p>
        </w:tc>
        <w:tc>
          <w:tcPr>
            <w:tcW w:w="1800" w:type="dxa"/>
            <w:vAlign w:val="top"/>
          </w:tcPr>
          <w:p>
            <w:pPr>
              <w:pStyle w:val="11"/>
              <w:rPr>
                <w:sz w:val="24"/>
                <w:highlight w:val="none"/>
              </w:rPr>
            </w:pPr>
            <w:r>
              <w:rPr>
                <w:sz w:val="24"/>
                <w:highlight w:val="none"/>
              </w:rPr>
              <w:t>服务费费率值</w:t>
            </w:r>
          </w:p>
        </w:tc>
        <w:tc>
          <w:tcPr>
            <w:tcW w:w="1160" w:type="dxa"/>
            <w:vAlign w:val="top"/>
          </w:tcPr>
          <w:p>
            <w:pPr>
              <w:pStyle w:val="11"/>
              <w:ind w:left="205" w:right="177"/>
              <w:rPr>
                <w:sz w:val="24"/>
                <w:highlight w:val="none"/>
              </w:rPr>
            </w:pPr>
            <w:r>
              <w:rPr>
                <w:sz w:val="24"/>
                <w:highlight w:val="none"/>
              </w:rPr>
              <w:t>承担方</w:t>
            </w:r>
          </w:p>
        </w:tc>
        <w:tc>
          <w:tcPr>
            <w:tcW w:w="1580" w:type="dxa"/>
            <w:vAlign w:val="top"/>
          </w:tcPr>
          <w:p>
            <w:pPr>
              <w:pStyle w:val="11"/>
              <w:ind w:left="205" w:right="178"/>
              <w:rPr>
                <w:sz w:val="24"/>
                <w:highlight w:val="none"/>
              </w:rPr>
            </w:pPr>
            <w:r>
              <w:rPr>
                <w:sz w:val="24"/>
                <w:highlight w:val="none"/>
              </w:rPr>
              <w:t>收取方式</w:t>
            </w:r>
          </w:p>
        </w:tc>
      </w:tr>
      <w:tr>
        <w:trPr>
          <w:trHeight w:val="876" w:hRule="atLeast"/>
        </w:trPr>
        <w:tc>
          <w:tcPr>
            <w:tcW w:w="2757" w:type="dxa"/>
            <w:vAlign w:val="top"/>
          </w:tcPr>
          <w:p>
            <w:pPr>
              <w:pStyle w:val="11"/>
              <w:spacing w:before="2" w:line="240" w:lineRule="auto"/>
              <w:ind w:left="0" w:right="0"/>
              <w:jc w:val="left"/>
              <w:rPr>
                <w:sz w:val="22"/>
              </w:rPr>
            </w:pPr>
          </w:p>
          <w:p>
            <w:pPr>
              <w:pStyle w:val="11"/>
              <w:spacing w:line="240" w:lineRule="auto"/>
              <w:ind w:left="42" w:right="5"/>
              <w:rPr>
                <w:sz w:val="24"/>
              </w:rPr>
            </w:pPr>
            <w:r>
              <w:rPr>
                <w:sz w:val="24"/>
              </w:rPr>
              <w:t>用户扫码_微信_线下</w:t>
            </w:r>
          </w:p>
        </w:tc>
        <w:tc>
          <w:tcPr>
            <w:tcW w:w="1538" w:type="dxa"/>
            <w:vAlign w:val="top"/>
          </w:tcPr>
          <w:p>
            <w:pPr>
              <w:pStyle w:val="11"/>
              <w:spacing w:line="240" w:lineRule="auto"/>
              <w:rPr>
                <w:sz w:val="24"/>
              </w:rPr>
            </w:pPr>
          </w:p>
        </w:tc>
        <w:tc>
          <w:tcPr>
            <w:tcW w:w="1800" w:type="dxa"/>
            <w:vAlign w:val="top"/>
          </w:tcPr>
          <w:p>
            <w:pPr>
              <w:pStyle w:val="11"/>
              <w:spacing w:line="274" w:lineRule="exact"/>
              <w:rPr>
                <w:sz w:val="24"/>
              </w:rPr>
            </w:pPr>
          </w:p>
        </w:tc>
        <w:tc>
          <w:tcPr>
            <w:tcW w:w="1160" w:type="dxa"/>
            <w:vAlign w:val="top"/>
          </w:tcPr>
          <w:p>
            <w:pPr>
              <w:pStyle w:val="11"/>
              <w:spacing w:line="240" w:lineRule="auto"/>
              <w:ind w:left="205" w:right="177"/>
              <w:rPr>
                <w:sz w:val="24"/>
              </w:rPr>
            </w:pPr>
          </w:p>
        </w:tc>
        <w:tc>
          <w:tcPr>
            <w:tcW w:w="1580" w:type="dxa"/>
            <w:vAlign w:val="top"/>
          </w:tcPr>
          <w:p>
            <w:pPr>
              <w:pStyle w:val="11"/>
              <w:spacing w:line="240" w:lineRule="auto"/>
              <w:ind w:left="205" w:right="178"/>
              <w:rPr>
                <w:sz w:val="24"/>
              </w:rPr>
            </w:pPr>
          </w:p>
        </w:tc>
      </w:tr>
      <w:tr>
        <w:trPr>
          <w:trHeight w:val="300" w:hRule="atLeast"/>
        </w:trPr>
        <w:tc>
          <w:tcPr>
            <w:tcW w:w="2757" w:type="dxa"/>
            <w:vAlign w:val="top"/>
          </w:tcPr>
          <w:p>
            <w:pPr>
              <w:pStyle w:val="11"/>
              <w:ind w:left="42" w:right="5"/>
              <w:rPr>
                <w:sz w:val="24"/>
              </w:rPr>
            </w:pPr>
            <w:r>
              <w:rPr>
                <w:sz w:val="24"/>
              </w:rPr>
              <w:t>用户扫码_微信_线上</w:t>
            </w:r>
          </w:p>
        </w:tc>
        <w:tc>
          <w:tcPr>
            <w:tcW w:w="1538" w:type="dxa"/>
            <w:vAlign w:val="top"/>
          </w:tcPr>
          <w:p>
            <w:pPr>
              <w:pStyle w:val="11"/>
              <w:rPr>
                <w:sz w:val="24"/>
              </w:rPr>
            </w:pPr>
          </w:p>
        </w:tc>
        <w:tc>
          <w:tcPr>
            <w:tcW w:w="1800" w:type="dxa"/>
            <w:vAlign w:val="top"/>
          </w:tcPr>
          <w:p>
            <w:pPr>
              <w:pStyle w:val="11"/>
              <w:rPr>
                <w:rFonts w:hint="default"/>
                <w:sz w:val="24"/>
                <w:lang w:val="en-US"/>
              </w:rPr>
            </w:pPr>
          </w:p>
        </w:tc>
        <w:tc>
          <w:tcPr>
            <w:tcW w:w="1160" w:type="dxa"/>
            <w:vAlign w:val="top"/>
          </w:tcPr>
          <w:p>
            <w:pPr>
              <w:pStyle w:val="11"/>
              <w:ind w:left="205" w:right="177"/>
              <w:rPr>
                <w:sz w:val="24"/>
              </w:rPr>
            </w:pPr>
          </w:p>
        </w:tc>
        <w:tc>
          <w:tcPr>
            <w:tcW w:w="1580" w:type="dxa"/>
            <w:vAlign w:val="top"/>
          </w:tcPr>
          <w:p>
            <w:pPr>
              <w:pStyle w:val="11"/>
              <w:ind w:left="205" w:right="178"/>
              <w:rPr>
                <w:sz w:val="24"/>
              </w:rPr>
            </w:pPr>
          </w:p>
        </w:tc>
      </w:tr>
      <w:tr>
        <w:trPr>
          <w:trHeight w:val="300" w:hRule="atLeast"/>
        </w:trPr>
        <w:tc>
          <w:tcPr>
            <w:tcW w:w="2757" w:type="dxa"/>
            <w:vAlign w:val="top"/>
          </w:tcPr>
          <w:p>
            <w:pPr>
              <w:pStyle w:val="11"/>
              <w:ind w:left="42" w:right="5"/>
              <w:rPr>
                <w:sz w:val="24"/>
              </w:rPr>
            </w:pPr>
            <w:r>
              <w:rPr>
                <w:sz w:val="24"/>
              </w:rPr>
              <w:t>用户扫码_支付宝_线下</w:t>
            </w:r>
          </w:p>
        </w:tc>
        <w:tc>
          <w:tcPr>
            <w:tcW w:w="1538" w:type="dxa"/>
            <w:vAlign w:val="top"/>
          </w:tcPr>
          <w:p>
            <w:pPr>
              <w:pStyle w:val="11"/>
              <w:rPr>
                <w:sz w:val="24"/>
              </w:rPr>
            </w:pPr>
          </w:p>
        </w:tc>
        <w:tc>
          <w:tcPr>
            <w:tcW w:w="1800" w:type="dxa"/>
            <w:vAlign w:val="top"/>
          </w:tcPr>
          <w:p>
            <w:pPr>
              <w:pStyle w:val="11"/>
              <w:rPr>
                <w:sz w:val="24"/>
              </w:rPr>
            </w:pPr>
          </w:p>
        </w:tc>
        <w:tc>
          <w:tcPr>
            <w:tcW w:w="1160" w:type="dxa"/>
            <w:vAlign w:val="top"/>
          </w:tcPr>
          <w:p>
            <w:pPr>
              <w:pStyle w:val="11"/>
              <w:ind w:left="205" w:right="177"/>
              <w:rPr>
                <w:sz w:val="24"/>
              </w:rPr>
            </w:pPr>
          </w:p>
        </w:tc>
        <w:tc>
          <w:tcPr>
            <w:tcW w:w="1580" w:type="dxa"/>
            <w:vAlign w:val="top"/>
          </w:tcPr>
          <w:p>
            <w:pPr>
              <w:pStyle w:val="11"/>
              <w:ind w:left="205" w:right="178"/>
              <w:rPr>
                <w:sz w:val="24"/>
              </w:rPr>
            </w:pPr>
          </w:p>
        </w:tc>
      </w:tr>
      <w:tr>
        <w:trPr>
          <w:trHeight w:val="300" w:hRule="atLeast"/>
        </w:trPr>
        <w:tc>
          <w:tcPr>
            <w:tcW w:w="8835" w:type="dxa"/>
            <w:gridSpan w:val="5"/>
            <w:shd w:val="clear" w:color="auto" w:fill="CCCCCC"/>
            <w:vAlign w:val="top"/>
          </w:tcPr>
          <w:p>
            <w:pPr>
              <w:pStyle w:val="11"/>
              <w:ind w:left="52" w:right="0"/>
              <w:jc w:val="left"/>
              <w:rPr>
                <w:rFonts w:hint="eastAsia" w:ascii="Microsoft JhengHei" w:eastAsia="Microsoft JhengHei"/>
                <w:b/>
                <w:sz w:val="24"/>
              </w:rPr>
            </w:pPr>
            <w:r>
              <w:rPr>
                <w:rFonts w:hint="eastAsia" w:ascii="Microsoft JhengHei" w:eastAsia="Microsoft JhengHei"/>
                <w:b/>
                <w:sz w:val="24"/>
              </w:rPr>
              <w:t>网银支付</w:t>
            </w:r>
          </w:p>
        </w:tc>
      </w:tr>
      <w:tr>
        <w:trPr>
          <w:trHeight w:val="300" w:hRule="atLeast"/>
        </w:trPr>
        <w:tc>
          <w:tcPr>
            <w:tcW w:w="2757" w:type="dxa"/>
            <w:vAlign w:val="top"/>
          </w:tcPr>
          <w:p>
            <w:pPr>
              <w:pStyle w:val="11"/>
              <w:ind w:left="42" w:right="5"/>
              <w:rPr>
                <w:sz w:val="24"/>
              </w:rPr>
            </w:pPr>
            <w:r>
              <w:rPr>
                <w:sz w:val="24"/>
              </w:rPr>
              <w:t>产品名称</w:t>
            </w:r>
          </w:p>
        </w:tc>
        <w:tc>
          <w:tcPr>
            <w:tcW w:w="1538" w:type="dxa"/>
            <w:vAlign w:val="top"/>
          </w:tcPr>
          <w:p>
            <w:pPr>
              <w:pStyle w:val="11"/>
              <w:rPr>
                <w:sz w:val="24"/>
              </w:rPr>
            </w:pPr>
            <w:r>
              <w:rPr>
                <w:sz w:val="24"/>
              </w:rPr>
              <w:t>计费策略</w:t>
            </w:r>
          </w:p>
        </w:tc>
        <w:tc>
          <w:tcPr>
            <w:tcW w:w="1800" w:type="dxa"/>
            <w:vAlign w:val="top"/>
          </w:tcPr>
          <w:p>
            <w:pPr>
              <w:pStyle w:val="11"/>
              <w:rPr>
                <w:sz w:val="24"/>
                <w:highlight w:val="none"/>
              </w:rPr>
            </w:pPr>
            <w:r>
              <w:rPr>
                <w:sz w:val="24"/>
                <w:highlight w:val="none"/>
              </w:rPr>
              <w:t>服务费费率值</w:t>
            </w:r>
          </w:p>
        </w:tc>
        <w:tc>
          <w:tcPr>
            <w:tcW w:w="1160" w:type="dxa"/>
            <w:vAlign w:val="top"/>
          </w:tcPr>
          <w:p>
            <w:pPr>
              <w:pStyle w:val="11"/>
              <w:ind w:left="205" w:right="177"/>
              <w:rPr>
                <w:sz w:val="24"/>
              </w:rPr>
            </w:pPr>
            <w:r>
              <w:rPr>
                <w:sz w:val="24"/>
              </w:rPr>
              <w:t>承担方</w:t>
            </w:r>
          </w:p>
        </w:tc>
        <w:tc>
          <w:tcPr>
            <w:tcW w:w="1580" w:type="dxa"/>
            <w:vAlign w:val="top"/>
          </w:tcPr>
          <w:p>
            <w:pPr>
              <w:pStyle w:val="11"/>
              <w:ind w:left="205" w:right="178"/>
              <w:rPr>
                <w:sz w:val="24"/>
              </w:rPr>
            </w:pPr>
            <w:r>
              <w:rPr>
                <w:sz w:val="24"/>
              </w:rPr>
              <w:t>收取方式</w:t>
            </w:r>
          </w:p>
        </w:tc>
      </w:tr>
    </w:tbl>
    <w:tbl>
      <w:tblPr>
        <w:tblStyle w:val="5"/>
        <w:tblpPr w:leftFromText="180" w:rightFromText="180" w:vertAnchor="text" w:horzAnchor="page" w:tblpX="1495" w:tblpY="418"/>
        <w:tblOverlap w:val="never"/>
        <w:tblW w:w="8824"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762"/>
        <w:gridCol w:w="1502"/>
        <w:gridCol w:w="1780"/>
        <w:gridCol w:w="1180"/>
        <w:gridCol w:w="1600"/>
      </w:tblGrid>
      <w:tr>
        <w:trPr>
          <w:trHeight w:val="300" w:hRule="atLeast"/>
        </w:trPr>
        <w:tc>
          <w:tcPr>
            <w:tcW w:w="2762" w:type="dxa"/>
            <w:vAlign w:val="top"/>
          </w:tcPr>
          <w:p>
            <w:pPr>
              <w:pStyle w:val="11"/>
              <w:ind w:left="42" w:right="5"/>
              <w:rPr>
                <w:sz w:val="24"/>
              </w:rPr>
            </w:pPr>
            <w:r>
              <w:rPr>
                <w:sz w:val="24"/>
              </w:rPr>
              <w:t>网银支付_个人网银</w:t>
            </w:r>
          </w:p>
        </w:tc>
        <w:tc>
          <w:tcPr>
            <w:tcW w:w="1502" w:type="dxa"/>
            <w:vAlign w:val="top"/>
          </w:tcPr>
          <w:p>
            <w:pPr>
              <w:pStyle w:val="11"/>
              <w:rPr>
                <w:sz w:val="24"/>
              </w:rPr>
            </w:pPr>
          </w:p>
        </w:tc>
        <w:tc>
          <w:tcPr>
            <w:tcW w:w="1780" w:type="dxa"/>
            <w:vAlign w:val="top"/>
          </w:tcPr>
          <w:p>
            <w:pPr>
              <w:pStyle w:val="11"/>
              <w:rPr>
                <w:rFonts w:hint="default"/>
                <w:sz w:val="24"/>
                <w:lang w:val="en-US"/>
              </w:rPr>
            </w:pPr>
          </w:p>
        </w:tc>
        <w:tc>
          <w:tcPr>
            <w:tcW w:w="1180" w:type="dxa"/>
            <w:vAlign w:val="top"/>
          </w:tcPr>
          <w:p>
            <w:pPr>
              <w:pStyle w:val="11"/>
              <w:ind w:left="205" w:right="177"/>
              <w:rPr>
                <w:sz w:val="24"/>
              </w:rPr>
            </w:pPr>
          </w:p>
        </w:tc>
        <w:tc>
          <w:tcPr>
            <w:tcW w:w="1600" w:type="dxa"/>
            <w:vAlign w:val="top"/>
          </w:tcPr>
          <w:p>
            <w:pPr>
              <w:pStyle w:val="11"/>
              <w:ind w:left="205" w:right="178"/>
              <w:rPr>
                <w:sz w:val="24"/>
              </w:rPr>
            </w:pPr>
          </w:p>
        </w:tc>
      </w:tr>
      <w:tr>
        <w:trPr>
          <w:trHeight w:val="300" w:hRule="atLeast"/>
        </w:trPr>
        <w:tc>
          <w:tcPr>
            <w:tcW w:w="8824" w:type="dxa"/>
            <w:gridSpan w:val="5"/>
            <w:shd w:val="clear" w:color="auto" w:fill="CCCCCC"/>
            <w:vAlign w:val="top"/>
          </w:tcPr>
          <w:p>
            <w:pPr>
              <w:pStyle w:val="11"/>
              <w:ind w:left="52" w:right="0"/>
              <w:jc w:val="left"/>
              <w:rPr>
                <w:rFonts w:hint="eastAsia" w:ascii="Microsoft JhengHei" w:eastAsia="Microsoft JhengHei"/>
                <w:b/>
                <w:sz w:val="24"/>
              </w:rPr>
            </w:pPr>
            <w:r>
              <w:rPr>
                <w:rFonts w:hint="eastAsia" w:ascii="Microsoft JhengHei" w:eastAsia="Microsoft JhengHei"/>
                <w:b/>
                <w:sz w:val="24"/>
              </w:rPr>
              <w:t>快捷支付</w:t>
            </w:r>
          </w:p>
        </w:tc>
      </w:tr>
      <w:tr>
        <w:trPr>
          <w:trHeight w:val="300" w:hRule="atLeast"/>
        </w:trPr>
        <w:tc>
          <w:tcPr>
            <w:tcW w:w="2762" w:type="dxa"/>
            <w:vAlign w:val="top"/>
          </w:tcPr>
          <w:p>
            <w:pPr>
              <w:pStyle w:val="11"/>
              <w:ind w:left="42" w:right="5"/>
              <w:rPr>
                <w:sz w:val="24"/>
              </w:rPr>
            </w:pPr>
            <w:r>
              <w:rPr>
                <w:sz w:val="24"/>
              </w:rPr>
              <w:t>产品名称</w:t>
            </w:r>
          </w:p>
        </w:tc>
        <w:tc>
          <w:tcPr>
            <w:tcW w:w="1502" w:type="dxa"/>
            <w:vAlign w:val="top"/>
          </w:tcPr>
          <w:p>
            <w:pPr>
              <w:pStyle w:val="11"/>
              <w:rPr>
                <w:sz w:val="24"/>
              </w:rPr>
            </w:pPr>
            <w:r>
              <w:rPr>
                <w:sz w:val="24"/>
              </w:rPr>
              <w:t>计费策略</w:t>
            </w:r>
          </w:p>
        </w:tc>
        <w:tc>
          <w:tcPr>
            <w:tcW w:w="1780" w:type="dxa"/>
            <w:vAlign w:val="top"/>
          </w:tcPr>
          <w:p>
            <w:pPr>
              <w:pStyle w:val="11"/>
              <w:rPr>
                <w:sz w:val="24"/>
                <w:highlight w:val="none"/>
              </w:rPr>
            </w:pPr>
            <w:r>
              <w:rPr>
                <w:sz w:val="24"/>
                <w:highlight w:val="none"/>
              </w:rPr>
              <w:t>服务费费率值</w:t>
            </w:r>
          </w:p>
        </w:tc>
        <w:tc>
          <w:tcPr>
            <w:tcW w:w="1180" w:type="dxa"/>
            <w:vAlign w:val="top"/>
          </w:tcPr>
          <w:p>
            <w:pPr>
              <w:pStyle w:val="11"/>
              <w:ind w:left="205" w:right="177"/>
              <w:rPr>
                <w:sz w:val="24"/>
              </w:rPr>
            </w:pPr>
            <w:r>
              <w:rPr>
                <w:sz w:val="24"/>
              </w:rPr>
              <w:t>承担方</w:t>
            </w:r>
          </w:p>
        </w:tc>
        <w:tc>
          <w:tcPr>
            <w:tcW w:w="1600" w:type="dxa"/>
            <w:vAlign w:val="top"/>
          </w:tcPr>
          <w:p>
            <w:pPr>
              <w:pStyle w:val="11"/>
              <w:ind w:left="205" w:right="178"/>
              <w:rPr>
                <w:sz w:val="24"/>
              </w:rPr>
            </w:pPr>
            <w:r>
              <w:rPr>
                <w:sz w:val="24"/>
              </w:rPr>
              <w:t>收取方式</w:t>
            </w:r>
          </w:p>
        </w:tc>
      </w:tr>
      <w:tr>
        <w:trPr>
          <w:trHeight w:val="356" w:hRule="atLeast"/>
        </w:trPr>
        <w:tc>
          <w:tcPr>
            <w:tcW w:w="2762" w:type="dxa"/>
            <w:vAlign w:val="top"/>
          </w:tcPr>
          <w:p>
            <w:pPr>
              <w:pStyle w:val="11"/>
              <w:spacing w:line="240" w:lineRule="auto"/>
              <w:ind w:left="0" w:right="5"/>
              <w:jc w:val="both"/>
              <w:rPr>
                <w:sz w:val="24"/>
              </w:rPr>
            </w:pPr>
            <w:r>
              <w:rPr>
                <w:sz w:val="22"/>
              </w:rPr>
              <w:t xml:space="preserve">    </w:t>
            </w:r>
            <w:r>
              <w:rPr>
                <w:sz w:val="24"/>
              </w:rPr>
              <w:t>一键支付_借记卡</w:t>
            </w:r>
          </w:p>
        </w:tc>
        <w:tc>
          <w:tcPr>
            <w:tcW w:w="1502" w:type="dxa"/>
            <w:vAlign w:val="top"/>
          </w:tcPr>
          <w:p>
            <w:pPr>
              <w:pStyle w:val="11"/>
              <w:spacing w:line="240" w:lineRule="auto"/>
              <w:rPr>
                <w:sz w:val="24"/>
              </w:rPr>
            </w:pPr>
          </w:p>
        </w:tc>
        <w:tc>
          <w:tcPr>
            <w:tcW w:w="1780" w:type="dxa"/>
            <w:vAlign w:val="top"/>
          </w:tcPr>
          <w:p>
            <w:pPr>
              <w:pStyle w:val="11"/>
              <w:spacing w:line="274" w:lineRule="exact"/>
              <w:rPr>
                <w:sz w:val="24"/>
              </w:rPr>
            </w:pPr>
          </w:p>
        </w:tc>
        <w:tc>
          <w:tcPr>
            <w:tcW w:w="1180" w:type="dxa"/>
            <w:vAlign w:val="top"/>
          </w:tcPr>
          <w:p>
            <w:pPr>
              <w:pStyle w:val="11"/>
              <w:spacing w:line="240" w:lineRule="auto"/>
              <w:ind w:left="205" w:right="177"/>
              <w:rPr>
                <w:sz w:val="24"/>
              </w:rPr>
            </w:pPr>
          </w:p>
        </w:tc>
        <w:tc>
          <w:tcPr>
            <w:tcW w:w="1600" w:type="dxa"/>
            <w:vAlign w:val="top"/>
          </w:tcPr>
          <w:p>
            <w:pPr>
              <w:pStyle w:val="11"/>
              <w:spacing w:line="240" w:lineRule="auto"/>
              <w:ind w:left="205" w:right="178"/>
              <w:rPr>
                <w:sz w:val="24"/>
              </w:rPr>
            </w:pPr>
          </w:p>
        </w:tc>
      </w:tr>
      <w:tr>
        <w:trPr>
          <w:trHeight w:val="300" w:hRule="atLeast"/>
        </w:trPr>
        <w:tc>
          <w:tcPr>
            <w:tcW w:w="2762" w:type="dxa"/>
            <w:vAlign w:val="top"/>
          </w:tcPr>
          <w:p>
            <w:pPr>
              <w:pStyle w:val="11"/>
              <w:ind w:left="42" w:right="5"/>
              <w:rPr>
                <w:sz w:val="24"/>
              </w:rPr>
            </w:pPr>
            <w:r>
              <w:rPr>
                <w:sz w:val="24"/>
              </w:rPr>
              <w:t>一键支付_贷记卡</w:t>
            </w:r>
          </w:p>
        </w:tc>
        <w:tc>
          <w:tcPr>
            <w:tcW w:w="1502" w:type="dxa"/>
            <w:vAlign w:val="top"/>
          </w:tcPr>
          <w:p>
            <w:pPr>
              <w:pStyle w:val="11"/>
              <w:rPr>
                <w:sz w:val="24"/>
              </w:rPr>
            </w:pPr>
          </w:p>
        </w:tc>
        <w:tc>
          <w:tcPr>
            <w:tcW w:w="1780" w:type="dxa"/>
            <w:vAlign w:val="top"/>
          </w:tcPr>
          <w:p>
            <w:pPr>
              <w:pStyle w:val="11"/>
              <w:rPr>
                <w:rFonts w:hint="default"/>
                <w:sz w:val="24"/>
                <w:lang w:val="en-US"/>
              </w:rPr>
            </w:pPr>
          </w:p>
        </w:tc>
        <w:tc>
          <w:tcPr>
            <w:tcW w:w="1180" w:type="dxa"/>
            <w:vAlign w:val="top"/>
          </w:tcPr>
          <w:p>
            <w:pPr>
              <w:pStyle w:val="11"/>
              <w:ind w:left="205" w:right="177"/>
              <w:rPr>
                <w:sz w:val="24"/>
              </w:rPr>
            </w:pPr>
          </w:p>
        </w:tc>
        <w:tc>
          <w:tcPr>
            <w:tcW w:w="1600" w:type="dxa"/>
            <w:vAlign w:val="top"/>
          </w:tcPr>
          <w:p>
            <w:pPr>
              <w:pStyle w:val="11"/>
              <w:ind w:left="205" w:right="178"/>
              <w:rPr>
                <w:sz w:val="24"/>
              </w:rPr>
            </w:pP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宋体" w:hAnsi="宋体" w:eastAsia="宋体"/>
          <w:b w:val="0"/>
          <w:bCs w:val="0"/>
          <w:szCs w:val="21"/>
          <w:highlight w:val="yellow"/>
        </w:rPr>
      </w:pPr>
    </w:p>
    <w:p>
      <w:pPr>
        <w:pStyle w:val="3"/>
        <w:spacing w:before="10"/>
        <w:ind w:firstLine="420" w:firstLineChars="0"/>
        <w:rPr>
          <w:sz w:val="15"/>
        </w:rPr>
      </w:pPr>
    </w:p>
    <w:tbl>
      <w:tblPr>
        <w:tblStyle w:val="5"/>
        <w:tblpPr w:leftFromText="180" w:rightFromText="180" w:vertAnchor="text" w:horzAnchor="page" w:tblpX="1636" w:tblpY="276"/>
        <w:tblOverlap w:val="never"/>
        <w:tblW w:w="871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757"/>
        <w:gridCol w:w="1433"/>
        <w:gridCol w:w="1740"/>
        <w:gridCol w:w="1160"/>
        <w:gridCol w:w="1620"/>
      </w:tblGrid>
      <w:tr>
        <w:trPr>
          <w:trHeight w:val="780" w:hRule="atLeast"/>
        </w:trPr>
        <w:tc>
          <w:tcPr>
            <w:tcW w:w="8710" w:type="dxa"/>
            <w:gridSpan w:val="5"/>
            <w:shd w:val="clear" w:color="auto" w:fill="CCCCCC"/>
            <w:vAlign w:val="top"/>
          </w:tcPr>
          <w:p>
            <w:pPr>
              <w:pStyle w:val="11"/>
              <w:spacing w:before="157" w:line="240" w:lineRule="auto"/>
              <w:ind w:left="52" w:right="0"/>
              <w:jc w:val="left"/>
              <w:rPr>
                <w:sz w:val="24"/>
              </w:rPr>
            </w:pPr>
            <w:r>
              <w:rPr>
                <w:rFonts w:hint="eastAsia" w:ascii="Microsoft JhengHei" w:eastAsia="Microsoft JhengHei"/>
                <w:b/>
                <w:sz w:val="24"/>
              </w:rPr>
              <w:t>结算产品：</w:t>
            </w:r>
            <w:r>
              <w:rPr>
                <w:sz w:val="24"/>
              </w:rPr>
              <w:t>基于商户的收单交易，提供按照不同周期进行结算的产品</w:t>
            </w:r>
          </w:p>
        </w:tc>
      </w:tr>
      <w:tr>
        <w:trPr>
          <w:trHeight w:val="300" w:hRule="atLeast"/>
        </w:trPr>
        <w:tc>
          <w:tcPr>
            <w:tcW w:w="2757" w:type="dxa"/>
            <w:vAlign w:val="top"/>
          </w:tcPr>
          <w:p>
            <w:pPr>
              <w:pStyle w:val="11"/>
              <w:ind w:left="902" w:right="0"/>
              <w:jc w:val="left"/>
              <w:rPr>
                <w:sz w:val="24"/>
              </w:rPr>
            </w:pPr>
            <w:r>
              <w:rPr>
                <w:sz w:val="24"/>
              </w:rPr>
              <w:t>产品名称</w:t>
            </w:r>
          </w:p>
        </w:tc>
        <w:tc>
          <w:tcPr>
            <w:tcW w:w="1433" w:type="dxa"/>
            <w:vAlign w:val="top"/>
          </w:tcPr>
          <w:p>
            <w:pPr>
              <w:pStyle w:val="11"/>
              <w:rPr>
                <w:sz w:val="24"/>
              </w:rPr>
            </w:pPr>
            <w:r>
              <w:rPr>
                <w:sz w:val="24"/>
              </w:rPr>
              <w:t>计费策略</w:t>
            </w:r>
          </w:p>
        </w:tc>
        <w:tc>
          <w:tcPr>
            <w:tcW w:w="1740" w:type="dxa"/>
            <w:vAlign w:val="top"/>
          </w:tcPr>
          <w:p>
            <w:pPr>
              <w:pStyle w:val="11"/>
              <w:rPr>
                <w:sz w:val="24"/>
              </w:rPr>
            </w:pPr>
            <w:r>
              <w:rPr>
                <w:sz w:val="24"/>
              </w:rPr>
              <w:t>费率值</w:t>
            </w:r>
          </w:p>
        </w:tc>
        <w:tc>
          <w:tcPr>
            <w:tcW w:w="1160" w:type="dxa"/>
            <w:vAlign w:val="top"/>
          </w:tcPr>
          <w:p>
            <w:pPr>
              <w:pStyle w:val="11"/>
              <w:ind w:left="0" w:right="315"/>
              <w:jc w:val="right"/>
              <w:rPr>
                <w:sz w:val="24"/>
              </w:rPr>
            </w:pPr>
            <w:r>
              <w:rPr>
                <w:sz w:val="24"/>
              </w:rPr>
              <w:t>承担方</w:t>
            </w:r>
          </w:p>
        </w:tc>
        <w:tc>
          <w:tcPr>
            <w:tcW w:w="1620" w:type="dxa"/>
            <w:vAlign w:val="top"/>
          </w:tcPr>
          <w:p>
            <w:pPr>
              <w:pStyle w:val="11"/>
              <w:ind w:left="205" w:right="178"/>
              <w:rPr>
                <w:sz w:val="24"/>
              </w:rPr>
            </w:pPr>
            <w:r>
              <w:rPr>
                <w:sz w:val="24"/>
              </w:rPr>
              <w:t>收取方式</w:t>
            </w:r>
          </w:p>
        </w:tc>
      </w:tr>
      <w:tr>
        <w:trPr>
          <w:trHeight w:val="300" w:hRule="atLeast"/>
        </w:trPr>
        <w:tc>
          <w:tcPr>
            <w:tcW w:w="2757" w:type="dxa"/>
            <w:vAlign w:val="top"/>
          </w:tcPr>
          <w:p>
            <w:pPr>
              <w:pStyle w:val="11"/>
              <w:ind w:left="962" w:right="0"/>
              <w:jc w:val="left"/>
              <w:rPr>
                <w:sz w:val="24"/>
              </w:rPr>
            </w:pPr>
            <w:r>
              <w:rPr>
                <w:sz w:val="24"/>
                <w:highlight w:val="yellow"/>
              </w:rPr>
              <w:t>T1/D1_结算</w:t>
            </w:r>
          </w:p>
        </w:tc>
        <w:tc>
          <w:tcPr>
            <w:tcW w:w="1433" w:type="dxa"/>
            <w:vAlign w:val="top"/>
          </w:tcPr>
          <w:p>
            <w:pPr>
              <w:pStyle w:val="11"/>
              <w:rPr>
                <w:sz w:val="24"/>
              </w:rPr>
            </w:pPr>
          </w:p>
        </w:tc>
        <w:tc>
          <w:tcPr>
            <w:tcW w:w="1740" w:type="dxa"/>
            <w:vAlign w:val="top"/>
          </w:tcPr>
          <w:p>
            <w:pPr>
              <w:pStyle w:val="11"/>
              <w:rPr>
                <w:rFonts w:hint="default"/>
                <w:sz w:val="24"/>
                <w:lang w:val="en-US"/>
              </w:rPr>
            </w:pPr>
          </w:p>
        </w:tc>
        <w:tc>
          <w:tcPr>
            <w:tcW w:w="1160" w:type="dxa"/>
            <w:vAlign w:val="top"/>
          </w:tcPr>
          <w:p>
            <w:pPr>
              <w:pStyle w:val="11"/>
              <w:ind w:left="0" w:right="315"/>
              <w:jc w:val="right"/>
              <w:rPr>
                <w:sz w:val="24"/>
              </w:rPr>
            </w:pPr>
          </w:p>
        </w:tc>
        <w:tc>
          <w:tcPr>
            <w:tcW w:w="1620" w:type="dxa"/>
            <w:vAlign w:val="top"/>
          </w:tcPr>
          <w:p>
            <w:pPr>
              <w:pStyle w:val="11"/>
              <w:ind w:left="205" w:right="178"/>
              <w:rPr>
                <w:sz w:val="24"/>
              </w:rPr>
            </w:pPr>
          </w:p>
        </w:tc>
      </w:tr>
    </w:tbl>
    <w:tbl>
      <w:tblPr>
        <w:tblStyle w:val="5"/>
        <w:tblpPr w:leftFromText="180" w:rightFromText="180" w:vertAnchor="text" w:horzAnchor="page" w:tblpX="1645" w:tblpY="10"/>
        <w:tblOverlap w:val="never"/>
        <w:tblW w:w="871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757"/>
        <w:gridCol w:w="1433"/>
        <w:gridCol w:w="1760"/>
        <w:gridCol w:w="1160"/>
        <w:gridCol w:w="1600"/>
      </w:tblGrid>
      <w:tr>
        <w:trPr>
          <w:trHeight w:val="780" w:hRule="atLeast"/>
        </w:trPr>
        <w:tc>
          <w:tcPr>
            <w:tcW w:w="8710" w:type="dxa"/>
            <w:gridSpan w:val="5"/>
            <w:shd w:val="clear" w:color="auto" w:fill="CCCCCC"/>
            <w:vAlign w:val="top"/>
          </w:tcPr>
          <w:p>
            <w:pPr>
              <w:pStyle w:val="11"/>
              <w:spacing w:before="157" w:line="240" w:lineRule="auto"/>
              <w:ind w:left="52" w:right="0"/>
              <w:jc w:val="left"/>
              <w:rPr>
                <w:sz w:val="24"/>
              </w:rPr>
            </w:pPr>
            <w:r>
              <w:rPr>
                <w:rFonts w:hint="eastAsia" w:ascii="Microsoft JhengHei" w:eastAsia="Microsoft JhengHei"/>
                <w:b/>
                <w:sz w:val="24"/>
                <w:lang w:val="en-US" w:eastAsia="zh-CN"/>
              </w:rPr>
              <w:t>提现</w:t>
            </w:r>
            <w:r>
              <w:rPr>
                <w:rFonts w:hint="eastAsia" w:ascii="Microsoft JhengHei" w:eastAsia="Microsoft JhengHei"/>
                <w:b/>
                <w:sz w:val="24"/>
              </w:rPr>
              <w:t>产品：</w:t>
            </w:r>
            <w:r>
              <w:rPr>
                <w:sz w:val="24"/>
              </w:rPr>
              <w:t>提供包含企业账户充转提以及付款的产品</w:t>
            </w:r>
          </w:p>
        </w:tc>
      </w:tr>
      <w:tr>
        <w:trPr>
          <w:trHeight w:val="300" w:hRule="atLeast"/>
        </w:trPr>
        <w:tc>
          <w:tcPr>
            <w:tcW w:w="2757" w:type="dxa"/>
            <w:vAlign w:val="top"/>
          </w:tcPr>
          <w:p>
            <w:pPr>
              <w:pStyle w:val="11"/>
              <w:ind w:left="902" w:right="0"/>
              <w:jc w:val="left"/>
              <w:rPr>
                <w:sz w:val="24"/>
              </w:rPr>
            </w:pPr>
            <w:r>
              <w:rPr>
                <w:sz w:val="24"/>
              </w:rPr>
              <w:t>产品名称</w:t>
            </w:r>
          </w:p>
        </w:tc>
        <w:tc>
          <w:tcPr>
            <w:tcW w:w="1433" w:type="dxa"/>
            <w:vAlign w:val="top"/>
          </w:tcPr>
          <w:p>
            <w:pPr>
              <w:pStyle w:val="11"/>
              <w:rPr>
                <w:sz w:val="24"/>
              </w:rPr>
            </w:pPr>
            <w:r>
              <w:rPr>
                <w:sz w:val="24"/>
              </w:rPr>
              <w:t>计费策略</w:t>
            </w:r>
          </w:p>
        </w:tc>
        <w:tc>
          <w:tcPr>
            <w:tcW w:w="1760" w:type="dxa"/>
            <w:vAlign w:val="top"/>
          </w:tcPr>
          <w:p>
            <w:pPr>
              <w:pStyle w:val="11"/>
              <w:rPr>
                <w:sz w:val="24"/>
              </w:rPr>
            </w:pPr>
            <w:r>
              <w:rPr>
                <w:sz w:val="24"/>
              </w:rPr>
              <w:t>费率值</w:t>
            </w:r>
          </w:p>
        </w:tc>
        <w:tc>
          <w:tcPr>
            <w:tcW w:w="1160" w:type="dxa"/>
            <w:vAlign w:val="top"/>
          </w:tcPr>
          <w:p>
            <w:pPr>
              <w:pStyle w:val="11"/>
              <w:ind w:left="205" w:right="177"/>
              <w:rPr>
                <w:sz w:val="24"/>
              </w:rPr>
            </w:pPr>
            <w:r>
              <w:rPr>
                <w:sz w:val="24"/>
              </w:rPr>
              <w:t>承担方</w:t>
            </w:r>
          </w:p>
        </w:tc>
        <w:tc>
          <w:tcPr>
            <w:tcW w:w="1600" w:type="dxa"/>
            <w:vAlign w:val="top"/>
          </w:tcPr>
          <w:p>
            <w:pPr>
              <w:pStyle w:val="11"/>
              <w:ind w:left="205" w:right="178"/>
              <w:rPr>
                <w:sz w:val="24"/>
              </w:rPr>
            </w:pPr>
            <w:r>
              <w:rPr>
                <w:sz w:val="24"/>
              </w:rPr>
              <w:t>收取方式</w:t>
            </w:r>
          </w:p>
        </w:tc>
      </w:tr>
      <w:tr>
        <w:trPr>
          <w:trHeight w:val="588" w:hRule="atLeast"/>
        </w:trPr>
        <w:tc>
          <w:tcPr>
            <w:tcW w:w="2757" w:type="dxa"/>
            <w:vAlign w:val="top"/>
          </w:tcPr>
          <w:p>
            <w:pPr>
              <w:pStyle w:val="11"/>
              <w:spacing w:before="6" w:line="288" w:lineRule="exact"/>
              <w:ind w:left="1022" w:right="22" w:hanging="960"/>
              <w:jc w:val="left"/>
              <w:rPr>
                <w:sz w:val="24"/>
              </w:rPr>
            </w:pPr>
          </w:p>
        </w:tc>
        <w:tc>
          <w:tcPr>
            <w:tcW w:w="1433" w:type="dxa"/>
            <w:vAlign w:val="top"/>
          </w:tcPr>
          <w:p>
            <w:pPr>
              <w:pStyle w:val="11"/>
              <w:spacing w:before="140" w:line="240" w:lineRule="auto"/>
              <w:rPr>
                <w:sz w:val="24"/>
              </w:rPr>
            </w:pPr>
          </w:p>
        </w:tc>
        <w:tc>
          <w:tcPr>
            <w:tcW w:w="1760" w:type="dxa"/>
            <w:vAlign w:val="top"/>
          </w:tcPr>
          <w:p>
            <w:pPr>
              <w:pStyle w:val="11"/>
              <w:spacing w:before="140" w:line="240" w:lineRule="auto"/>
              <w:rPr>
                <w:rFonts w:hint="default"/>
                <w:sz w:val="24"/>
                <w:lang w:val="en-US"/>
              </w:rPr>
            </w:pPr>
          </w:p>
        </w:tc>
        <w:tc>
          <w:tcPr>
            <w:tcW w:w="1160" w:type="dxa"/>
            <w:vAlign w:val="top"/>
          </w:tcPr>
          <w:p>
            <w:pPr>
              <w:pStyle w:val="11"/>
              <w:spacing w:before="140" w:line="240" w:lineRule="auto"/>
              <w:ind w:left="205" w:right="177"/>
              <w:rPr>
                <w:sz w:val="24"/>
              </w:rPr>
            </w:pPr>
          </w:p>
        </w:tc>
        <w:tc>
          <w:tcPr>
            <w:tcW w:w="1600" w:type="dxa"/>
            <w:vAlign w:val="top"/>
          </w:tcPr>
          <w:p>
            <w:pPr>
              <w:pStyle w:val="11"/>
              <w:spacing w:before="140" w:line="240" w:lineRule="auto"/>
              <w:ind w:left="205" w:right="178"/>
              <w:rPr>
                <w:sz w:val="24"/>
              </w:rPr>
            </w:pPr>
          </w:p>
        </w:tc>
      </w:tr>
    </w:tbl>
    <w:p>
      <w:pPr>
        <w:pStyle w:val="3"/>
        <w:spacing w:before="11"/>
        <w:rPr>
          <w:sz w:val="22"/>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default" w:ascii="宋体" w:hAnsi="宋体" w:eastAsia="宋体"/>
          <w:b w:val="0"/>
          <w:bCs w:val="0"/>
          <w:szCs w:val="21"/>
          <w:highlight w:val="yellow"/>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宋体" w:hAnsi="宋体" w:eastAsia="宋体" w:cs="Times New Roman"/>
          <w:color w:val="000000"/>
          <w:sz w:val="24"/>
          <w:szCs w:val="24"/>
        </w:rPr>
      </w:pPr>
      <w:r>
        <w:rPr>
          <w:rFonts w:hint="default" w:ascii="宋体" w:hAnsi="宋体" w:eastAsia="宋体" w:cs="Times New Roman"/>
          <w:color w:val="000000"/>
          <w:sz w:val="24"/>
          <w:szCs w:val="24"/>
        </w:rPr>
        <w:t>1.3代收缴产品相应服务：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支持一年以上数据按缴费项目查询、下载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24小时内100%杜绝重复缴费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自动补单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自动对账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人工客服和智能机器人客服的双重服务保障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专业的技术、客服、运营团队7x24小时的服务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一对一客户经理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宋体" w:hAnsi="宋体" w:eastAsia="宋体" w:cs="Times New Roman"/>
          <w:color w:val="000000"/>
          <w:sz w:val="24"/>
          <w:szCs w:val="24"/>
        </w:rPr>
      </w:pPr>
      <w:r>
        <w:rPr>
          <w:rFonts w:hint="default" w:ascii="宋体" w:hAnsi="宋体" w:eastAsia="宋体" w:cs="Times New Roman"/>
          <w:color w:val="000000"/>
          <w:sz w:val="24"/>
          <w:szCs w:val="24"/>
        </w:rPr>
        <w:t>1.4 服务费收取</w:t>
      </w:r>
    </w:p>
    <w:p>
      <w:pPr>
        <w:numPr>
          <w:ilvl w:val="255"/>
          <w:numId w:val="0"/>
        </w:numPr>
        <w:spacing w:line="600" w:lineRule="exact"/>
        <w:ind w:firstLine="420" w:firstLineChars="200"/>
        <w:rPr>
          <w:rFonts w:ascii="仿宋" w:hAnsi="仿宋" w:eastAsia="仿宋"/>
          <w:sz w:val="32"/>
          <w:highlight w:val="yellow"/>
        </w:rPr>
      </w:pPr>
      <w:r>
        <w:rPr>
          <w:rFonts w:hint="default" w:ascii="宋体" w:hAnsi="宋体" w:eastAsia="宋体"/>
          <w:szCs w:val="21"/>
          <w:highlight w:val="yellow"/>
        </w:rPr>
        <w:t>1.4.1乙方为甲方开发票的方式为：         (甲方可选择：不开发票/定期开发票/非定期开发票)，甲方开票类型为：       (甲方可选择：普票/专票），甲方开票信息</w:t>
      </w:r>
      <w:r>
        <w:rPr>
          <w:rFonts w:ascii="宋体" w:hAnsi="宋体" w:eastAsia="宋体"/>
          <w:sz w:val="24"/>
          <w:szCs w:val="21"/>
          <w:highlight w:val="yellow"/>
        </w:rPr>
        <w:t>如下</w:t>
      </w:r>
      <w:r>
        <w:rPr>
          <w:rFonts w:ascii="仿宋" w:hAnsi="仿宋" w:eastAsia="仿宋"/>
          <w:sz w:val="32"/>
          <w:highlight w:val="yellow"/>
        </w:rPr>
        <w:t>：</w:t>
      </w:r>
    </w:p>
    <w:tbl>
      <w:tblPr>
        <w:tblStyle w:val="5"/>
        <w:tblpPr w:leftFromText="180" w:rightFromText="180" w:vertAnchor="text" w:horzAnchor="page" w:tblpX="2318" w:tblpY="157"/>
        <w:tblOverlap w:val="never"/>
        <w:tblW w:w="7942" w:type="dxa"/>
        <w:tblInd w:w="0" w:type="dxa"/>
        <w:tblLayout w:type="fixed"/>
        <w:tblCellMar>
          <w:top w:w="15" w:type="dxa"/>
          <w:left w:w="15" w:type="dxa"/>
          <w:bottom w:w="15" w:type="dxa"/>
          <w:right w:w="15" w:type="dxa"/>
        </w:tblCellMar>
      </w:tblPr>
      <w:tblGrid>
        <w:gridCol w:w="2382"/>
        <w:gridCol w:w="5560"/>
      </w:tblGrid>
      <w:tr>
        <w:trPr>
          <w:trHeight w:val="285" w:hRule="atLeast"/>
        </w:trPr>
        <w:tc>
          <w:tcPr>
            <w:tcW w:w="23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480" w:firstLineChars="200"/>
              <w:rPr>
                <w:rFonts w:hint="eastAsia" w:ascii="宋体" w:hAnsi="宋体" w:eastAsia="宋体"/>
                <w:sz w:val="24"/>
                <w:szCs w:val="21"/>
                <w:highlight w:val="yellow"/>
              </w:rPr>
            </w:pPr>
            <w:r>
              <w:rPr>
                <w:rFonts w:hint="eastAsia" w:ascii="宋体" w:hAnsi="宋体" w:eastAsia="宋体"/>
                <w:sz w:val="24"/>
                <w:szCs w:val="21"/>
                <w:highlight w:val="yellow"/>
              </w:rPr>
              <w:t>企业名称</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Times New Roman"/>
                <w:sz w:val="24"/>
                <w:szCs w:val="21"/>
                <w:highlight w:val="yellow"/>
              </w:rPr>
            </w:pPr>
          </w:p>
        </w:tc>
      </w:tr>
      <w:tr>
        <w:trPr>
          <w:trHeight w:val="285" w:hRule="atLeast"/>
        </w:trPr>
        <w:tc>
          <w:tcPr>
            <w:tcW w:w="23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480" w:firstLineChars="200"/>
              <w:rPr>
                <w:rFonts w:hint="eastAsia" w:ascii="宋体" w:hAnsi="宋体" w:eastAsia="宋体"/>
                <w:sz w:val="24"/>
                <w:szCs w:val="21"/>
                <w:highlight w:val="yellow"/>
              </w:rPr>
            </w:pPr>
            <w:r>
              <w:rPr>
                <w:rFonts w:hint="eastAsia" w:ascii="宋体" w:hAnsi="宋体" w:eastAsia="宋体"/>
                <w:sz w:val="24"/>
                <w:szCs w:val="21"/>
                <w:highlight w:val="yellow"/>
              </w:rPr>
              <w:t>纳税人识别号</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Times New Roman"/>
                <w:sz w:val="24"/>
                <w:szCs w:val="21"/>
                <w:highlight w:val="yellow"/>
              </w:rPr>
            </w:pPr>
          </w:p>
        </w:tc>
      </w:tr>
      <w:tr>
        <w:trPr>
          <w:trHeight w:val="285" w:hRule="atLeast"/>
        </w:trPr>
        <w:tc>
          <w:tcPr>
            <w:tcW w:w="23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480" w:firstLineChars="200"/>
              <w:rPr>
                <w:rFonts w:hint="eastAsia" w:ascii="宋体" w:hAnsi="宋体" w:eastAsia="宋体"/>
                <w:sz w:val="24"/>
                <w:szCs w:val="21"/>
                <w:highlight w:val="yellow"/>
              </w:rPr>
            </w:pPr>
            <w:r>
              <w:rPr>
                <w:rFonts w:hint="eastAsia" w:ascii="宋体" w:hAnsi="宋体" w:eastAsia="宋体"/>
                <w:sz w:val="24"/>
                <w:szCs w:val="21"/>
                <w:highlight w:val="yellow"/>
              </w:rPr>
              <w:t>地址</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Times New Roman"/>
                <w:sz w:val="24"/>
                <w:szCs w:val="21"/>
                <w:highlight w:val="yellow"/>
              </w:rPr>
            </w:pPr>
          </w:p>
        </w:tc>
      </w:tr>
      <w:tr>
        <w:trPr>
          <w:trHeight w:val="285" w:hRule="atLeast"/>
        </w:trPr>
        <w:tc>
          <w:tcPr>
            <w:tcW w:w="23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480" w:firstLineChars="200"/>
              <w:rPr>
                <w:rFonts w:hint="eastAsia" w:ascii="宋体" w:hAnsi="宋体" w:eastAsia="宋体"/>
                <w:sz w:val="24"/>
                <w:szCs w:val="21"/>
                <w:highlight w:val="yellow"/>
              </w:rPr>
            </w:pPr>
            <w:r>
              <w:rPr>
                <w:rFonts w:hint="eastAsia" w:ascii="宋体" w:hAnsi="宋体" w:eastAsia="宋体"/>
                <w:sz w:val="24"/>
                <w:szCs w:val="21"/>
                <w:highlight w:val="yellow"/>
              </w:rPr>
              <w:t>电话</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Times New Roman"/>
                <w:sz w:val="24"/>
                <w:szCs w:val="21"/>
                <w:highlight w:val="yellow"/>
              </w:rPr>
            </w:pPr>
          </w:p>
        </w:tc>
      </w:tr>
      <w:tr>
        <w:trPr>
          <w:trHeight w:val="285" w:hRule="atLeast"/>
        </w:trPr>
        <w:tc>
          <w:tcPr>
            <w:tcW w:w="23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480" w:firstLineChars="200"/>
              <w:rPr>
                <w:rFonts w:hint="eastAsia" w:ascii="宋体" w:hAnsi="宋体" w:eastAsia="宋体"/>
                <w:sz w:val="24"/>
                <w:szCs w:val="21"/>
                <w:highlight w:val="yellow"/>
              </w:rPr>
            </w:pPr>
            <w:r>
              <w:rPr>
                <w:rFonts w:hint="eastAsia" w:ascii="宋体" w:hAnsi="宋体" w:eastAsia="宋体"/>
                <w:sz w:val="24"/>
                <w:szCs w:val="21"/>
                <w:highlight w:val="yellow"/>
              </w:rPr>
              <w:t>开户行及账号</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Times New Roman"/>
                <w:sz w:val="24"/>
                <w:szCs w:val="21"/>
                <w:highlight w:val="yellow"/>
              </w:rPr>
            </w:pPr>
          </w:p>
        </w:tc>
      </w:tr>
    </w:tbl>
    <w:p>
      <w:pPr>
        <w:ind w:firstLine="420" w:firstLineChars="200"/>
        <w:rPr>
          <w:rFonts w:hint="default" w:ascii="宋体" w:hAnsi="宋体" w:eastAsia="宋体"/>
          <w:szCs w:val="21"/>
          <w:highlight w:val="yellow"/>
        </w:rPr>
      </w:pPr>
    </w:p>
    <w:p>
      <w:pPr>
        <w:ind w:firstLine="420" w:firstLineChars="200"/>
        <w:rPr>
          <w:rFonts w:hint="default" w:ascii="宋体" w:hAnsi="宋体" w:eastAsia="宋体" w:cstheme="minorBidi"/>
          <w:szCs w:val="21"/>
          <w:highlight w:val="yellow"/>
        </w:rPr>
      </w:pPr>
      <w:r>
        <w:rPr>
          <w:rFonts w:hint="default" w:ascii="宋体" w:hAnsi="宋体" w:eastAsia="宋体"/>
          <w:szCs w:val="21"/>
          <w:highlight w:val="yellow"/>
        </w:rPr>
        <w:t>1.4.2服务费支付期限：</w:t>
      </w:r>
    </w:p>
    <w:p>
      <w:pPr>
        <w:ind w:firstLine="420" w:firstLineChars="200"/>
        <w:rPr>
          <w:rFonts w:hint="default" w:ascii="宋体" w:hAnsi="宋体" w:eastAsia="宋体"/>
          <w:szCs w:val="21"/>
          <w:highlight w:val="yellow"/>
        </w:rPr>
      </w:pPr>
      <w:r>
        <w:rPr>
          <w:rFonts w:hint="eastAsia" w:ascii="冬青黑体简体中文" w:hAnsi="冬青黑体简体中文" w:eastAsia="冬青黑体简体中文" w:cs="冬青黑体简体中文"/>
          <w:szCs w:val="21"/>
          <w:highlight w:val="yellow"/>
        </w:rPr>
        <w:t>□</w:t>
      </w:r>
      <w:r>
        <w:rPr>
          <w:rFonts w:hint="default" w:ascii="宋体" w:hAnsi="宋体" w:eastAsia="宋体"/>
          <w:szCs w:val="21"/>
          <w:highlight w:val="yellow"/>
        </w:rPr>
        <w:t>甲方在每年   月    日前完成服务费支付，服务费付款金额以本协议约定标准核算后确定。</w:t>
      </w:r>
    </w:p>
    <w:p>
      <w:pPr>
        <w:ind w:firstLine="420" w:firstLineChars="200"/>
        <w:rPr>
          <w:rFonts w:hint="default" w:ascii="宋体" w:hAnsi="宋体" w:eastAsia="宋体"/>
          <w:szCs w:val="21"/>
          <w:highlight w:val="yellow"/>
        </w:rPr>
      </w:pPr>
      <w:r>
        <w:rPr>
          <w:rFonts w:hint="eastAsia" w:ascii="冬青黑体简体中文" w:hAnsi="冬青黑体简体中文" w:eastAsia="冬青黑体简体中文" w:cs="冬青黑体简体中文"/>
          <w:szCs w:val="21"/>
          <w:highlight w:val="yellow"/>
        </w:rPr>
        <w:t>□</w:t>
      </w:r>
      <w:r>
        <w:rPr>
          <w:rFonts w:hint="default" w:ascii="宋体" w:hAnsi="宋体" w:eastAsia="宋体"/>
          <w:szCs w:val="21"/>
          <w:highlight w:val="yellow"/>
        </w:rPr>
        <w:t>甲方每年分两次完成服务费支付，付款期限分别为每年   月    日前和   月    日前，两次服务费付款金额以本协议约定标准核算后确定。</w:t>
      </w:r>
    </w:p>
    <w:p>
      <w:pPr>
        <w:ind w:firstLine="420" w:firstLineChars="200"/>
        <w:rPr>
          <w:rFonts w:hint="default" w:ascii="宋体" w:hAnsi="宋体" w:eastAsia="宋体"/>
          <w:szCs w:val="21"/>
          <w:highlight w:val="yellow"/>
        </w:rPr>
      </w:pPr>
      <w:r>
        <w:rPr>
          <w:rFonts w:hint="eastAsia" w:ascii="冬青黑体简体中文" w:hAnsi="冬青黑体简体中文" w:eastAsia="冬青黑体简体中文" w:cs="冬青黑体简体中文"/>
          <w:szCs w:val="21"/>
          <w:highlight w:val="yellow"/>
        </w:rPr>
        <w:t>□</w:t>
      </w:r>
      <w:r>
        <w:rPr>
          <w:rFonts w:hint="default" w:ascii="宋体" w:hAnsi="宋体" w:eastAsia="宋体"/>
          <w:szCs w:val="21"/>
          <w:highlight w:val="yellow"/>
        </w:rPr>
        <w:t>甲方每季度完成一次服务费支付，分别于每季度开始前15天内完成服务费支付，服务费付款金额以本协议约定标准核算后确定。</w:t>
      </w:r>
    </w:p>
    <w:p>
      <w:pPr>
        <w:ind w:firstLine="420" w:firstLineChars="200"/>
        <w:rPr>
          <w:rFonts w:hint="default" w:ascii="宋体" w:hAnsi="宋体" w:eastAsia="宋体"/>
          <w:szCs w:val="21"/>
          <w:highlight w:val="yellow"/>
        </w:rPr>
      </w:pPr>
      <w:r>
        <w:rPr>
          <w:rFonts w:hint="eastAsia" w:ascii="冬青黑体简体中文" w:hAnsi="冬青黑体简体中文" w:eastAsia="冬青黑体简体中文" w:cs="冬青黑体简体中文"/>
          <w:szCs w:val="21"/>
          <w:highlight w:val="yellow"/>
        </w:rPr>
        <w:t>□</w:t>
      </w:r>
      <w:r>
        <w:rPr>
          <w:rFonts w:hint="default" w:ascii="冬青黑体简体中文" w:hAnsi="冬青黑体简体中文" w:eastAsia="冬青黑体简体中文" w:cs="冬青黑体简体中文"/>
          <w:szCs w:val="21"/>
          <w:highlight w:val="yellow"/>
        </w:rPr>
        <w:t>服务费按本协议1.2条款约实时收取。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Times New Roman"/>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第二条 服务基础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Times New Roman"/>
          <w:color w:val="000000"/>
          <w:sz w:val="24"/>
          <w:szCs w:val="24"/>
        </w:rPr>
      </w:pPr>
      <w:r>
        <w:rPr>
          <w:rFonts w:hint="default" w:ascii="宋体" w:hAnsi="宋体" w:eastAsia="宋体" w:cs="Times New Roman"/>
          <w:color w:val="000000"/>
          <w:sz w:val="24"/>
          <w:szCs w:val="24"/>
        </w:rPr>
        <w:t>2.1</w:t>
      </w:r>
      <w:r>
        <w:rPr>
          <w:rFonts w:hint="eastAsia" w:ascii="宋体" w:hAnsi="宋体" w:eastAsia="宋体" w:cs="Times New Roman"/>
          <w:color w:val="000000"/>
          <w:sz w:val="24"/>
          <w:szCs w:val="24"/>
        </w:rPr>
        <w:t>乙方提供本协议项下</w:t>
      </w:r>
      <w:r>
        <w:rPr>
          <w:rFonts w:hint="default" w:ascii="宋体" w:hAnsi="宋体" w:eastAsia="宋体" w:cs="Times New Roman"/>
          <w:color w:val="000000"/>
          <w:sz w:val="24"/>
          <w:szCs w:val="24"/>
        </w:rPr>
        <w:t>代收缴服务</w:t>
      </w:r>
      <w:r>
        <w:rPr>
          <w:rFonts w:hint="eastAsia" w:ascii="宋体" w:hAnsi="宋体" w:eastAsia="宋体" w:cs="Times New Roman"/>
          <w:color w:val="000000"/>
          <w:sz w:val="24"/>
          <w:szCs w:val="24"/>
        </w:rPr>
        <w:t>严格遵循《非银行支付机构网络支付业务管理办法》、《中国人民银行关于进一步加强支付结算管理防范电信网络新型违法犯罪有关事项的通知》（央行85号文）等法律、法规、规章、规范性文件及政策（本协议以下统称“法律规范”）要求，并以甲方满足如下相关条件作为服务基础，甲方对此知悉并承诺在接受乙方服务期间始终满足该等条件：</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default" w:ascii="宋体" w:hAnsi="宋体" w:eastAsia="宋体" w:cs="Times New Roman"/>
          <w:color w:val="000000"/>
          <w:sz w:val="24"/>
          <w:szCs w:val="24"/>
        </w:rPr>
        <w:t>2.1.1甲方不应实施违法行为，不应侵犯他人的合法权益，不应实施违反公序良俗的行为，包括但不限于洗钱、恐怖融资、大规模杀伤性武器扩散、欺诈、逃税、虚假交易、套现、赌博、传播淫秽色情</w:t>
      </w:r>
      <w:r>
        <w:rPr>
          <w:rFonts w:hint="eastAsia" w:ascii="宋体" w:hAnsi="宋体" w:eastAsia="宋体" w:cs="Times New Roman"/>
          <w:color w:val="000000"/>
          <w:sz w:val="24"/>
          <w:szCs w:val="24"/>
          <w:lang w:eastAsia="zh-CN"/>
        </w:rPr>
        <w:t>。</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default" w:ascii="宋体" w:hAnsi="宋体" w:eastAsia="宋体" w:cs="Times New Roman"/>
          <w:color w:val="000000"/>
          <w:sz w:val="24"/>
          <w:szCs w:val="24"/>
        </w:rPr>
        <w:t>2.1.2甲方应诚信经营，不应存在包括但不限于非法经营、不正当竞争、虚假宣传、非法广告、侵犯消费者权益的行为。</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default" w:ascii="宋体" w:hAnsi="宋体" w:eastAsia="宋体" w:cs="Times New Roman"/>
          <w:color w:val="000000"/>
          <w:sz w:val="24"/>
          <w:szCs w:val="24"/>
        </w:rPr>
        <w:t>2.1.3甲方业务不应涉及本协议禁止的内容，包括P2P相关业务，互联网销售彩票平台，非法外汇、贵金属投资交易平台，非法证券期货类交易平台，代币发行融资及虚拟货币交易平台，未经监管部门批准通过互联网开展资产管理业务以及未取得省级政府批文的大宗商品交易场所。</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default" w:ascii="宋体" w:hAnsi="宋体" w:eastAsia="宋体" w:cs="Times New Roman"/>
          <w:color w:val="000000"/>
          <w:sz w:val="24"/>
          <w:szCs w:val="24"/>
        </w:rPr>
        <w:t>2.2</w:t>
      </w:r>
      <w:r>
        <w:rPr>
          <w:rFonts w:hint="eastAsia" w:ascii="宋体" w:hAnsi="宋体" w:eastAsia="宋体" w:cs="Times New Roman"/>
          <w:color w:val="000000"/>
          <w:sz w:val="24"/>
          <w:szCs w:val="24"/>
        </w:rPr>
        <w:t>法律规范对于甲方接受</w:t>
      </w:r>
      <w:r>
        <w:rPr>
          <w:rFonts w:hint="default" w:ascii="宋体" w:hAnsi="宋体" w:eastAsia="宋体" w:cs="Times New Roman"/>
          <w:color w:val="000000"/>
          <w:sz w:val="24"/>
          <w:szCs w:val="24"/>
        </w:rPr>
        <w:t>代收缴服务</w:t>
      </w:r>
      <w:r>
        <w:rPr>
          <w:rFonts w:hint="eastAsia" w:ascii="宋体" w:hAnsi="宋体" w:eastAsia="宋体" w:cs="Times New Roman"/>
          <w:color w:val="000000"/>
          <w:sz w:val="24"/>
          <w:szCs w:val="24"/>
        </w:rPr>
        <w:t>的条件发生更新或调整的，本协议项下服务基础随之更新或调整，甲方对此清楚知悉并予以理解认可。</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第三条 服务内容及规则</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3.1乙方为甲方按照本协议约定提供相关交易场景下的货币资金转移服务，具体服务内容以双方签署的产品条款为准。</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3.2支付账户的开立规则：</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3.2.1如甲方所需</w:t>
      </w:r>
      <w:r>
        <w:rPr>
          <w:rFonts w:hint="default" w:ascii="宋体" w:hAnsi="宋体" w:eastAsia="宋体" w:cs="Times New Roman"/>
          <w:color w:val="000000"/>
          <w:sz w:val="24"/>
          <w:szCs w:val="24"/>
        </w:rPr>
        <w:t>代收缴服务</w:t>
      </w:r>
      <w:r>
        <w:rPr>
          <w:rFonts w:hint="eastAsia" w:ascii="宋体" w:hAnsi="宋体" w:eastAsia="宋体" w:cs="Times New Roman"/>
          <w:color w:val="000000"/>
          <w:sz w:val="24"/>
          <w:szCs w:val="24"/>
        </w:rPr>
        <w:t>涉及开立支付账户的，乙方可根据甲方需要及《非银行支付机构网络支付业务管理办法》相关要求，为甲方开立支付账户，根据相关管理办法及产品条款严格管控转账笔数及限额，并提供相关必要的信息查询、技术支付等服务，具体以乙方实际提供的为准。</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3.2.2支付账户所记录的资金余额不同于客户本人的银行存款，不受《存款保险条例》保护，其实质为甲方委托乙方保管的、所有权归属于甲方的预付价值。该预付价值对应的货币资金虽然属于甲方，但不以甲方名义存放在银行，而是以乙方名义存放在银行，并且由乙方向银行发起资金调拨指令。</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3.2.3存在下列情形的，乙方有权拒绝为甲方开立支付账户：对于甲方不配合客户身份识别、开立业务与甲方身份不相符、乙方有明显理由怀疑甲方开立账户从事违法犯罪活动的。</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3.3甲方确保自身发出的支付指令的合法性、真实性、有效性及完整性。任何使用甲方的登录名、账户、密码和（或）数字证书发送至乙方系统的支付指令构成甲方不可撤销的授权付款指示，乙方对于依照该指示进行支付的行为及其结果不承担任何责任。</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 xml:space="preserve">3.4甲方应妥善保管其在乙方商户后台的登录名及其密码、在乙方开立的支付账户（如有）及其密码，以及安全认证工具、加密私钥信息等。因甲方保管、设置及使用不当造成的甲乙双方经济损失和法律责任，由甲方承担。若甲方需对其开设的账户要求关闭或冻结，应提前与乙方客服人员联系，并按照乙方相关要求提供资料进行操作。如甲方发现有他人冒用、盗用或未经甲方授权使用其账户或操作其资金，应及时通知乙方，并按照乙方规定办理相关手续，由乙方采取必要措施予以配合。 </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3.5甲方不得把支付账户（如有）、支付接口、乙方提供的接口技术、安全协议及证书用于本协议范围以外的用途，也不得出租、转让给第三方使用。甲方应充分了解并清楚知晓出租、出借、出售、购买账号的相关法律责任和惩戒措施，承诺依法依规开立和使用甲方账户。</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3.6甲方可以向乙方申请设定支付账户与支付账户、支付账户与银行账户之间的日累计转账限额和笔数，超出设定限额和笔数的，乙方不再办理转账业务。乙方有权根据甲方的经营风险和乙方自身风险控制需要，对甲方的累计转账限额和笔数进行调整，甲方若不接受乙方的单方调整，双方均可解除本协议，互不担责。</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 xml:space="preserve">3.7甲方应遵守协议中对甲方业务（提供的产品或服务）范围和经营网址的限定，且甲方发起的交易应基于真实的交易背景，不得利用乙方提供的服务进行虚假交易，也不得将其他商户的交易伪造成自己的交易与乙方结算。—合规审批  </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3.8甲方不得对乙方的</w:t>
      </w:r>
      <w:r>
        <w:rPr>
          <w:rFonts w:hint="default" w:ascii="宋体" w:hAnsi="宋体" w:eastAsia="宋体" w:cs="Times New Roman"/>
          <w:color w:val="000000"/>
          <w:sz w:val="24"/>
          <w:szCs w:val="24"/>
        </w:rPr>
        <w:t>代收缴服务</w:t>
      </w:r>
      <w:r>
        <w:rPr>
          <w:rFonts w:hint="eastAsia" w:ascii="宋体" w:hAnsi="宋体" w:eastAsia="宋体" w:cs="Times New Roman"/>
          <w:color w:val="000000"/>
          <w:sz w:val="24"/>
          <w:szCs w:val="24"/>
        </w:rPr>
        <w:t>系统和程序采取反向工程手段进行破解，不得对上述系统和程序（包括但不限于源程序、目标程序、软件文档、运行在本地电脑内存中的数据、客户端至服务器端的数据、服务器数据等）进行复制、修改、编译、整合与纂改，不得修改或增加乙方</w:t>
      </w:r>
      <w:r>
        <w:rPr>
          <w:rFonts w:hint="default" w:ascii="宋体" w:hAnsi="宋体" w:eastAsia="宋体" w:cs="Times New Roman"/>
          <w:color w:val="000000"/>
          <w:sz w:val="24"/>
          <w:szCs w:val="24"/>
        </w:rPr>
        <w:t>代收缴服务</w:t>
      </w:r>
      <w:r>
        <w:rPr>
          <w:rFonts w:hint="eastAsia" w:ascii="宋体" w:hAnsi="宋体" w:eastAsia="宋体" w:cs="Times New Roman"/>
          <w:color w:val="000000"/>
          <w:sz w:val="24"/>
          <w:szCs w:val="24"/>
        </w:rPr>
        <w:t>系统的原有功能。</w:t>
      </w:r>
    </w:p>
    <w:p>
      <w:pPr>
        <w:widowControl w:val="0"/>
        <w:numPr>
          <w:ilvl w:val="0"/>
          <w:numId w:val="0"/>
        </w:numPr>
        <w:spacing w:line="360" w:lineRule="auto"/>
        <w:ind w:firstLine="480" w:firstLineChars="20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3.9为了保障服务质量，乙方可根据情况对</w:t>
      </w:r>
      <w:r>
        <w:rPr>
          <w:rFonts w:hint="default" w:ascii="宋体" w:hAnsi="宋体" w:eastAsia="宋体" w:cs="Times New Roman"/>
          <w:color w:val="000000"/>
          <w:sz w:val="24"/>
          <w:szCs w:val="24"/>
        </w:rPr>
        <w:t>代收缴产品</w:t>
      </w:r>
      <w:r>
        <w:rPr>
          <w:rFonts w:hint="eastAsia" w:ascii="宋体" w:hAnsi="宋体" w:eastAsia="宋体" w:cs="Times New Roman"/>
          <w:color w:val="000000"/>
          <w:sz w:val="24"/>
          <w:szCs w:val="24"/>
        </w:rPr>
        <w:t>的功能和服务进行改动和升级，但应提前通知甲方并预告恢复日期，不可抗力因素除外。因此导致甲方暂时不能正常使用乙方服务的，乙方不承担责任。</w:t>
      </w:r>
    </w:p>
    <w:p>
      <w:pPr>
        <w:widowControl w:val="0"/>
        <w:numPr>
          <w:ilvl w:val="0"/>
          <w:numId w:val="0"/>
        </w:numPr>
        <w:spacing w:line="360" w:lineRule="auto"/>
        <w:ind w:firstLine="480" w:firstLineChars="200"/>
        <w:jc w:val="both"/>
        <w:rPr>
          <w:rFonts w:hint="eastAsia" w:ascii="宋体" w:hAnsi="宋体" w:eastAsia="宋体" w:cs="Times New Roman"/>
          <w:color w:val="auto"/>
          <w:sz w:val="24"/>
          <w:szCs w:val="24"/>
        </w:rPr>
      </w:pPr>
      <w:r>
        <w:rPr>
          <w:rFonts w:hint="default" w:ascii="宋体" w:hAnsi="宋体" w:eastAsia="宋体" w:cs="Times New Roman"/>
          <w:color w:val="auto"/>
          <w:sz w:val="24"/>
          <w:szCs w:val="24"/>
        </w:rPr>
        <w:t>3.10</w:t>
      </w:r>
      <w:r>
        <w:rPr>
          <w:rFonts w:hint="eastAsia" w:ascii="宋体" w:hAnsi="宋体" w:eastAsia="宋体" w:cs="Times New Roman"/>
          <w:color w:val="auto"/>
          <w:sz w:val="24"/>
          <w:szCs w:val="24"/>
        </w:rPr>
        <w:t>因银行、银网联接口发生变化、供电或通信网络发生故障、黑客攻击导致甲方不能正常使用乙方服务的，乙方不承担责任。</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 xml:space="preserve">第四条 甲方权利和义务 </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4.1.甲方有权根据本协议约定获得乙方结算划转的甲方交易款项并有权获得乙方在工作时间内关于代收缴产品的技术咨询和技术支持。</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4.2.甲方不得侵犯消费者或甲方客户的合法权益，并有义务确保消费者或甲方客户在使用乙方服务时获得公平交易的权利。</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4.3.甲方应及时、妥善处理与消费者、甲方客户之间的任何投诉和纠纷，承担因甲方原因而引发的全部法律责任，并不得因此而影响乙方的声誉和形象或给乙方造成经济损失。</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4.4.甲方理解在接受乙方服务的同时应与乙方共同努力维护交易安全，防范支付风险，保护消费者、甲方客户等第三方的合法权益，并配合乙方合法实施的相关管理措施：</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4.4.1.甲方同意严格遵循本协议风险防控规则，并同意乙方按照该规则采取相应的管理措施。</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4.4.2.甲方同意基于监管层面对于交易安全管控的目的，按乙方的要求向乙方提供详细的、真实可信的交易信息字段，交易信息至少包括：直接提供商品或服务的商户名称、商品订单号、商品名称、商品描述、交易金额、交易时间等。</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4.4.3.甲方同意并授权乙方依据相关法律法规及监管规定，按照国家有权机关、监管部门、金融机构等组织要求，将其相关身份资料信息和交易信息提供给上述组织进行核查。</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4.4.4.严禁甲方存储、窃取用户银行卡的磁道信息或芯片信息、验证码、密码、银行卡有效期等敏感信息。乙方有权对甲方采取定期检查、技术监测等必要监督措施。甲方违反本条约定的储存用户上述敏感信息的，乙方有权采取有效措施删除敏感信息，防止信息泄露；同时，甲方应承担相关信息泄露给乙方及相关用户造成的损失和责任。</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val="0"/>
          <w:bCs w:val="0"/>
          <w:color w:val="000000"/>
          <w:sz w:val="24"/>
          <w:szCs w:val="24"/>
        </w:rPr>
        <w:t>4.5.甲乙双方合作过程中，未经乙方同意，甲方不得对外声称乙方为其提供担保、资金托管、保证等服务，亦不得将乙方的商标、LOGO或带有“</w:t>
      </w:r>
      <w:r>
        <w:rPr>
          <w:rFonts w:hint="eastAsia" w:ascii="宋体" w:hAnsi="宋体" w:cs="Times New Roman"/>
          <w:b w:val="0"/>
          <w:bCs w:val="0"/>
          <w:color w:val="000000"/>
          <w:sz w:val="24"/>
          <w:szCs w:val="24"/>
          <w:lang w:eastAsia="zh-CN"/>
        </w:rPr>
        <w:t>乙方</w:t>
      </w:r>
      <w:r>
        <w:rPr>
          <w:rFonts w:hint="default" w:ascii="宋体" w:hAnsi="宋体" w:eastAsia="宋体" w:cs="Times New Roman"/>
          <w:b w:val="0"/>
          <w:bCs w:val="0"/>
          <w:color w:val="000000"/>
          <w:sz w:val="24"/>
          <w:szCs w:val="24"/>
        </w:rPr>
        <w:t>”字样的内容放在甲方网站及对外宣传的材料中。</w:t>
      </w:r>
    </w:p>
    <w:p>
      <w:pPr>
        <w:widowControl w:val="0"/>
        <w:numPr>
          <w:ilvl w:val="0"/>
          <w:numId w:val="0"/>
        </w:numPr>
        <w:spacing w:line="360" w:lineRule="auto"/>
        <w:ind w:firstLine="480" w:firstLineChars="200"/>
        <w:jc w:val="both"/>
        <w:rPr>
          <w:rFonts w:hint="eastAsia" w:ascii="宋体" w:hAnsi="宋体" w:eastAsia="宋体" w:cs="Times New Roman"/>
          <w:b/>
          <w:bCs/>
          <w:color w:val="000000"/>
          <w:sz w:val="24"/>
          <w:szCs w:val="24"/>
        </w:rPr>
      </w:pPr>
      <w:r>
        <w:rPr>
          <w:rFonts w:hint="default" w:ascii="宋体" w:hAnsi="宋体" w:eastAsia="宋体" w:cs="Times New Roman"/>
          <w:b/>
          <w:bCs/>
          <w:color w:val="000000"/>
          <w:sz w:val="24"/>
          <w:szCs w:val="24"/>
        </w:rPr>
        <w:t>第五条 乙方权利和义务</w:t>
      </w:r>
    </w:p>
    <w:p>
      <w:pPr>
        <w:widowControl w:val="0"/>
        <w:numPr>
          <w:ilvl w:val="0"/>
          <w:numId w:val="0"/>
        </w:numPr>
        <w:spacing w:line="360" w:lineRule="auto"/>
        <w:ind w:firstLine="480" w:firstLineChars="200"/>
        <w:jc w:val="both"/>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5.1.乙方应为甲方提供本协议约定的各项</w:t>
      </w:r>
      <w:r>
        <w:rPr>
          <w:rFonts w:hint="default" w:ascii="宋体" w:hAnsi="宋体" w:eastAsia="宋体" w:cs="Times New Roman"/>
          <w:b w:val="0"/>
          <w:bCs w:val="0"/>
          <w:color w:val="000000"/>
          <w:sz w:val="24"/>
          <w:szCs w:val="24"/>
        </w:rPr>
        <w:t>代收缴服务</w:t>
      </w:r>
      <w:r>
        <w:rPr>
          <w:rFonts w:hint="eastAsia" w:ascii="宋体" w:hAnsi="宋体" w:eastAsia="宋体" w:cs="Times New Roman"/>
          <w:b w:val="0"/>
          <w:bCs w:val="0"/>
          <w:color w:val="000000"/>
          <w:sz w:val="24"/>
          <w:szCs w:val="24"/>
        </w:rPr>
        <w:t>，确保甲方账户资金、交易资金的安全存放和准确及时划转，并有权按照本协议的规定收取各项服务费用。该费用是指乙方根据与甲方约定的</w:t>
      </w:r>
      <w:r>
        <w:rPr>
          <w:rFonts w:hint="default" w:ascii="宋体" w:hAnsi="宋体" w:eastAsia="宋体" w:cs="Times New Roman"/>
          <w:b w:val="0"/>
          <w:bCs w:val="0"/>
          <w:color w:val="000000"/>
          <w:sz w:val="24"/>
          <w:szCs w:val="24"/>
        </w:rPr>
        <w:t>代收缴服务</w:t>
      </w:r>
      <w:r>
        <w:rPr>
          <w:rFonts w:hint="eastAsia" w:ascii="宋体" w:hAnsi="宋体" w:eastAsia="宋体" w:cs="Times New Roman"/>
          <w:b w:val="0"/>
          <w:bCs w:val="0"/>
          <w:color w:val="000000"/>
          <w:sz w:val="24"/>
          <w:szCs w:val="24"/>
        </w:rPr>
        <w:t>费率计算出来的金额。</w:t>
      </w:r>
    </w:p>
    <w:p>
      <w:pPr>
        <w:widowControl w:val="0"/>
        <w:numPr>
          <w:ilvl w:val="0"/>
          <w:numId w:val="0"/>
        </w:numPr>
        <w:spacing w:line="360" w:lineRule="auto"/>
        <w:ind w:firstLine="480" w:firstLineChars="200"/>
        <w:jc w:val="both"/>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5.2.乙方应负责支付系统的建设、运行和管理，确保系统的安全性。</w:t>
      </w:r>
    </w:p>
    <w:p>
      <w:pPr>
        <w:widowControl w:val="0"/>
        <w:numPr>
          <w:ilvl w:val="0"/>
          <w:numId w:val="0"/>
        </w:numPr>
        <w:spacing w:line="360" w:lineRule="auto"/>
        <w:ind w:firstLine="480" w:firstLineChars="200"/>
        <w:jc w:val="both"/>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5.3.乙方依据《金融消费者权益保护实施办法》信息披露的相关规定，以明确的格式、内容、语言，对其提供的</w:t>
      </w:r>
      <w:r>
        <w:rPr>
          <w:rFonts w:hint="default" w:ascii="宋体" w:hAnsi="宋体" w:eastAsia="宋体" w:cs="Times New Roman"/>
          <w:b w:val="0"/>
          <w:bCs w:val="0"/>
          <w:color w:val="000000"/>
          <w:sz w:val="24"/>
          <w:szCs w:val="24"/>
        </w:rPr>
        <w:t>代收缴产品</w:t>
      </w:r>
      <w:r>
        <w:rPr>
          <w:rFonts w:hint="eastAsia" w:ascii="宋体" w:hAnsi="宋体" w:eastAsia="宋体" w:cs="Times New Roman"/>
          <w:b w:val="0"/>
          <w:bCs w:val="0"/>
          <w:color w:val="000000"/>
          <w:sz w:val="24"/>
          <w:szCs w:val="24"/>
        </w:rPr>
        <w:t>或服务依法向甲方进行全面、充分的信息披露。</w:t>
      </w:r>
    </w:p>
    <w:p>
      <w:pPr>
        <w:widowControl w:val="0"/>
        <w:numPr>
          <w:ilvl w:val="0"/>
          <w:numId w:val="0"/>
        </w:numPr>
        <w:spacing w:line="360" w:lineRule="auto"/>
        <w:ind w:firstLine="480" w:firstLineChars="200"/>
        <w:jc w:val="both"/>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5.4.乙方有义务及时处理与乙方所提供</w:t>
      </w:r>
      <w:r>
        <w:rPr>
          <w:rFonts w:hint="default" w:ascii="宋体" w:hAnsi="宋体" w:eastAsia="宋体" w:cs="Times New Roman"/>
          <w:b w:val="0"/>
          <w:bCs w:val="0"/>
          <w:color w:val="000000"/>
          <w:sz w:val="24"/>
          <w:szCs w:val="24"/>
        </w:rPr>
        <w:t>代收缴服务</w:t>
      </w:r>
      <w:r>
        <w:rPr>
          <w:rFonts w:hint="eastAsia" w:ascii="宋体" w:hAnsi="宋体" w:eastAsia="宋体" w:cs="Times New Roman"/>
          <w:b w:val="0"/>
          <w:bCs w:val="0"/>
          <w:color w:val="000000"/>
          <w:sz w:val="24"/>
          <w:szCs w:val="24"/>
        </w:rPr>
        <w:t xml:space="preserve">有关的投诉或纠纷，并不得因此而影响甲方的声誉和形象或给甲方造成经济损失。 </w:t>
      </w:r>
    </w:p>
    <w:p>
      <w:pPr>
        <w:widowControl w:val="0"/>
        <w:numPr>
          <w:ilvl w:val="0"/>
          <w:numId w:val="0"/>
        </w:numPr>
        <w:spacing w:line="360" w:lineRule="auto"/>
        <w:ind w:firstLine="480" w:firstLineChars="200"/>
        <w:jc w:val="both"/>
        <w:rPr>
          <w:rFonts w:hint="eastAsia" w:ascii="宋体" w:hAnsi="宋体" w:eastAsia="宋体" w:cs="Times New Roman"/>
          <w:b w:val="0"/>
          <w:bCs w:val="0"/>
          <w:color w:val="000000"/>
          <w:sz w:val="24"/>
          <w:szCs w:val="24"/>
        </w:rPr>
      </w:pPr>
      <w:r>
        <w:rPr>
          <w:rFonts w:hint="eastAsia" w:ascii="宋体" w:hAnsi="宋体" w:eastAsia="宋体" w:cs="Times New Roman"/>
          <w:b w:val="0"/>
          <w:bCs w:val="0"/>
          <w:color w:val="000000"/>
          <w:sz w:val="24"/>
          <w:szCs w:val="24"/>
        </w:rPr>
        <w:t>5.5乙方向甲方提供服务的过程中触及甲方的消费者、客户或第三方的, 均系乙方履行对甲方义务的行为, 并不构成对甲方的消费者、客户或第三方的任何要约或承诺, 甲方的消费者、客户或第三方不因此而获得对乙方的直接请求权。</w:t>
      </w:r>
    </w:p>
    <w:p>
      <w:pPr>
        <w:widowControl w:val="0"/>
        <w:numPr>
          <w:ilvl w:val="0"/>
          <w:numId w:val="0"/>
        </w:numPr>
        <w:spacing w:line="360" w:lineRule="auto"/>
        <w:ind w:firstLine="480" w:firstLineChars="200"/>
        <w:jc w:val="both"/>
        <w:rPr>
          <w:rFonts w:hint="eastAsia" w:ascii="宋体" w:hAnsi="宋体" w:eastAsia="宋体" w:cs="Times New Roman"/>
          <w:b/>
          <w:bCs/>
          <w:color w:val="000000"/>
          <w:sz w:val="24"/>
          <w:szCs w:val="24"/>
        </w:rPr>
      </w:pPr>
      <w:r>
        <w:rPr>
          <w:rFonts w:hint="default" w:ascii="宋体" w:hAnsi="宋体" w:eastAsia="宋体" w:cs="Times New Roman"/>
          <w:b/>
          <w:bCs/>
          <w:color w:val="000000"/>
          <w:sz w:val="24"/>
          <w:szCs w:val="24"/>
        </w:rPr>
        <w:t>第六条 个人信息保护</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6.1甲</w:t>
      </w:r>
      <w:r>
        <w:rPr>
          <w:rFonts w:hint="default" w:ascii="宋体" w:hAnsi="宋体" w:eastAsia="宋体" w:cs="Times New Roman"/>
          <w:b w:val="0"/>
          <w:bCs w:val="0"/>
          <w:color w:val="auto"/>
          <w:sz w:val="24"/>
          <w:szCs w:val="24"/>
        </w:rPr>
        <w:t>方</w:t>
      </w:r>
      <w:r>
        <w:rPr>
          <w:rFonts w:hint="eastAsia" w:ascii="宋体" w:hAnsi="宋体" w:eastAsia="宋体" w:cs="Times New Roman"/>
          <w:b w:val="0"/>
          <w:bCs w:val="0"/>
          <w:color w:val="auto"/>
          <w:sz w:val="24"/>
          <w:szCs w:val="24"/>
          <w:lang w:val="en-US" w:eastAsia="zh-Hans"/>
        </w:rPr>
        <w:t>因接受本协议服务</w:t>
      </w:r>
      <w:r>
        <w:rPr>
          <w:rFonts w:hint="default" w:ascii="宋体" w:hAnsi="宋体" w:eastAsia="宋体" w:cs="Times New Roman"/>
          <w:b w:val="0"/>
          <w:bCs w:val="0"/>
          <w:color w:val="000000"/>
          <w:sz w:val="24"/>
          <w:szCs w:val="24"/>
        </w:rPr>
        <w:t>需要向乙方提供消费者或者甲方客户姓名、银行卡号等个人信息的，应依照《中华人民共和国个人信息保护法》的规定将此类对个人信息的处理向消费者或者甲方客户进行告知，保障消费者或者甲方客户依法享有的知情权并依法取得其单独同意。若因甲方处理（收集、存储、使用、加工、传输、提供、公开、删除等）消费者或甲方客户的个人信息违反法律规定造成乙方损失的，甲方应予以赔偿，同时乙方有权终止合作。</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6.2为了遵守国家法律法规及监管要求，以及完成所要求的服务及提升服务质量，或保障交易和资金安全，乙方会在以下情形中使用甲方提供的个人信息：</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6.2.1实现甲乙双方达成的合同目的；</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6.2.2为了保障服务的稳定性与安全性，乙方会将甲方提供的个人信息用于身份验证、安全防范、诈骗监测、预防或禁止非法活动、降低风险、存档和备份用途；</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6.2.3根据法律法规或监管要求向相关部门进行报告；</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6.2.4乙方会采取匿名化处理方式对含有个人信息的订单信息进行综合统计、分析加工，以便提供更加准确、个性、流畅及便捷的服务，或帮助评估、改善或设计服务及运营活动；</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6.3部分服务需用户完成身份基本信息验证之后才能使用，若甲方使用涉及前述服务的乙方产品，甲方应保障乙方可通过政府部门的数据库、商业银行信息系统及商业化数据库等渠道完成对用户个人信息的验证。</w:t>
      </w:r>
    </w:p>
    <w:p>
      <w:pPr>
        <w:widowControl w:val="0"/>
        <w:numPr>
          <w:ilvl w:val="0"/>
          <w:numId w:val="0"/>
        </w:numPr>
        <w:spacing w:line="360" w:lineRule="auto"/>
        <w:ind w:firstLine="480" w:firstLineChars="200"/>
        <w:jc w:val="both"/>
        <w:rPr>
          <w:rFonts w:hint="default" w:ascii="宋体" w:hAnsi="宋体" w:eastAsia="宋体" w:cs="Times New Roman"/>
          <w:b w:val="0"/>
          <w:bCs w:val="0"/>
          <w:color w:val="auto"/>
          <w:sz w:val="24"/>
          <w:szCs w:val="24"/>
        </w:rPr>
      </w:pPr>
      <w:r>
        <w:rPr>
          <w:rFonts w:hint="default" w:ascii="宋体" w:hAnsi="宋体" w:eastAsia="宋体" w:cs="Times New Roman"/>
          <w:b w:val="0"/>
          <w:bCs w:val="0"/>
          <w:color w:val="auto"/>
          <w:sz w:val="24"/>
          <w:szCs w:val="24"/>
        </w:rPr>
        <w:t>6.4监管部门依法对个人信息处理情况进行合规检查时，甲方应当提供其依照法律规范及甲乙双方约定应取得的，与个人信息处理相关的授权材料（或证明已取得授权的事实）。若甲方通过第三方获取相关授权的，甲方应协调第三方，配合甲方提供前述授权材料（或证明已取得授权的事实）。</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第七条 甲方结算说明</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 xml:space="preserve">7.1甲方使⽤本服务，应向乙方交纳服务费，费用标准按照甲乙双方签署的本协议中的约定执行，甲方承诺不会将该等费用转嫁给甲方用户，但甲方与其用户另有约定的除外。 </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7.2乙方根据与甲方约定的结算周期及甲方相关需求及设置进行资金结算，具体结算周期以乙方系统核准记录为准，到账时间取决于银行系统清算周期。甲方通过银行账户收取结算资金的，收款银行账户为本协议《基本注册信息与账户信息表》中填写的银行账户。</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7.3若因甲方需变更结算账号，但未及时通知乙方或因银行系统原因、网络故障等不可抗力原因导致交易款项无法按时结算至甲方提交的银行卡账号的，乙方不承担任何责任。</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7.4甲方未向乙方提供本协议1.1要求的资质材料的，乙方有权暂时不与甲方结算，乙方收到甲方符合规定的资质材料后进行结算。</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7.5乙方有权根据甲方的经营状况、业务变化及实际赔付情况调整结算周期，并以电子邮件通知等方式通知甲方，若甲方有异议，双方可协商，协商不一致，可解除本协议。</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7.6甲方核对汇总和明细对账单发现不符情况的，应及时向乙方投诉或反馈，乙方分析差错原因，并根据情况进行差错处理。</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第八条 退款处理</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8.1因交易取消（撤销）、甲方客户退货、交易不成功等原因需要退款的，甲方应按乙方和银行的要求在交易发生后30天内提出，如银行原因不能办理退款，甲方需处理退款事宜。</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8.2退款遵循原路退回的原则，退款款项必须退回至交易时使用的银行卡或支付账户中，甲方不得截留或退至其他账号。甲方因未遵循按原路退回原则而造成的风险均由甲方承担。因特殊情况导致无法退回至原付款银行卡或支付账户时，（特殊情况包含但不限于因超出退款期限或持卡人银行卡、支付账户冻结、挂失、换号等造成乙方无法正常退款）乙方有权与付款人核实退款订单信息后，退款至付款人本人的其他银行账号或支付账户。</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 xml:space="preserve">8.3当甲方向乙方提出退款请求时，甲方在乙方账户中应有足够退款的账存资金，否则甲方须按退款的金额将款项转账至乙方账户，乙方收到该款项后向消费者或甲方客户做退款处理。 </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8.4乙方原则上不接受消费者、甲方客户的直接退款指令，乙方有权将消费者或甲方客户的指令转给甲方，并由甲方自行进行处理。但在甲方与消费者、甲方客户发生纠纷时，如果甲方存在未发货、退货、欺诈等情况，或乙方在5个工作日内无法联系到甲方，或因退款不及时将给乙方声誉造成影响或带来经济损失时，乙方有权直接向消费者、甲方客户退款，若甲方的账存资金不足时，甲方应向乙方及时补偿相应的金额。</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highlight w:val="none"/>
        </w:rPr>
      </w:pPr>
      <w:r>
        <w:rPr>
          <w:rFonts w:hint="default" w:ascii="宋体" w:hAnsi="宋体" w:eastAsia="宋体" w:cs="Times New Roman"/>
          <w:b w:val="0"/>
          <w:bCs w:val="0"/>
          <w:color w:val="000000"/>
          <w:sz w:val="24"/>
          <w:szCs w:val="24"/>
          <w:highlight w:val="none"/>
        </w:rPr>
        <w:t>8.5退款时乙方不再另行收取服务费，但若银行方面需要另行收取相关费用，则此费用由甲方承担。同时，乙方按照本协议规定应该收取的服务费默认不予退还。</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第九条 风险防控规则</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9.1业务风险监测及异常处置：为了保护甲方、乙方、持卡人的共同利益，乙方有权对甲方交易的业务风险水平、业务投诉及其他业务运作情况进行风险管理，持续监测和分析交易金额、笔数、类型、时间、频率和收款方、付款方等特征及投诉情况，如发现交易金额、时间、频率与特约商户经营范围、规模不相符、投诉增多等异常情形的，乙方采取延迟资金结算、设置收款限额、暂停银行卡交易、收回受理终端（关闭网络支付接口）等措施，乙方不承担任何责任。调整前乙方应及时通知甲方，银行原因、政策调整及其他不可抗力因素除外。</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9.2交易风险监测及异常处置：对于盗卡、欺诈等风险行为关联的IP地址、银行卡号、手机号、身份证号、注册信息等，甲乙双方应分别采取措施禁止相关信息通过甲方场景使用乙方支付通道再次交易。如果以上风险信息通过甲方交易引发持卡人投诉或银行、公安、司法机关调查，乙方在通知甲方后有权从甲方待结算资金中冻结相应款项，同时，甲方有义务在乙方规定时限内应乙方要求拦截资金、冻结可疑账户，并提供完整的客户资料和交易明细凭据，以备乙方反馈。若调查部门判断无需赔付，乙方将在审核结果做出后2个工作日内解冻甲方待结算资金中的相应款项。若调查部门判断需要赔付或甲方逾期未解决给乙方造成损失或乙方已经向受害人先行垫付的，甲方应无条件全额赔付，甲方未及时进行赔付的，乙方通知甲方后，可直接从甲方待结算资金中扣除相应款项，不足部分，甲方应及时补齐。</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9.3甲方在以下情况，需承担相应赔付责任及乙方损失：</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9.3.1交易争议处理：当持卡人或发卡行、银联、网联对交易有疑义，依据《银联卡业务运作规章》和《网联业务差错争议处理规则》、专项业务规则通过银联差错平台、网联清算有限公司风险交易处理平台拒付相应款项（包括但不限于客户否认交易），甲方需提供交易凭证，如甲方不能提供交易凭证或提供的交易凭证与实际情况不符或持卡人及发卡机构能够证明其拒付行为符合业务规则有关要求的，甲方应无条件承担由此产生的全部损失和责任。如遇发卡行、银联、网联等先行扣除乙方资金对持卡人进行赔付的，甲方应于2个工作日内补足资金至乙方，如逾期未补足，乙方有权通过法律途径向甲方追偿。</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9.3.2 持卡人升级投诉：当持卡人针对交易向权力机关或公开媒体发起投诉的（相关机构包括但不限于与：银联、网联、发卡行、监管机构、工商局、公开媒体、消费者保护协会、市场监督管理局、银保监会、外汇管理局、聚投诉、黑猫投诉等），乙方有权先行冻结甲方部分或全部账户资金并通知到甲方，同时甲方需按照乙方通知要求的时间解决投诉（无法明确处理时限：银行、机关机构等每次根据投诉事件的严重程度决定处理时限），如无法按时解决或由于甲方配合不及时引起的损失及责任均由甲方承担。如遇持卡人强烈投诉（如至乙方公司、监管机构或其他权力机关上门投诉等），导致乙方发生资金垫付的，甲方应于2个工作日内补足资金至乙方，如逾期未补足，乙方有权通过法律途径向甲方追偿。</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9.3.3 持卡人未知情被扣款：在使用乙方通道划扣持卡人账户资金时，甲方必须确保持卡人知情且为持卡人本人意愿，形式可包括但不限于：与用户签订扣款协议、扣款告知书、下发短信验证通知、邮件通知、活体识别等。如持卡人在不知情情况下被扣款后向权力机关或公开媒体发起投诉的（相关机构包括但不限于与：银联、网联、发卡行、监管机构、工商局、公开媒体、消费者保护协会、市场监督管理局、银保监会、外汇管理局、聚投诉、黑猫投诉等），乙方有权先行冻结甲方部分或全部账户资金并通知到甲方，甲方需按照乙方通知要求的时间解决投诉（无法明确处理时限：银行、机关机构等每次根据投诉事件的严重程度决定处理时限），期间甲方应全力配合乙方及相关机构调查、提供完整详实的扣款材料。如经调查需赔付的，乙方将在审核结果作出后通知到甲方并扣除甲方账户中相应款项赔付给用户，不足部分甲方需在2个工作提内补充；如在调查过程中或调查完成后上游机构根据《银联卡业务运作规章》、《网联业务差错争议处理规则》等先行扣除乙方账户资金的，乙方有权扣除甲方账户资金弥补损失，如遇甲方账户余额不足，甲方应于2个工作日内补足，逾期未补足，乙方有权通过法律途径向甲方进行追偿。</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9.3.4甲方违规作业：在合作期间，如甲方将乙方产品使用于规定业务范围外，或将乙方提供的支付接口提供给甲方之外的任何第三方使用或甲方直接或变相从事非法放贷、非法传销、非法吸收公众存款、非法集资、违规募集私募基金、诈骗、洗钱、互联网赌博、传播淫秽色情、互联网销售彩票平台，非法外汇、贵金属投资交易平台，非法证券期货类交易平台，代币发行融资及虚拟货币交易平台的，或存在未经监管部门批准通过互联网开展资产管理业务以及未取得省级政府批文的大宗商品交易场所等非法交易的，乙方有权先行冻结甲方部分或全部账户资金；如因上述业务引发持卡人投诉，甲方应无条件承担全部损失并赔付，如甲方未及时进行赔付，乙方有权直接从甲方账户划拨资金赔付给用户，如因甲方账户资金余额不足导致乙方垫付的，甲方需于2个工作日内补齐资金，逾期未补齐，乙方有权通过法律途径进行追偿；如因上述业务导致乙方被网联、银联、银行、司法机关、监管机构、权力机关等调查，对乙方展业造成实质影响的，包括但不限于：上游机构暂停通道使用、划扣乙方账户资金赔付给用户、冻结乙方账户资金、暂停乙方拓展新商户等，甲方应无条件配合乙方及相关机构进行调查并全额承担相关损失。</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9.4甲方连续3个月（含3个月）在乙方的账户无交易发生，乙方有权关闭甲方账户。若甲方业务模式导致甲方账户不经常发生交易，可向乙方说明情况并提供证明材料，乙方审核通过后可加入白名单系统。若甲方账户申请重新启用，需向乙方说明情况并按乙方要求提供相应材料，经乙方审核通过后可开通；若甲方账户此后不再启用，甲方可向乙方申请终止清算。</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9.5乙方在本协议解除后90个自然日后对甲方的剩余资金进行清算，若剩余资金涉及投诉或银行、公安、司法机关冻结等情形，则清算将顺延至上诉情形解除。</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9.6本协议终止后一年内，因在协议有效期内发生的交易导致甲方需要向乙方或用户承担赔付责任的，甲乙双方仍须按照本协议之约定承担赔付责任。</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第十条 反洗钱条款</w:t>
      </w:r>
    </w:p>
    <w:p>
      <w:pPr>
        <w:widowControl w:val="0"/>
        <w:numPr>
          <w:ilvl w:val="0"/>
          <w:numId w:val="0"/>
        </w:numPr>
        <w:spacing w:line="360" w:lineRule="auto"/>
        <w:ind w:firstLine="480" w:firstLineChars="200"/>
        <w:jc w:val="both"/>
        <w:rPr>
          <w:rFonts w:hint="default" w:ascii="宋体" w:hAnsi="宋体" w:eastAsia="宋体" w:cs="Times New Roman"/>
          <w:b w:val="0"/>
          <w:bCs w:val="0"/>
          <w:color w:val="auto"/>
          <w:sz w:val="24"/>
          <w:szCs w:val="24"/>
        </w:rPr>
      </w:pPr>
      <w:r>
        <w:rPr>
          <w:rFonts w:hint="default" w:ascii="宋体" w:hAnsi="宋体" w:eastAsia="宋体" w:cs="Times New Roman"/>
          <w:b w:val="0"/>
          <w:bCs w:val="0"/>
          <w:color w:val="000000"/>
          <w:sz w:val="24"/>
          <w:szCs w:val="24"/>
        </w:rPr>
        <w:t>10.1甲乙双方应按照《中华人民共和国反洗钱法》、《支付机构反洗钱和反恐怖融资管理办法》等有关反洗钱法律法规履行反洗钱义务，并互相为对方在开展</w:t>
      </w:r>
      <w:r>
        <w:rPr>
          <w:rFonts w:hint="default" w:ascii="宋体" w:hAnsi="宋体" w:eastAsia="宋体" w:cs="Times New Roman"/>
          <w:b w:val="0"/>
          <w:bCs w:val="0"/>
          <w:color w:val="auto"/>
          <w:sz w:val="24"/>
          <w:szCs w:val="24"/>
        </w:rPr>
        <w:t>反洗钱工作上提供充分的协助。</w:t>
      </w:r>
    </w:p>
    <w:p>
      <w:pPr>
        <w:widowControl w:val="0"/>
        <w:numPr>
          <w:ilvl w:val="0"/>
          <w:numId w:val="0"/>
        </w:numPr>
        <w:spacing w:line="360" w:lineRule="auto"/>
        <w:ind w:firstLine="480" w:firstLineChars="200"/>
        <w:jc w:val="both"/>
        <w:rPr>
          <w:rFonts w:hint="default" w:ascii="宋体" w:hAnsi="宋体" w:eastAsia="宋体" w:cs="Times New Roman"/>
          <w:b w:val="0"/>
          <w:bCs w:val="0"/>
          <w:color w:val="auto"/>
          <w:sz w:val="24"/>
          <w:szCs w:val="24"/>
        </w:rPr>
      </w:pPr>
      <w:r>
        <w:rPr>
          <w:rFonts w:hint="default" w:ascii="宋体" w:hAnsi="宋体" w:eastAsia="宋体" w:cs="Times New Roman"/>
          <w:b w:val="0"/>
          <w:bCs w:val="0"/>
          <w:color w:val="auto"/>
          <w:sz w:val="24"/>
          <w:szCs w:val="24"/>
        </w:rPr>
        <w:t>10.2乙方因反洗钱工作需要，甲方应积极配合乙方提供相关信息和资料，包括但不限于甲方受益所有人身份信息、实际控制人或控股股东身份信息、交易背景信息、甲方有关客户的身份资料信息。</w:t>
      </w:r>
    </w:p>
    <w:p>
      <w:pPr>
        <w:widowControl w:val="0"/>
        <w:numPr>
          <w:ilvl w:val="0"/>
          <w:numId w:val="0"/>
        </w:numPr>
        <w:spacing w:line="360" w:lineRule="auto"/>
        <w:ind w:firstLine="480" w:firstLineChars="200"/>
        <w:jc w:val="both"/>
        <w:rPr>
          <w:rFonts w:hint="default" w:ascii="宋体" w:hAnsi="宋体" w:eastAsia="宋体" w:cs="Times New Roman"/>
          <w:b w:val="0"/>
          <w:bCs w:val="0"/>
          <w:color w:val="auto"/>
          <w:sz w:val="24"/>
          <w:szCs w:val="24"/>
        </w:rPr>
      </w:pPr>
      <w:r>
        <w:rPr>
          <w:rFonts w:hint="default" w:ascii="宋体" w:hAnsi="宋体" w:eastAsia="宋体" w:cs="Times New Roman"/>
          <w:b w:val="0"/>
          <w:bCs w:val="0"/>
          <w:color w:val="auto"/>
          <w:sz w:val="24"/>
          <w:szCs w:val="24"/>
        </w:rPr>
        <w:t>10.3甲方不得通过乙方的支付服务进行洗钱行为或为违法犯罪活动转移赃款提供便利。</w:t>
      </w:r>
    </w:p>
    <w:p>
      <w:pPr>
        <w:widowControl w:val="0"/>
        <w:numPr>
          <w:ilvl w:val="0"/>
          <w:numId w:val="0"/>
        </w:numPr>
        <w:spacing w:line="360" w:lineRule="auto"/>
        <w:ind w:firstLine="480" w:firstLineChars="200"/>
        <w:jc w:val="both"/>
        <w:rPr>
          <w:rFonts w:hint="default" w:ascii="宋体" w:hAnsi="宋体" w:eastAsia="宋体" w:cs="Times New Roman"/>
          <w:b w:val="0"/>
          <w:bCs w:val="0"/>
          <w:color w:val="auto"/>
          <w:sz w:val="24"/>
          <w:szCs w:val="24"/>
        </w:rPr>
      </w:pPr>
      <w:r>
        <w:rPr>
          <w:rFonts w:hint="default" w:ascii="宋体" w:hAnsi="宋体" w:eastAsia="宋体" w:cs="Times New Roman"/>
          <w:b w:val="0"/>
          <w:bCs w:val="0"/>
          <w:color w:val="auto"/>
          <w:sz w:val="24"/>
          <w:szCs w:val="24"/>
        </w:rPr>
        <w:t>10.4甲方不得为制裁、恐怖融资提供服务，不得为身份不明的客户提供服务或者与其进行交易。</w:t>
      </w:r>
    </w:p>
    <w:p>
      <w:pPr>
        <w:widowControl w:val="0"/>
        <w:numPr>
          <w:ilvl w:val="0"/>
          <w:numId w:val="0"/>
        </w:numPr>
        <w:spacing w:line="360" w:lineRule="auto"/>
        <w:ind w:firstLine="480" w:firstLineChars="200"/>
        <w:jc w:val="both"/>
        <w:rPr>
          <w:rFonts w:hint="default" w:ascii="宋体" w:hAnsi="宋体" w:eastAsia="宋体" w:cs="Times New Roman"/>
          <w:b w:val="0"/>
          <w:bCs w:val="0"/>
          <w:color w:val="auto"/>
          <w:sz w:val="24"/>
          <w:szCs w:val="24"/>
        </w:rPr>
      </w:pPr>
      <w:r>
        <w:rPr>
          <w:rFonts w:hint="default" w:ascii="宋体" w:hAnsi="宋体" w:eastAsia="宋体" w:cs="Times New Roman"/>
          <w:b w:val="0"/>
          <w:bCs w:val="0"/>
          <w:color w:val="auto"/>
          <w:sz w:val="24"/>
          <w:szCs w:val="24"/>
        </w:rPr>
        <w:t>10.5乙方如果合理怀疑甲方客户存在洗钱风险、恐怖融资风险或国际制裁合规风险，乙方可以采取包括中止交易、限制交易规模等在内的适当风控措施。</w:t>
      </w:r>
    </w:p>
    <w:p>
      <w:pPr>
        <w:widowControl w:val="0"/>
        <w:numPr>
          <w:ilvl w:val="0"/>
          <w:numId w:val="0"/>
        </w:numPr>
        <w:spacing w:line="360" w:lineRule="auto"/>
        <w:ind w:firstLine="480" w:firstLineChars="200"/>
        <w:jc w:val="both"/>
        <w:rPr>
          <w:rFonts w:hint="default" w:ascii="宋体" w:hAnsi="宋体" w:eastAsia="宋体" w:cs="Times New Roman"/>
          <w:b w:val="0"/>
          <w:bCs w:val="0"/>
          <w:color w:val="auto"/>
          <w:sz w:val="24"/>
          <w:szCs w:val="24"/>
        </w:rPr>
      </w:pPr>
      <w:r>
        <w:rPr>
          <w:rFonts w:hint="default" w:ascii="宋体" w:hAnsi="宋体" w:eastAsia="宋体" w:cs="Times New Roman"/>
          <w:b w:val="0"/>
          <w:bCs w:val="0"/>
          <w:color w:val="auto"/>
          <w:sz w:val="24"/>
          <w:szCs w:val="24"/>
        </w:rPr>
        <w:t>10.6甲乙双方根据反洗钱法律规范要求，实施反洗钱保密条款，不得向非监管部门提供客户的反洗钱信息。</w:t>
      </w:r>
    </w:p>
    <w:p>
      <w:pPr>
        <w:widowControl w:val="0"/>
        <w:numPr>
          <w:ilvl w:val="0"/>
          <w:numId w:val="0"/>
        </w:numPr>
        <w:spacing w:line="360" w:lineRule="auto"/>
        <w:ind w:firstLine="480" w:firstLineChars="200"/>
        <w:jc w:val="both"/>
        <w:rPr>
          <w:rFonts w:hint="default" w:ascii="宋体" w:hAnsi="宋体" w:eastAsia="宋体" w:cs="Times New Roman"/>
          <w:b/>
          <w:bCs/>
          <w:color w:val="auto"/>
          <w:sz w:val="24"/>
          <w:szCs w:val="24"/>
        </w:rPr>
      </w:pPr>
      <w:r>
        <w:rPr>
          <w:rFonts w:hint="default" w:ascii="宋体" w:hAnsi="宋体" w:eastAsia="宋体" w:cs="Times New Roman"/>
          <w:b/>
          <w:bCs/>
          <w:color w:val="auto"/>
          <w:sz w:val="24"/>
          <w:szCs w:val="24"/>
        </w:rPr>
        <w:t>第十一条 违约责任</w:t>
      </w:r>
    </w:p>
    <w:p>
      <w:pPr>
        <w:widowControl w:val="0"/>
        <w:numPr>
          <w:ilvl w:val="0"/>
          <w:numId w:val="0"/>
        </w:numPr>
        <w:spacing w:line="360" w:lineRule="auto"/>
        <w:ind w:firstLine="480" w:firstLineChars="200"/>
        <w:jc w:val="both"/>
        <w:rPr>
          <w:rFonts w:hint="default" w:ascii="宋体" w:hAnsi="宋体" w:eastAsia="宋体" w:cs="Times New Roman"/>
          <w:b w:val="0"/>
          <w:bCs w:val="0"/>
          <w:color w:val="auto"/>
          <w:sz w:val="24"/>
          <w:szCs w:val="24"/>
        </w:rPr>
      </w:pPr>
      <w:r>
        <w:rPr>
          <w:rFonts w:hint="default" w:ascii="宋体" w:hAnsi="宋体" w:eastAsia="宋体" w:cs="Times New Roman"/>
          <w:b w:val="0"/>
          <w:bCs w:val="0"/>
          <w:color w:val="auto"/>
          <w:sz w:val="24"/>
          <w:szCs w:val="24"/>
        </w:rPr>
        <w:t>11.1一方因不具备经营资质和行政许可、违法经营、侵害消费者、客户合法权益等原因所引起的任何行政处罚、民事赔偿，以及其他法律责任，均由该方自行承担。由此给另一方造成损失，应赔偿，情节严重的，另一方有权解除本协议。涉嫌违法犯罪的，另一方有权移交公安机关处理。</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auto"/>
          <w:sz w:val="24"/>
          <w:szCs w:val="24"/>
        </w:rPr>
        <w:t>11.2一方因未及时、妥善处理与消费者、客</w:t>
      </w:r>
      <w:r>
        <w:rPr>
          <w:rFonts w:hint="default" w:ascii="宋体" w:hAnsi="宋体" w:eastAsia="宋体" w:cs="Times New Roman"/>
          <w:b w:val="0"/>
          <w:bCs w:val="0"/>
          <w:color w:val="000000"/>
          <w:sz w:val="24"/>
          <w:szCs w:val="24"/>
        </w:rPr>
        <w:t>户之间的任何投诉和纠纷而影响另一方的声誉和形</w:t>
      </w:r>
      <w:r>
        <w:rPr>
          <w:rFonts w:hint="default" w:ascii="宋体" w:hAnsi="宋体" w:eastAsia="宋体" w:cs="Times New Roman"/>
          <w:b w:val="0"/>
          <w:bCs w:val="0"/>
          <w:color w:val="auto"/>
          <w:sz w:val="24"/>
          <w:szCs w:val="24"/>
        </w:rPr>
        <w:t>象，造成损失</w:t>
      </w:r>
      <w:r>
        <w:rPr>
          <w:rFonts w:hint="eastAsia" w:ascii="宋体" w:hAnsi="宋体" w:eastAsia="宋体" w:cs="Times New Roman"/>
          <w:b w:val="0"/>
          <w:bCs w:val="0"/>
          <w:color w:val="auto"/>
          <w:sz w:val="24"/>
          <w:szCs w:val="24"/>
          <w:lang w:val="en-US" w:eastAsia="zh-Hans"/>
        </w:rPr>
        <w:t>的，</w:t>
      </w:r>
      <w:r>
        <w:rPr>
          <w:rFonts w:hint="default" w:ascii="宋体" w:hAnsi="宋体" w:eastAsia="宋体" w:cs="Times New Roman"/>
          <w:b w:val="0"/>
          <w:bCs w:val="0"/>
          <w:color w:val="auto"/>
          <w:sz w:val="24"/>
          <w:szCs w:val="24"/>
        </w:rPr>
        <w:t>应赔偿</w:t>
      </w:r>
      <w:r>
        <w:rPr>
          <w:rFonts w:hint="default" w:ascii="宋体" w:hAnsi="宋体" w:eastAsia="宋体" w:cs="Times New Roman"/>
          <w:b w:val="0"/>
          <w:bCs w:val="0"/>
          <w:color w:val="000000"/>
          <w:sz w:val="24"/>
          <w:szCs w:val="24"/>
        </w:rPr>
        <w:t xml:space="preserve">，情节严重的，另一方有权解除本协议。 </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11.3如因甲方行为导致乙方被有权机关调查或处罚，对乙方展业造成实质影响的，包括但不限于：上游机构暂停通道使用、划扣乙方账户资金赔付给用户、冻结乙方账户资金、暂停乙方拓展新商户等，甲方应无条件配合乙方及相关机构进行调查并全额承担乙方相关损失。</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11.4</w:t>
      </w:r>
      <w:r>
        <w:rPr>
          <w:rFonts w:hint="eastAsia" w:ascii="宋体" w:hAnsi="宋体" w:eastAsia="宋体" w:cs="Times New Roman"/>
          <w:b w:val="0"/>
          <w:bCs w:val="0"/>
          <w:color w:val="000000"/>
          <w:sz w:val="24"/>
          <w:szCs w:val="24"/>
        </w:rPr>
        <w:t>如甲方违反本协议的约定给乙方或甲方客户造成经济损失的，甲方应予以赔偿，乙方可自甲方待结算资金或甲方账户中冻结相应金额或扣除相应损失</w:t>
      </w:r>
      <w:r>
        <w:rPr>
          <w:rFonts w:hint="eastAsia" w:ascii="宋体" w:hAnsi="宋体" w:eastAsia="宋体" w:cs="Times New Roman"/>
          <w:b w:val="0"/>
          <w:bCs w:val="0"/>
          <w:color w:val="000000"/>
          <w:sz w:val="24"/>
          <w:szCs w:val="24"/>
          <w:lang w:eastAsia="zh-Hans"/>
        </w:rPr>
        <w:t>。</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11.5如乙方违反本协议的约定，给甲方造成经济损失的，乙方应</w:t>
      </w:r>
      <w:r>
        <w:rPr>
          <w:rFonts w:hint="eastAsia" w:ascii="宋体" w:hAnsi="宋体" w:eastAsia="宋体" w:cs="Times New Roman"/>
          <w:b w:val="0"/>
          <w:bCs w:val="0"/>
          <w:color w:val="000000"/>
          <w:sz w:val="24"/>
          <w:szCs w:val="24"/>
          <w:lang w:val="en-US" w:eastAsia="zh-Hans"/>
        </w:rPr>
        <w:t>向甲方</w:t>
      </w:r>
      <w:r>
        <w:rPr>
          <w:rFonts w:hint="default" w:ascii="宋体" w:hAnsi="宋体" w:eastAsia="宋体" w:cs="Times New Roman"/>
          <w:b w:val="0"/>
          <w:bCs w:val="0"/>
          <w:color w:val="000000"/>
          <w:sz w:val="24"/>
          <w:szCs w:val="24"/>
        </w:rPr>
        <w:t>进行赔偿。</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11.6因不可抗力或乙方以外的其他原因，导致乙方的支付产品不能正常运营或乙方不能及时履行本协议规定义务的，乙方不承担相关的法律责任。</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11.7甲乙双方在履行本协议期间按照约定应承担的赔偿责任不因合同的终止或解除而减免。</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第十二条 协议解除</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 xml:space="preserve">12.1 存在以下情况的，甲方有权解除本协议： </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12.1.1 乙方超过本协议规定的结算期限，经甲方通知给予正常的补款时间仍未补款的，但乙方根据法律规范或本协议规定有权扣款时的情况除外；</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12.1.2 乙方存在严重财务危机致使付款能力严重不足，或有破产、清算、解散等情况，且甲方具有足够证据证明的。—法务审批</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 xml:space="preserve">12.2 存在以下情况的，乙方有权解除本协议： </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12.2.1 甲方按照本协议约定所需提供的材料发生变更未及时向乙方提交变更报备的；</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12.2.2 甲方实施了本协议服务基础部分规定的禁止性行为、以违反本协议服务内容与规则部分约定的方式使用乙方服务或违反风险防控规则的；</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12.2.3 甲方交易中存在过多交易纠纷或过大的交易风险（包含但不限于消费者投诉、可疑交易、涉嫌违法犯罪等行为），经双方协商无法解决的；</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12.2.4 甲方无理由拒绝受理消费者、甲方客户使用乙方的支付产品进行支付的；</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12.2.5 甲方违反本协议约定储存用户敏感信息的；</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12.2.6 甲方未按本协议约定向乙方支付手续费的；</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12.2.7 甲方未通过网站提供真实有效的联系方式，或因甲方发生业务变更、终止等情况而未及时通知乙方，乙方在5个工作日内也无法联系到甲方；</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12.2.8 甲方因违反法律规范，被有关机构查处或被司法机关立案或介入调查，或银行、电信或行政、司法等部门出具了包括但不限于甲方涉嫌违法或犯罪、终止甲方交易书面通知等文件及材料；</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12.2.9 甲方被监管机构、银行卡组织录入黑名单的不良商户，或甲方及其法定代表人或负责人在监管机构的风险信息管理系统中存在不良信息的；</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12.2.10 甲方停业、终止经营或连续12个月内未发生交易的。</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第十三条 保密条款</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13.1保密信息：指甲乙双方自己所有的或其股东及其他关联公司所有或专有的，或提供方负有保密义务的有关第三方的下列资料及所有在信息载体上明确标示“保密”的材料和信息。需保密材料包括但不限于：业务记录和计划、贸易机密、技术资料、产品设计信息、价格结构、成本等非公开的、保密的或专业的信息和数据。</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13.2甲乙双方应对对方的保密信息谨慎、妥善持有，并严格保密，没有提供方事先书面同意，不得向任何第三方披露；接受方仅可为双方合作之必需，将保密信息披露给其指定的第三方公司或其直接或间接参与合作事项的管理人员、职员、顾问和其他雇员（统称“有关人员”），但应保证第三方公司或该类有关人员对保密信息严格保密。若有权机构要求接受方披露保密信息，接受方将有权进行披露。</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13.3乙方对甲方身份资料及支付信息负有保密义务，不得利用上述信息从事超出法律规范许可或未经甲方授权的活动。乙方应保护甲乙双方合作期内获得的甲方身份基本信息、支付业务信息、会计档案等资料的安全、防止其被篡改、灭失、损毁和泄漏。</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13.4本协议项下保密义务不因本协议的终止而失效。</w:t>
      </w:r>
    </w:p>
    <w:p>
      <w:pPr>
        <w:widowControl w:val="0"/>
        <w:numPr>
          <w:ilvl w:val="0"/>
          <w:numId w:val="0"/>
        </w:numPr>
        <w:spacing w:line="360" w:lineRule="auto"/>
        <w:ind w:firstLine="480" w:firstLineChars="200"/>
        <w:jc w:val="both"/>
        <w:rPr>
          <w:rFonts w:hint="default" w:ascii="宋体" w:hAnsi="宋体" w:eastAsia="宋体" w:cs="Times New Roman"/>
          <w:b/>
          <w:bCs/>
          <w:color w:val="000000"/>
          <w:sz w:val="24"/>
          <w:szCs w:val="24"/>
        </w:rPr>
      </w:pPr>
      <w:r>
        <w:rPr>
          <w:rFonts w:hint="default" w:ascii="宋体" w:hAnsi="宋体" w:eastAsia="宋体" w:cs="Times New Roman"/>
          <w:b/>
          <w:bCs/>
          <w:color w:val="000000"/>
          <w:sz w:val="24"/>
          <w:szCs w:val="24"/>
        </w:rPr>
        <w:t>第十四条 反商业贿赂条款</w:t>
      </w:r>
    </w:p>
    <w:p>
      <w:pPr>
        <w:widowControl w:val="0"/>
        <w:numPr>
          <w:ilvl w:val="0"/>
          <w:numId w:val="0"/>
        </w:numPr>
        <w:spacing w:line="360" w:lineRule="auto"/>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 xml:space="preserve">    14.1甲乙双方保证其各自的工作人员或代理人不得向对方工作人员或代理人行贿以谋取中标或成交。如一方工作人员或代理人为达成交易目的，向对方工作人员及其亲属或代理人及其亲属提供回扣、感谢费、顾问费、辛苦费、旅游费、纪念品等财物，对方有权立即单方解除本协议，因此给双方或第三方造成的一切损失，均由行贿方负责赔偿；并按照《中华人民共和国刑法》及其他法律规范将相关责任人交由司法机关追究法律责任。 </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default" w:ascii="宋体" w:hAnsi="宋体" w:eastAsia="宋体" w:cs="Times New Roman"/>
          <w:b w:val="0"/>
          <w:bCs w:val="0"/>
          <w:color w:val="000000"/>
          <w:sz w:val="24"/>
          <w:szCs w:val="24"/>
        </w:rPr>
        <w:t>14.2乙方受理举报途径：</w:t>
      </w:r>
      <w:r>
        <w:rPr>
          <w:rFonts w:hint="eastAsia" w:ascii="宋体" w:hAnsi="宋体" w:eastAsia="宋体" w:cs="Times New Roman"/>
          <w:color w:val="000000"/>
          <w:sz w:val="24"/>
          <w:szCs w:val="24"/>
        </w:rPr>
        <w:t>010-57073768；</w:t>
      </w:r>
      <w:r>
        <w:rPr>
          <w:rFonts w:hint="default" w:ascii="宋体" w:hAnsi="宋体" w:eastAsia="宋体" w:cs="Times New Roman"/>
          <w:b w:val="0"/>
          <w:bCs w:val="0"/>
          <w:color w:val="000000"/>
          <w:sz w:val="24"/>
          <w:szCs w:val="24"/>
        </w:rPr>
        <w:t>电子邮箱：</w:t>
      </w:r>
      <w:r>
        <w:rPr>
          <w:rFonts w:hint="default" w:ascii="宋体" w:hAnsi="宋体" w:eastAsia="宋体" w:cs="Times New Roman"/>
          <w:b w:val="0"/>
          <w:bCs w:val="0"/>
          <w:color w:val="000000"/>
          <w:sz w:val="24"/>
          <w:szCs w:val="24"/>
        </w:rPr>
        <w:fldChar w:fldCharType="begin"/>
      </w:r>
      <w:r>
        <w:rPr>
          <w:rFonts w:hint="default" w:ascii="宋体" w:hAnsi="宋体" w:eastAsia="宋体" w:cs="Times New Roman"/>
          <w:b w:val="0"/>
          <w:bCs w:val="0"/>
          <w:color w:val="000000"/>
          <w:sz w:val="24"/>
          <w:szCs w:val="24"/>
        </w:rPr>
        <w:instrText xml:space="preserve"> HYPERLINK "mailto:yeepayjb@163.com。" </w:instrText>
      </w:r>
      <w:r>
        <w:rPr>
          <w:rFonts w:hint="default" w:ascii="宋体" w:hAnsi="宋体" w:eastAsia="宋体" w:cs="Times New Roman"/>
          <w:b w:val="0"/>
          <w:bCs w:val="0"/>
          <w:color w:val="000000"/>
          <w:sz w:val="24"/>
          <w:szCs w:val="24"/>
        </w:rPr>
        <w:fldChar w:fldCharType="separate"/>
      </w:r>
      <w:r>
        <w:rPr>
          <w:rStyle w:val="7"/>
          <w:rFonts w:hint="default" w:ascii="宋体" w:hAnsi="宋体" w:eastAsia="宋体" w:cs="Times New Roman"/>
          <w:b w:val="0"/>
          <w:bCs w:val="0"/>
          <w:color w:val="000000"/>
          <w:sz w:val="24"/>
          <w:szCs w:val="24"/>
        </w:rPr>
        <w:t>yeepayjb@163.com。</w:t>
      </w:r>
      <w:r>
        <w:rPr>
          <w:rFonts w:hint="default" w:ascii="宋体" w:hAnsi="宋体" w:eastAsia="宋体" w:cs="Times New Roman"/>
          <w:b w:val="0"/>
          <w:bCs w:val="0"/>
          <w:color w:val="000000"/>
          <w:sz w:val="24"/>
          <w:szCs w:val="24"/>
        </w:rPr>
        <w:fldChar w:fldCharType="end"/>
      </w:r>
    </w:p>
    <w:p>
      <w:pPr>
        <w:widowControl w:val="0"/>
        <w:numPr>
          <w:ilvl w:val="0"/>
          <w:numId w:val="1"/>
        </w:numPr>
        <w:spacing w:line="360" w:lineRule="auto"/>
        <w:ind w:firstLine="480" w:firstLineChars="200"/>
        <w:jc w:val="both"/>
        <w:rPr>
          <w:rFonts w:hint="default" w:ascii="宋体" w:hAnsi="宋体" w:eastAsia="宋体" w:cs="Times New Roman"/>
          <w:sz w:val="24"/>
          <w:szCs w:val="21"/>
        </w:rPr>
      </w:pPr>
      <w:r>
        <w:rPr>
          <w:rFonts w:hint="default" w:ascii="宋体" w:hAnsi="宋体" w:eastAsia="宋体" w:cs="Times New Roman"/>
          <w:sz w:val="24"/>
          <w:szCs w:val="21"/>
        </w:rPr>
        <w:t>其他</w:t>
      </w:r>
    </w:p>
    <w:p>
      <w:pPr>
        <w:widowControl w:val="0"/>
        <w:numPr>
          <w:ilvl w:val="-1"/>
          <w:numId w:val="0"/>
        </w:numPr>
        <w:spacing w:line="360" w:lineRule="auto"/>
        <w:ind w:firstLine="0" w:firstLineChars="0"/>
        <w:jc w:val="both"/>
        <w:rPr>
          <w:rFonts w:hint="default" w:ascii="宋体" w:hAnsi="宋体" w:eastAsia="宋体" w:cs="Times New Roman"/>
          <w:sz w:val="24"/>
          <w:szCs w:val="21"/>
        </w:rPr>
      </w:pPr>
      <w:r>
        <w:rPr>
          <w:rFonts w:hint="default" w:ascii="宋体" w:hAnsi="宋体" w:eastAsia="宋体" w:cs="Times New Roman"/>
          <w:sz w:val="24"/>
          <w:szCs w:val="21"/>
        </w:rPr>
        <w:t xml:space="preserve">    15.1 </w:t>
      </w:r>
      <w:r>
        <w:rPr>
          <w:rFonts w:hint="eastAsia" w:ascii="宋体" w:hAnsi="宋体" w:eastAsia="宋体" w:cs="Times New Roman"/>
          <w:sz w:val="24"/>
          <w:szCs w:val="21"/>
        </w:rPr>
        <w:t>本协议自双方盖章（法定代表人或授权代表人签约需本人签字）之日起生效，协议有效期为一年，到期前，如任何一方未提出终止，协议将继续顺延一年，顺延次数不得超</w:t>
      </w:r>
      <w:r>
        <w:rPr>
          <w:rFonts w:hint="eastAsia" w:ascii="宋体" w:hAnsi="宋体" w:eastAsia="宋体" w:cs="Times New Roman"/>
          <w:sz w:val="24"/>
          <w:szCs w:val="21"/>
          <w:highlight w:val="none"/>
        </w:rPr>
        <w:t>过四次</w:t>
      </w:r>
      <w:r>
        <w:rPr>
          <w:rFonts w:hint="eastAsia" w:ascii="宋体" w:hAnsi="宋体" w:eastAsia="宋体" w:cs="Times New Roman"/>
          <w:sz w:val="24"/>
          <w:szCs w:val="21"/>
        </w:rPr>
        <w:t>。</w:t>
      </w:r>
      <w:r>
        <w:rPr>
          <w:rFonts w:hint="default" w:ascii="宋体" w:hAnsi="宋体" w:eastAsia="宋体" w:cs="Times New Roman"/>
          <w:color w:val="000000"/>
          <w:sz w:val="24"/>
          <w:szCs w:val="24"/>
        </w:rPr>
        <w:t>合作期间，如监管机构的政策变化，继续履行该协议违背监管要求的，甲乙双方必须重新签订协议或以补充协议的形式进行签约。在乙方发出重新签订协议或签补充协议的通知后7日内，如甲乙双方没能达成一致意见，则该协议自动失效，甲乙双方的合作终止。</w:t>
      </w:r>
    </w:p>
    <w:p>
      <w:pPr>
        <w:widowControl w:val="0"/>
        <w:numPr>
          <w:ilvl w:val="-1"/>
          <w:numId w:val="0"/>
        </w:numPr>
        <w:spacing w:line="360" w:lineRule="auto"/>
        <w:ind w:firstLine="480" w:firstLineChars="0"/>
        <w:jc w:val="both"/>
        <w:rPr>
          <w:rFonts w:hint="default" w:ascii="宋体" w:hAnsi="宋体" w:eastAsia="宋体" w:cs="Times New Roman"/>
          <w:sz w:val="24"/>
          <w:szCs w:val="21"/>
        </w:rPr>
      </w:pPr>
      <w:r>
        <w:rPr>
          <w:rFonts w:hint="default" w:ascii="宋体" w:hAnsi="宋体" w:eastAsia="宋体" w:cs="Times New Roman"/>
          <w:sz w:val="24"/>
          <w:szCs w:val="21"/>
        </w:rPr>
        <w:t>15.2</w:t>
      </w:r>
      <w:r>
        <w:rPr>
          <w:rFonts w:hint="default" w:ascii="宋体" w:hAnsi="宋体" w:eastAsia="宋体" w:cs="Times New Roman"/>
          <w:color w:val="000000"/>
          <w:sz w:val="24"/>
          <w:szCs w:val="24"/>
        </w:rPr>
        <w:t>本协议在执行过程中若有争议，双方协商解决。协商不成的，可向</w:t>
      </w:r>
      <w:r>
        <w:rPr>
          <w:rFonts w:hint="eastAsia" w:ascii="宋体" w:hAnsi="宋体" w:eastAsia="宋体" w:cs="Times New Roman"/>
          <w:color w:val="000000"/>
          <w:sz w:val="24"/>
          <w:szCs w:val="24"/>
          <w:lang w:val="en-US" w:eastAsia="zh-CN"/>
        </w:rPr>
        <w:t>被告所在地</w:t>
      </w:r>
      <w:r>
        <w:rPr>
          <w:rFonts w:hint="default" w:ascii="宋体" w:hAnsi="宋体" w:eastAsia="宋体" w:cs="Times New Roman"/>
          <w:color w:val="000000"/>
          <w:sz w:val="24"/>
          <w:szCs w:val="24"/>
        </w:rPr>
        <w:t>人民法院提起诉讼。</w:t>
      </w:r>
    </w:p>
    <w:p>
      <w:pPr>
        <w:widowControl w:val="0"/>
        <w:numPr>
          <w:ilvl w:val="0"/>
          <w:numId w:val="0"/>
        </w:numPr>
        <w:spacing w:line="360" w:lineRule="auto"/>
        <w:ind w:firstLine="480" w:firstLineChars="200"/>
        <w:jc w:val="both"/>
        <w:rPr>
          <w:rFonts w:hint="default" w:ascii="宋体" w:hAnsi="宋体" w:eastAsia="宋体" w:cs="Times New Roman"/>
          <w:b w:val="0"/>
          <w:bCs w:val="0"/>
          <w:color w:val="000000"/>
          <w:sz w:val="24"/>
          <w:szCs w:val="24"/>
        </w:rPr>
      </w:pPr>
      <w:r>
        <w:rPr>
          <w:rFonts w:hint="eastAsia" w:ascii="宋体" w:hAnsi="宋体" w:eastAsia="宋体" w:cs="Times New Roman"/>
          <w:sz w:val="24"/>
          <w:szCs w:val="21"/>
          <w:lang w:val="en-US" w:eastAsia="zh-CN"/>
        </w:rPr>
        <w:t>15.3</w:t>
      </w:r>
      <w:r>
        <w:rPr>
          <w:rFonts w:hint="eastAsia" w:ascii="宋体" w:hAnsi="宋体" w:eastAsia="宋体" w:cs="Times New Roman"/>
          <w:sz w:val="24"/>
          <w:szCs w:val="21"/>
        </w:rPr>
        <w:t>本协议一式二份，甲、乙双方各执一份，具有同等法律效力</w:t>
      </w:r>
      <w:r>
        <w:rPr>
          <w:rFonts w:hint="default" w:ascii="宋体" w:hAnsi="宋体" w:eastAsia="宋体" w:cs="Times New Roman"/>
          <w:sz w:val="24"/>
          <w:szCs w:val="21"/>
        </w:rPr>
        <w:t>。</w:t>
      </w:r>
    </w:p>
    <w:p>
      <w:pPr>
        <w:widowControl w:val="0"/>
        <w:numPr>
          <w:ilvl w:val="0"/>
          <w:numId w:val="0"/>
        </w:numPr>
        <w:spacing w:line="360" w:lineRule="auto"/>
        <w:ind w:firstLine="480" w:firstLineChars="200"/>
        <w:jc w:val="both"/>
        <w:rPr>
          <w:rFonts w:hint="eastAsia" w:ascii="宋体" w:hAnsi="宋体" w:eastAsia="宋体" w:cs="Times New Roman"/>
          <w:b w:val="0"/>
          <w:bCs w:val="0"/>
          <w:color w:val="000000"/>
          <w:sz w:val="24"/>
          <w:szCs w:val="24"/>
        </w:rPr>
      </w:pPr>
    </w:p>
    <w:p>
      <w:pPr>
        <w:tabs>
          <w:tab w:val="left" w:pos="567"/>
          <w:tab w:val="left" w:pos="993"/>
        </w:tabs>
        <w:suppressAutoHyphens/>
        <w:ind w:firstLine="0" w:firstLineChars="0"/>
        <w:rPr>
          <w:rFonts w:ascii="宋体" w:hAnsi="宋体" w:cs="宋体"/>
          <w:b/>
          <w:bCs/>
          <w:sz w:val="18"/>
          <w:szCs w:val="18"/>
        </w:rPr>
      </w:pPr>
      <w:r>
        <w:rPr>
          <w:rFonts w:hint="eastAsia" w:ascii="宋体" w:hAnsi="宋体" w:cs="宋体"/>
          <w:b/>
          <w:bCs/>
          <w:sz w:val="18"/>
          <w:szCs w:val="18"/>
        </w:rPr>
        <w:t>甲方声明：</w:t>
      </w:r>
    </w:p>
    <w:p>
      <w:pPr>
        <w:numPr>
          <w:ilvl w:val="0"/>
          <w:numId w:val="2"/>
        </w:numPr>
        <w:tabs>
          <w:tab w:val="left" w:pos="567"/>
          <w:tab w:val="left" w:pos="993"/>
        </w:tabs>
        <w:suppressAutoHyphens/>
        <w:spacing w:line="20" w:lineRule="atLeast"/>
        <w:ind w:firstLine="420" w:firstLineChars="233"/>
        <w:rPr>
          <w:rFonts w:ascii="宋体" w:hAnsi="宋体" w:cs="宋体"/>
          <w:b/>
          <w:bCs/>
          <w:sz w:val="18"/>
          <w:szCs w:val="18"/>
        </w:rPr>
      </w:pPr>
      <w:r>
        <w:rPr>
          <w:rFonts w:hint="eastAsia" w:ascii="宋体" w:hAnsi="宋体" w:cs="宋体"/>
          <w:b/>
          <w:bCs/>
          <w:sz w:val="18"/>
          <w:szCs w:val="18"/>
        </w:rPr>
        <w:t>乙方已提醒我方注意对本协议各条款作全面、准确的理解，并应我方要求做了相应条款的说明。签约各方对本协议的含义认识一致，认同并接受本协议全部条款。</w:t>
      </w:r>
    </w:p>
    <w:p>
      <w:pPr>
        <w:numPr>
          <w:ilvl w:val="0"/>
          <w:numId w:val="2"/>
        </w:numPr>
        <w:tabs>
          <w:tab w:val="left" w:pos="567"/>
          <w:tab w:val="left" w:pos="993"/>
        </w:tabs>
        <w:suppressAutoHyphens/>
        <w:spacing w:line="20" w:lineRule="atLeast"/>
        <w:ind w:firstLine="420" w:firstLineChars="233"/>
        <w:rPr>
          <w:rFonts w:ascii="宋体" w:hAnsi="宋体" w:cs="宋体"/>
          <w:b/>
          <w:bCs/>
          <w:sz w:val="18"/>
          <w:szCs w:val="18"/>
        </w:rPr>
      </w:pPr>
      <w:r>
        <w:rPr>
          <w:rFonts w:hint="eastAsia" w:ascii="宋体" w:hAnsi="宋体" w:cs="宋体"/>
          <w:b/>
          <w:bCs/>
          <w:sz w:val="18"/>
          <w:szCs w:val="18"/>
        </w:rPr>
        <w:t>我公司法定代表人或负责人确认以下开户情况：我公司在</w:t>
      </w:r>
      <w:r>
        <w:rPr>
          <w:rFonts w:hint="eastAsia" w:ascii="宋体" w:hAnsi="宋体" w:cs="宋体"/>
          <w:b/>
          <w:bCs/>
          <w:sz w:val="18"/>
          <w:szCs w:val="18"/>
          <w:lang w:val="en-US" w:eastAsia="zh-CN"/>
        </w:rPr>
        <w:t>乙方</w:t>
      </w:r>
      <w:r>
        <w:rPr>
          <w:rFonts w:hint="eastAsia" w:ascii="宋体" w:hAnsi="宋体" w:cs="宋体"/>
          <w:b/>
          <w:bCs/>
          <w:sz w:val="18"/>
          <w:szCs w:val="18"/>
        </w:rPr>
        <w:t>开立支付账户（如有）为我公司真实意愿；我公司向</w:t>
      </w:r>
      <w:bookmarkStart w:id="0" w:name="_GoBack"/>
      <w:r>
        <w:rPr>
          <w:rFonts w:hint="eastAsia" w:ascii="宋体" w:hAnsi="宋体" w:cs="宋体"/>
          <w:b/>
          <w:bCs/>
          <w:sz w:val="18"/>
          <w:szCs w:val="18"/>
        </w:rPr>
        <w:t>易宝</w:t>
      </w:r>
      <w:bookmarkEnd w:id="0"/>
      <w:r>
        <w:rPr>
          <w:rFonts w:hint="eastAsia" w:ascii="宋体" w:hAnsi="宋体" w:cs="宋体"/>
          <w:b/>
          <w:bCs/>
          <w:sz w:val="18"/>
          <w:szCs w:val="18"/>
        </w:rPr>
        <w:t>支付提交的所有证明材料（包括但不限于开户证明材料）真实有效，且我公司与证明材料所属人一致。</w:t>
      </w:r>
    </w:p>
    <w:p>
      <w:pPr>
        <w:widowControl w:val="0"/>
        <w:numPr>
          <w:ilvl w:val="0"/>
          <w:numId w:val="0"/>
        </w:numPr>
        <w:spacing w:line="360" w:lineRule="auto"/>
        <w:jc w:val="both"/>
        <w:rPr>
          <w:rFonts w:hint="eastAsia" w:ascii="宋体" w:hAnsi="宋体" w:eastAsia="宋体" w:cs="Times New Roman"/>
          <w:color w:val="000000"/>
          <w:sz w:val="24"/>
          <w:szCs w:val="24"/>
        </w:rPr>
      </w:pPr>
    </w:p>
    <w:p>
      <w:pPr>
        <w:rPr>
          <w:rFonts w:hint="eastAsia" w:cs="宋体" w:asciiTheme="majorEastAsia" w:hAnsiTheme="majorEastAsia" w:eastAsiaTheme="majorEastAsia"/>
          <w:color w:val="auto"/>
          <w:sz w:val="32"/>
          <w:szCs w:val="32"/>
          <w:u w:val="single"/>
        </w:rPr>
      </w:pPr>
    </w:p>
    <w:p>
      <w:pPr>
        <w:pStyle w:val="3"/>
        <w:tabs>
          <w:tab w:val="left" w:pos="5713"/>
        </w:tabs>
        <w:spacing w:line="304" w:lineRule="exact"/>
      </w:pPr>
      <w:r>
        <w:t>甲方（签章）：                              乙方（签章）：</w:t>
      </w:r>
    </w:p>
    <w:p>
      <w:pPr>
        <w:rPr>
          <w:rFonts w:hint="eastAsia" w:cs="宋体" w:asciiTheme="majorEastAsia" w:hAnsiTheme="majorEastAsia" w:eastAsiaTheme="majorEastAsia"/>
          <w:color w:val="auto"/>
          <w:sz w:val="32"/>
          <w:szCs w:val="32"/>
          <w:u w:val="single"/>
        </w:rPr>
      </w:pPr>
      <w:r>
        <w:t>签署日期：                                        签署日期：</w:t>
      </w:r>
    </w:p>
    <w:p>
      <w:pPr>
        <w:rPr>
          <w:rFonts w:hint="eastAsia" w:cs="宋体" w:asciiTheme="majorEastAsia" w:hAnsiTheme="majorEastAsia" w:eastAsiaTheme="majorEastAsia"/>
          <w:color w:val="auto"/>
          <w:sz w:val="32"/>
          <w:szCs w:val="32"/>
          <w:u w:val="single"/>
        </w:rPr>
      </w:pPr>
    </w:p>
    <w:p>
      <w:pPr>
        <w:rPr>
          <w:rFonts w:hint="eastAsia" w:cs="宋体" w:asciiTheme="majorEastAsia" w:hAnsiTheme="majorEastAsia" w:eastAsiaTheme="majorEastAsia"/>
          <w:color w:val="auto"/>
          <w:sz w:val="32"/>
          <w:szCs w:val="32"/>
          <w:u w:val="single"/>
        </w:rPr>
      </w:pPr>
    </w:p>
    <w:p>
      <w:pPr>
        <w:rPr>
          <w:rFonts w:hint="eastAsia" w:cs="宋体" w:asciiTheme="majorEastAsia" w:hAnsiTheme="majorEastAsia" w:eastAsiaTheme="majorEastAsia"/>
          <w:color w:val="auto"/>
          <w:sz w:val="32"/>
          <w:szCs w:val="32"/>
          <w:u w:val="single"/>
        </w:rPr>
      </w:pPr>
    </w:p>
    <w:p>
      <w:pPr>
        <w:rPr>
          <w:rFonts w:hint="eastAsia" w:cs="宋体" w:asciiTheme="majorEastAsia" w:hAnsiTheme="majorEastAsia" w:eastAsiaTheme="majorEastAsia"/>
          <w:color w:val="auto"/>
          <w:sz w:val="32"/>
          <w:szCs w:val="32"/>
          <w:u w:val="single"/>
        </w:rPr>
      </w:pPr>
    </w:p>
    <w:p>
      <w:pPr>
        <w:spacing w:beforeLines="0" w:afterLines="0" w:line="360" w:lineRule="auto"/>
        <w:rPr>
          <w:rFonts w:hint="eastAsia" w:cs="宋体" w:asciiTheme="majorEastAsia" w:hAnsiTheme="majorEastAsia" w:eastAsiaTheme="majorEastAsia"/>
          <w:color w:val="auto"/>
          <w:sz w:val="32"/>
          <w:szCs w:val="32"/>
          <w:u w:val="single"/>
        </w:rPr>
      </w:pPr>
    </w:p>
    <w:p/>
    <w:p/>
    <w:p/>
    <w:p/>
    <w:p/>
    <w:p/>
    <w:p/>
    <w:p/>
    <w:p/>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ヒラギノ角ゴ Pro W3">
    <w:panose1 w:val="020B0300000000000000"/>
    <w:charset w:val="80"/>
    <w:family w:val="auto"/>
    <w:pitch w:val="default"/>
    <w:sig w:usb0="E00002FF" w:usb1="7AE7FFFF" w:usb2="00000012" w:usb3="00000000" w:csb0="0002000D" w:csb1="00000000"/>
  </w:font>
  <w:font w:name="宋体-简">
    <w:panose1 w:val="02010800040101010101"/>
    <w:charset w:val="86"/>
    <w:family w:val="auto"/>
    <w:pitch w:val="default"/>
    <w:sig w:usb0="00000001" w:usb1="080F0000" w:usb2="00000000" w:usb3="00000000" w:csb0="00040000" w:csb1="00000000"/>
  </w:font>
  <w:font w:name="Lucida Grande">
    <w:panose1 w:val="020B0600040502020204"/>
    <w:charset w:val="00"/>
    <w:family w:val="auto"/>
    <w:pitch w:val="default"/>
    <w:sig w:usb0="E1000AEF" w:usb1="5000A1FF" w:usb2="00000000" w:usb3="00000000" w:csb0="200001BF" w:csb1="4F010000"/>
  </w:font>
  <w:font w:name="Microsoft JhengHei">
    <w:altName w:val="汉仪中简黑简"/>
    <w:panose1 w:val="020B0604030504040204"/>
    <w:charset w:val="88"/>
    <w:family w:val="swiss"/>
    <w:pitch w:val="default"/>
    <w:sig w:usb0="00000000" w:usb1="00000000" w:usb2="00000016" w:usb3="00000000" w:csb0="00100009" w:csb1="00000000"/>
  </w:font>
  <w:font w:name="Heiti SC Light">
    <w:panose1 w:val="02000000000000000000"/>
    <w:charset w:val="86"/>
    <w:family w:val="auto"/>
    <w:pitch w:val="default"/>
    <w:sig w:usb0="8000002F" w:usb1="0800004A" w:usb2="00000000" w:usb3="00000000" w:csb0="203E0000" w:csb1="00000000"/>
  </w:font>
  <w:font w:name="汉仪中简黑简">
    <w:panose1 w:val="00020600040101010101"/>
    <w:charset w:val="86"/>
    <w:family w:val="auto"/>
    <w:pitch w:val="default"/>
    <w:sig w:usb0="A00002BF" w:usb1="18EF7CFA" w:usb2="00000016"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C126B8"/>
    <w:multiLevelType w:val="singleLevel"/>
    <w:tmpl w:val="9BC126B8"/>
    <w:lvl w:ilvl="0" w:tentative="0">
      <w:start w:val="1"/>
      <w:numFmt w:val="decimal"/>
      <w:suff w:val="nothing"/>
      <w:lvlText w:val="%1、"/>
      <w:lvlJc w:val="left"/>
    </w:lvl>
  </w:abstractNum>
  <w:abstractNum w:abstractNumId="1">
    <w:nsid w:val="6316EB57"/>
    <w:multiLevelType w:val="singleLevel"/>
    <w:tmpl w:val="6316EB57"/>
    <w:lvl w:ilvl="0" w:tentative="0">
      <w:start w:val="15"/>
      <w:numFmt w:val="chineseCounting"/>
      <w:suff w:val="space"/>
      <w:lvlText w:val="第%1条"/>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D4FA6"/>
    <w:rsid w:val="7F7D4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0"/>
    <w:rPr>
      <w:rFonts w:ascii="宋体" w:hAnsi="宋体" w:eastAsia="宋体" w:cs="宋体"/>
      <w:sz w:val="24"/>
      <w:szCs w:val="24"/>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character" w:styleId="7">
    <w:name w:val="Hyperlink"/>
    <w:qFormat/>
    <w:uiPriority w:val="0"/>
    <w:rPr>
      <w:color w:val="0000FF"/>
      <w:u w:val="single"/>
    </w:rPr>
  </w:style>
  <w:style w:type="paragraph" w:customStyle="1" w:styleId="8">
    <w:name w:val="正文 A"/>
    <w:qFormat/>
    <w:uiPriority w:val="0"/>
    <w:pPr>
      <w:widowControl w:val="0"/>
      <w:jc w:val="both"/>
    </w:pPr>
    <w:rPr>
      <w:rFonts w:ascii="Times New Roman" w:hAnsi="Times New Roman" w:eastAsia="ヒラギノ角ゴ Pro W3" w:cs="Times New Roman"/>
      <w:color w:val="000000"/>
      <w:kern w:val="2"/>
      <w:sz w:val="21"/>
      <w:lang w:val="en-US" w:eastAsia="zh-CN" w:bidi="ar-SA"/>
    </w:rPr>
  </w:style>
  <w:style w:type="paragraph" w:styleId="9">
    <w:name w:val="List Paragraph"/>
    <w:basedOn w:val="1"/>
    <w:qFormat/>
    <w:uiPriority w:val="99"/>
    <w:pPr>
      <w:ind w:firstLine="420" w:firstLineChars="200"/>
    </w:pPr>
  </w:style>
  <w:style w:type="paragraph" w:customStyle="1" w:styleId="10">
    <w:name w:val="列出段落2"/>
    <w:basedOn w:val="1"/>
    <w:qFormat/>
    <w:uiPriority w:val="99"/>
    <w:pPr>
      <w:ind w:firstLine="420" w:firstLineChars="200"/>
    </w:pPr>
  </w:style>
  <w:style w:type="paragraph" w:customStyle="1" w:styleId="11">
    <w:name w:val="Table Paragraph"/>
    <w:basedOn w:val="1"/>
    <w:qFormat/>
    <w:uiPriority w:val="1"/>
    <w:pPr>
      <w:spacing w:line="280" w:lineRule="exact"/>
      <w:ind w:left="129" w:right="100"/>
      <w:jc w:val="center"/>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6</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2025-07-24T21:33:00Z</dcterms:created>
  <dc:creator>赵志博-易宝支付</dc:creator>
  <cp:lastModifiedBy>赵志博-易宝支付</cp:lastModifiedBy>
  <dcterms:modified xsi:type="dcterms:W3CDTF">2025-07-24T21:45:14Z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9F09382F49FE992A3D3682688A84A359_41</vt:lpwstr>
  </property>
</Properties>
</file>