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版本号：KY2025-1-72820250728001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2025年“数据要素×”大赛陕西分赛服务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KY2025-1-728</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2025年“数据要素×”大赛陕西分赛服务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KY2025-1-728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2025年“数据要素×”大赛陕西分赛服务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陕西省数据和政务服务局2025年“数据要素×”大赛陕西分赛服务项目，1项，具体详见第三章磋商项目技术、服务、商务及其他要求。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采购包1（2025年“数据要素×”大赛陕西分赛服务项目）：属于专门面向中小企业采购。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w:t>
      </w:r>
    </w:p>
    <w:p>
      <w:pPr>
        <w:pStyle w:val="null3"/>
      </w:pPr>
      <w:r>
        <w:rPr>
          <w:rFonts w:ascii="仿宋_GB2312" w:hAnsi="仿宋_GB2312" w:cs="仿宋_GB2312" w:eastAsia="仿宋_GB2312"/>
        </w:rPr>
        <w:t>8、本项目专门面向中小企业采购：供应商须为中小企业，并提供中小企业声明函。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陕西省西安市新城区新城大院11号楼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18840380039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规定的招标代理服务收费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陕西省数据和政务服务局2025年“数据要素×”大赛陕西分赛服务项目，1项，具体详见第三章磋商项目技术、服务、商务及其他要求。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2,860,000.00</w:t>
      </w:r>
    </w:p>
    <w:p>
      <w:pPr>
        <w:pStyle w:val="null3"/>
      </w:pPr>
      <w:r>
        <w:rPr>
          <w:rFonts w:ascii="仿宋_GB2312" w:hAnsi="仿宋_GB2312" w:cs="仿宋_GB2312" w:eastAsia="仿宋_GB2312"/>
        </w:rPr>
        <w:t>采购包最高限价（元）: 2,860,000.00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一、项目概况</w:t>
                  </w:r>
                </w:p>
                <w:p>
                  <w:pPr>
                    <w:pStyle w:val="null3"/>
                    <w:jc w:val="left"/>
                  </w:pPr>
                  <w:r>
                    <w:rPr>
                      <w:rFonts w:ascii="仿宋_GB2312" w:hAnsi="仿宋_GB2312" w:cs="仿宋_GB2312" w:eastAsia="仿宋_GB2312"/>
                      <w:sz w:val="24"/>
                      <w:color w:val="000000"/>
                    </w:rPr>
                    <w:t>（一）项目名称。2025 年“数据要素×”大赛陕西分赛 服务项目。</w:t>
                  </w:r>
                </w:p>
                <w:p>
                  <w:pPr>
                    <w:pStyle w:val="null3"/>
                    <w:jc w:val="left"/>
                  </w:pPr>
                  <w:r>
                    <w:rPr>
                      <w:rFonts w:ascii="仿宋_GB2312" w:hAnsi="仿宋_GB2312" w:cs="仿宋_GB2312" w:eastAsia="仿宋_GB2312"/>
                      <w:sz w:val="24"/>
                      <w:color w:val="000000"/>
                    </w:rPr>
                    <w:t>（二）项目背景。</w:t>
                  </w:r>
                  <w:r>
                    <w:rPr>
                      <w:rFonts w:ascii="仿宋_GB2312" w:hAnsi="仿宋_GB2312" w:cs="仿宋_GB2312" w:eastAsia="仿宋_GB2312"/>
                      <w:sz w:val="24"/>
                      <w:color w:val="242424"/>
                    </w:rPr>
                    <w:t>为深入贯彻总书记关于数字中国重要指示精神和党中央、国务院关于发挥数据要素作用的重大决策部署，加快推进《“数据要素×”三年行动计划（2024 —2026 年）》，积极落实国家数据局等有关部门关于举办地方分赛的要求，会同省级有关部门组织举办2025年“数据要素×”大赛陕西分赛（以下简称陕西分赛），以竞技方式调动产学研用各界共同参与，打造一批具有技术前瞻和商业价值的数据要素创新场景，促进数据要素市场生态建设，带动相关技术产业发展，发挥数据要素乘数效应赋能经济社会高质量发展，拟采购陕西分赛相关服务。</w:t>
                  </w:r>
                </w:p>
                <w:p>
                  <w:pPr>
                    <w:pStyle w:val="null3"/>
                    <w:jc w:val="left"/>
                  </w:pPr>
                  <w:r>
                    <w:rPr>
                      <w:rFonts w:ascii="仿宋_GB2312" w:hAnsi="仿宋_GB2312" w:cs="仿宋_GB2312" w:eastAsia="仿宋_GB2312"/>
                      <w:sz w:val="24"/>
                      <w:color w:val="000000"/>
                    </w:rPr>
                    <w:t>（三）项目目标</w:t>
                  </w:r>
                </w:p>
                <w:p>
                  <w:pPr>
                    <w:pStyle w:val="null3"/>
                    <w:jc w:val="left"/>
                  </w:pPr>
                  <w:r>
                    <w:rPr>
                      <w:rFonts w:ascii="仿宋_GB2312" w:hAnsi="仿宋_GB2312" w:cs="仿宋_GB2312" w:eastAsia="仿宋_GB2312"/>
                      <w:sz w:val="24"/>
                      <w:b/>
                      <w:color w:val="000000"/>
                    </w:rPr>
                    <w:t>1.构建数据要素新业态新模式。</w:t>
                  </w:r>
                  <w:r>
                    <w:rPr>
                      <w:rFonts w:ascii="仿宋_GB2312" w:hAnsi="仿宋_GB2312" w:cs="仿宋_GB2312" w:eastAsia="仿宋_GB2312"/>
                      <w:sz w:val="24"/>
                      <w:color w:val="242424"/>
                    </w:rPr>
                    <w:t>通过举办“数据要素×”大赛，搭建一个开放、包容的竞技平台，能够充分</w:t>
                  </w:r>
                  <w:r>
                    <w:rPr>
                      <w:rFonts w:ascii="仿宋_GB2312" w:hAnsi="仿宋_GB2312" w:cs="仿宋_GB2312" w:eastAsia="仿宋_GB2312"/>
                      <w:sz w:val="24"/>
                      <w:color w:val="000000"/>
                    </w:rPr>
                    <w:t>凝聚各方专家、企业和机构智慧，</w:t>
                  </w:r>
                  <w:r>
                    <w:rPr>
                      <w:rFonts w:ascii="仿宋_GB2312" w:hAnsi="仿宋_GB2312" w:cs="仿宋_GB2312" w:eastAsia="仿宋_GB2312"/>
                      <w:sz w:val="24"/>
                      <w:color w:val="242424"/>
                    </w:rPr>
                    <w:t>吸引全省乃至全国的行业翘楚，共同探索数据要素在各行业、各领域的创新应用，从而挖掘出更多有价值的数据产品和解决方案，吸引和培养一批具备数据思维和创新能力的优秀人才，</w:t>
                  </w:r>
                  <w:r>
                    <w:rPr>
                      <w:rFonts w:ascii="仿宋_GB2312" w:hAnsi="仿宋_GB2312" w:cs="仿宋_GB2312" w:eastAsia="仿宋_GB2312"/>
                      <w:sz w:val="24"/>
                      <w:color w:val="000000"/>
                    </w:rPr>
                    <w:t>培育创新主体，催生新产品新服务，构建数据要素新业态新模式，</w:t>
                  </w:r>
                  <w:r>
                    <w:rPr>
                      <w:rFonts w:ascii="仿宋_GB2312" w:hAnsi="仿宋_GB2312" w:cs="仿宋_GB2312" w:eastAsia="仿宋_GB2312"/>
                      <w:sz w:val="24"/>
                      <w:color w:val="242424"/>
                    </w:rPr>
                    <w:t>推动陕西省在数字经济领域的创新发展，提升陕西省在全国的数据产业影响力。</w:t>
                  </w:r>
                </w:p>
                <w:p>
                  <w:pPr>
                    <w:pStyle w:val="null3"/>
                    <w:jc w:val="left"/>
                  </w:pPr>
                  <w:r>
                    <w:rPr>
                      <w:rFonts w:ascii="仿宋_GB2312" w:hAnsi="仿宋_GB2312" w:cs="仿宋_GB2312" w:eastAsia="仿宋_GB2312"/>
                      <w:sz w:val="24"/>
                      <w:b/>
                      <w:color w:val="000000"/>
                    </w:rPr>
                    <w:t>2.挖掘一批示范性强、显示度高、带动性广的典型应用场景。</w:t>
                  </w:r>
                  <w:r>
                    <w:rPr>
                      <w:rFonts w:ascii="仿宋_GB2312" w:hAnsi="仿宋_GB2312" w:cs="仿宋_GB2312" w:eastAsia="仿宋_GB2312"/>
                      <w:sz w:val="24"/>
                      <w:color w:val="242424"/>
                    </w:rPr>
                    <w:t>举办“数据要素×”大赛，旨在深入挖掘数据资源价值，推动数字经济创新发展，提升社会治理现代化水平。大赛的举办，不仅有助于汇聚业界精英，共同探索数据要素的创新应用，同时能够激发市场活力，促进产业转型升级，为陕西省经济发展注入新动能。</w:t>
                  </w:r>
                </w:p>
                <w:p>
                  <w:pPr>
                    <w:pStyle w:val="null3"/>
                    <w:jc w:val="left"/>
                  </w:pPr>
                  <w:r>
                    <w:rPr>
                      <w:rFonts w:ascii="仿宋_GB2312" w:hAnsi="仿宋_GB2312" w:cs="仿宋_GB2312" w:eastAsia="仿宋_GB2312"/>
                      <w:sz w:val="24"/>
                      <w:b/>
                      <w:color w:val="000000"/>
                    </w:rPr>
                    <w:t>3.促进数据要素价值发挥。</w:t>
                  </w:r>
                  <w:r>
                    <w:rPr>
                      <w:rFonts w:ascii="仿宋_GB2312" w:hAnsi="仿宋_GB2312" w:cs="仿宋_GB2312" w:eastAsia="仿宋_GB2312"/>
                      <w:sz w:val="24"/>
                      <w:color w:val="242424"/>
                    </w:rPr>
                    <w:t>通过“数据要素×”大赛的举办能够进一步提升公众对数据要素的认识和重视，推动形成全社会共同参与、共同推进数据要素开发利用的良好氛围，提升数据在经济社会中的影响力，为构建数字陕西、数字政府、数字经济和数字社会提供有力支撑。</w:t>
                  </w:r>
                </w:p>
                <w:p>
                  <w:pPr>
                    <w:pStyle w:val="null3"/>
                    <w:jc w:val="left"/>
                  </w:pPr>
                  <w:r>
                    <w:rPr>
                      <w:rFonts w:ascii="仿宋_GB2312" w:hAnsi="仿宋_GB2312" w:cs="仿宋_GB2312" w:eastAsia="仿宋_GB2312"/>
                      <w:sz w:val="24"/>
                      <w:color w:val="000000"/>
                    </w:rPr>
                    <w:t>（四）服务时间。签订合同之日起至2025年12月31日。</w:t>
                  </w:r>
                </w:p>
                <w:p>
                  <w:pPr>
                    <w:pStyle w:val="null3"/>
                    <w:jc w:val="left"/>
                  </w:pPr>
                  <w:r>
                    <w:rPr>
                      <w:rFonts w:ascii="仿宋_GB2312" w:hAnsi="仿宋_GB2312" w:cs="仿宋_GB2312" w:eastAsia="仿宋_GB2312"/>
                      <w:sz w:val="24"/>
                      <w:color w:val="000000"/>
                    </w:rPr>
                    <w:t>二、服务内容及要求</w:t>
                  </w:r>
                </w:p>
                <w:p>
                  <w:pPr>
                    <w:pStyle w:val="null3"/>
                    <w:jc w:val="left"/>
                  </w:pPr>
                  <w:r>
                    <w:rPr>
                      <w:rFonts w:ascii="仿宋_GB2312" w:hAnsi="仿宋_GB2312" w:cs="仿宋_GB2312" w:eastAsia="仿宋_GB2312"/>
                      <w:sz w:val="24"/>
                      <w:color w:val="000000"/>
                    </w:rPr>
                    <w:t>（一）赛程安排</w:t>
                  </w:r>
                </w:p>
                <w:p>
                  <w:pPr>
                    <w:pStyle w:val="null3"/>
                    <w:jc w:val="left"/>
                  </w:pPr>
                  <w:r>
                    <w:rPr>
                      <w:rFonts w:ascii="仿宋_GB2312" w:hAnsi="仿宋_GB2312" w:cs="仿宋_GB2312" w:eastAsia="仿宋_GB2312"/>
                      <w:sz w:val="24"/>
                      <w:color w:val="000000"/>
                    </w:rPr>
                    <w:t>陕西分赛围绕</w:t>
                  </w:r>
                  <w:r>
                    <w:rPr>
                      <w:rFonts w:ascii="仿宋_GB2312" w:hAnsi="仿宋_GB2312" w:cs="仿宋_GB2312" w:eastAsia="仿宋_GB2312"/>
                      <w:sz w:val="24"/>
                      <w:color w:val="242424"/>
                    </w:rPr>
                    <w:t>《“数据要素×”三年行动计划（2024—2026 年）》</w:t>
                  </w:r>
                  <w:r>
                    <w:rPr>
                      <w:rFonts w:ascii="仿宋_GB2312" w:hAnsi="仿宋_GB2312" w:cs="仿宋_GB2312" w:eastAsia="仿宋_GB2312"/>
                      <w:sz w:val="24"/>
                      <w:color w:val="000000"/>
                    </w:rPr>
                    <w:t>，紧扣国家大赛指南要求，以应用为引领，围绕工业制造、现代农业、交通运输、金融服务、商贸流通、科技创新、文化旅游、医疗健康、医疗保障、应急管理、气象服务、城市治理、绿色低碳等 13 个赛道以及 1 个创新赛组织比赛，赛程初步安排为（具体时间根据实际情况可适当调整）：</w:t>
                  </w:r>
                </w:p>
                <w:p>
                  <w:pPr>
                    <w:pStyle w:val="null3"/>
                    <w:jc w:val="left"/>
                  </w:pPr>
                  <w:r>
                    <w:rPr>
                      <w:rFonts w:ascii="仿宋_GB2312" w:hAnsi="仿宋_GB2312" w:cs="仿宋_GB2312" w:eastAsia="仿宋_GB2312"/>
                      <w:sz w:val="24"/>
                      <w:b/>
                      <w:color w:val="000000"/>
                    </w:rPr>
                    <w:t>1.分赛筹备</w:t>
                  </w:r>
                  <w:r>
                    <w:rPr>
                      <w:rFonts w:ascii="仿宋_GB2312" w:hAnsi="仿宋_GB2312" w:cs="仿宋_GB2312" w:eastAsia="仿宋_GB2312"/>
                      <w:sz w:val="24"/>
                      <w:color w:val="000000"/>
                    </w:rPr>
                    <w:t>。制定陕西分赛方案，组建大赛组委会，明确赛程安排，拟定赛道赛题及赛事权益，搭建陕西分赛平台，开展线上线下宣传、专家库征集、场地租赁、物料制作等工作。</w:t>
                  </w:r>
                </w:p>
                <w:p>
                  <w:pPr>
                    <w:pStyle w:val="null3"/>
                    <w:jc w:val="left"/>
                  </w:pPr>
                  <w:r>
                    <w:rPr>
                      <w:rFonts w:ascii="仿宋_GB2312" w:hAnsi="仿宋_GB2312" w:cs="仿宋_GB2312" w:eastAsia="仿宋_GB2312"/>
                      <w:sz w:val="24"/>
                      <w:b/>
                      <w:color w:val="000000"/>
                    </w:rPr>
                    <w:t>2.启动报名</w:t>
                  </w:r>
                  <w:r>
                    <w:rPr>
                      <w:rFonts w:ascii="仿宋_GB2312" w:hAnsi="仿宋_GB2312" w:cs="仿宋_GB2312" w:eastAsia="仿宋_GB2312"/>
                      <w:sz w:val="24"/>
                      <w:color w:val="000000"/>
                    </w:rPr>
                    <w:t>。召开陕西分赛启动仪式，同时开启陕西分赛参赛报名工作。</w:t>
                  </w:r>
                </w:p>
                <w:p>
                  <w:pPr>
                    <w:pStyle w:val="null3"/>
                    <w:jc w:val="left"/>
                  </w:pPr>
                  <w:r>
                    <w:rPr>
                      <w:rFonts w:ascii="仿宋_GB2312" w:hAnsi="仿宋_GB2312" w:cs="仿宋_GB2312" w:eastAsia="仿宋_GB2312"/>
                      <w:sz w:val="24"/>
                      <w:b/>
                      <w:color w:val="000000"/>
                    </w:rPr>
                    <w:t>3.初赛评审</w:t>
                  </w:r>
                  <w:r>
                    <w:rPr>
                      <w:rFonts w:ascii="仿宋_GB2312" w:hAnsi="仿宋_GB2312" w:cs="仿宋_GB2312" w:eastAsia="仿宋_GB2312"/>
                      <w:sz w:val="24"/>
                      <w:color w:val="000000"/>
                    </w:rPr>
                    <w:t>。初评拟采取专家线上评审方式进行，评审专家依据项目征集阶段各参赛队伍提交的项目申报书等资料，参照评分规则要求，按各赛道晋级比例择优项目进入决赛。</w:t>
                  </w:r>
                </w:p>
                <w:p>
                  <w:pPr>
                    <w:pStyle w:val="null3"/>
                    <w:jc w:val="left"/>
                  </w:pPr>
                  <w:r>
                    <w:rPr>
                      <w:rFonts w:ascii="仿宋_GB2312" w:hAnsi="仿宋_GB2312" w:cs="仿宋_GB2312" w:eastAsia="仿宋_GB2312"/>
                      <w:sz w:val="24"/>
                      <w:b/>
                      <w:color w:val="000000"/>
                    </w:rPr>
                    <w:t>4.决赛评审</w:t>
                  </w:r>
                  <w:r>
                    <w:rPr>
                      <w:rFonts w:ascii="仿宋_GB2312" w:hAnsi="仿宋_GB2312" w:cs="仿宋_GB2312" w:eastAsia="仿宋_GB2312"/>
                      <w:sz w:val="24"/>
                      <w:color w:val="000000"/>
                    </w:rPr>
                    <w:t>。决赛通过项目路演的方式进行，决赛现场由参赛选手对参赛项目进行介绍，可搭配视频演示，大赛评委会进行现场提问，逐项打分，最终评出大赛一、二、三等奖及其他特色奖项，获奖项目需通过技术验证。决赛结束后举办颁奖仪式，并拟将邀请国家数据局、省政府领导参加。</w:t>
                  </w:r>
                </w:p>
                <w:p>
                  <w:pPr>
                    <w:pStyle w:val="null3"/>
                    <w:jc w:val="left"/>
                  </w:pPr>
                  <w:r>
                    <w:rPr>
                      <w:rFonts w:ascii="仿宋_GB2312" w:hAnsi="仿宋_GB2312" w:cs="仿宋_GB2312" w:eastAsia="仿宋_GB2312"/>
                      <w:sz w:val="24"/>
                      <w:b/>
                      <w:color w:val="000000"/>
                    </w:rPr>
                    <w:t>5.公示阶段</w:t>
                  </w:r>
                  <w:r>
                    <w:rPr>
                      <w:rFonts w:ascii="仿宋_GB2312" w:hAnsi="仿宋_GB2312" w:cs="仿宋_GB2312" w:eastAsia="仿宋_GB2312"/>
                      <w:sz w:val="24"/>
                      <w:color w:val="000000"/>
                    </w:rPr>
                    <w:t>。对获取奖项名单进行公示，对于公示期间无异议项目推荐至全国总决赛。</w:t>
                  </w:r>
                </w:p>
                <w:p>
                  <w:pPr>
                    <w:pStyle w:val="null3"/>
                    <w:jc w:val="left"/>
                  </w:pPr>
                  <w:r>
                    <w:rPr>
                      <w:rFonts w:ascii="仿宋_GB2312" w:hAnsi="仿宋_GB2312" w:cs="仿宋_GB2312" w:eastAsia="仿宋_GB2312"/>
                      <w:sz w:val="24"/>
                      <w:color w:val="000000"/>
                    </w:rPr>
                    <w:t>（二）主要服务内容</w:t>
                  </w:r>
                </w:p>
                <w:p>
                  <w:pPr>
                    <w:pStyle w:val="null3"/>
                    <w:jc w:val="left"/>
                  </w:pPr>
                  <w:r>
                    <w:rPr>
                      <w:rFonts w:ascii="仿宋_GB2312" w:hAnsi="仿宋_GB2312" w:cs="仿宋_GB2312" w:eastAsia="仿宋_GB2312"/>
                      <w:sz w:val="24"/>
                      <w:b/>
                      <w:color w:val="000000"/>
                    </w:rPr>
                    <w:t>1.陕西分赛筹备服务</w:t>
                  </w:r>
                </w:p>
                <w:p>
                  <w:pPr>
                    <w:pStyle w:val="null3"/>
                    <w:jc w:val="left"/>
                  </w:pPr>
                  <w:r>
                    <w:rPr>
                      <w:rFonts w:ascii="仿宋_GB2312" w:hAnsi="仿宋_GB2312" w:cs="仿宋_GB2312" w:eastAsia="仿宋_GB2312"/>
                      <w:sz w:val="24"/>
                      <w:b/>
                      <w:color w:val="000000"/>
                    </w:rPr>
                    <w:t>一是</w:t>
                  </w:r>
                  <w:r>
                    <w:rPr>
                      <w:rFonts w:ascii="仿宋_GB2312" w:hAnsi="仿宋_GB2312" w:cs="仿宋_GB2312" w:eastAsia="仿宋_GB2312"/>
                      <w:sz w:val="24"/>
                      <w:color w:val="000000"/>
                    </w:rPr>
                    <w:t>制定方案。根据要求制定本次大赛总体组织方案、总体执行方案、宣传方案，以及启动仪式方案、决赛各赛道方案、颁奖仪式方案。</w:t>
                  </w:r>
                </w:p>
                <w:p>
                  <w:pPr>
                    <w:pStyle w:val="null3"/>
                    <w:jc w:val="left"/>
                  </w:pPr>
                  <w:r>
                    <w:rPr>
                      <w:rFonts w:ascii="仿宋_GB2312" w:hAnsi="仿宋_GB2312" w:cs="仿宋_GB2312" w:eastAsia="仿宋_GB2312"/>
                      <w:sz w:val="24"/>
                      <w:b/>
                      <w:color w:val="000000"/>
                    </w:rPr>
                    <w:t>二是</w:t>
                  </w:r>
                  <w:r>
                    <w:rPr>
                      <w:rFonts w:ascii="仿宋_GB2312" w:hAnsi="仿宋_GB2312" w:cs="仿宋_GB2312" w:eastAsia="仿宋_GB2312"/>
                      <w:sz w:val="24"/>
                      <w:color w:val="000000"/>
                    </w:rPr>
                    <w:t>物料设计及制作。包含设计大赛主画面、结合主画面延展的网站画面、氛围桁架、导视牌、酒店指示牌、水座旗、桌签、议程单、串场画面等物料，并安排制作。</w:t>
                  </w:r>
                </w:p>
                <w:p>
                  <w:pPr>
                    <w:pStyle w:val="null3"/>
                    <w:jc w:val="left"/>
                  </w:pPr>
                  <w:r>
                    <w:rPr>
                      <w:rFonts w:ascii="仿宋_GB2312" w:hAnsi="仿宋_GB2312" w:cs="仿宋_GB2312" w:eastAsia="仿宋_GB2312"/>
                      <w:sz w:val="24"/>
                      <w:b/>
                      <w:color w:val="000000"/>
                    </w:rPr>
                    <w:t>三是</w:t>
                  </w:r>
                  <w:r>
                    <w:rPr>
                      <w:rFonts w:ascii="仿宋_GB2312" w:hAnsi="仿宋_GB2312" w:cs="仿宋_GB2312" w:eastAsia="仿宋_GB2312"/>
                      <w:sz w:val="24"/>
                      <w:color w:val="000000"/>
                    </w:rPr>
                    <w:t>场地规划与布置。完成启动会、决赛、颁奖仪式场地搭建设计，综合考虑场地的大小、形状以及预期人员规模，设计现场摆台方式，以及灯光、音箱设备及地毯铺设等细节。</w:t>
                  </w:r>
                </w:p>
                <w:p>
                  <w:pPr>
                    <w:pStyle w:val="null3"/>
                    <w:jc w:val="left"/>
                  </w:pPr>
                  <w:r>
                    <w:rPr>
                      <w:rFonts w:ascii="仿宋_GB2312" w:hAnsi="仿宋_GB2312" w:cs="仿宋_GB2312" w:eastAsia="仿宋_GB2312"/>
                      <w:sz w:val="24"/>
                      <w:b/>
                      <w:color w:val="000000"/>
                    </w:rPr>
                    <w:t>四是</w:t>
                  </w:r>
                  <w:r>
                    <w:rPr>
                      <w:rFonts w:ascii="仿宋_GB2312" w:hAnsi="仿宋_GB2312" w:cs="仿宋_GB2312" w:eastAsia="仿宋_GB2312"/>
                      <w:sz w:val="24"/>
                      <w:color w:val="000000"/>
                    </w:rPr>
                    <w:t>管理运营服务。包括起草撰写相关参赛、评审文件，在参赛管理、专家管理、评审管理等方面提供合理化建议，确保赛事公平公正公开举办。</w:t>
                  </w:r>
                </w:p>
                <w:p>
                  <w:pPr>
                    <w:pStyle w:val="null3"/>
                    <w:jc w:val="left"/>
                  </w:pPr>
                  <w:r>
                    <w:rPr>
                      <w:rFonts w:ascii="仿宋_GB2312" w:hAnsi="仿宋_GB2312" w:cs="仿宋_GB2312" w:eastAsia="仿宋_GB2312"/>
                      <w:sz w:val="24"/>
                      <w:b/>
                      <w:color w:val="000000"/>
                    </w:rPr>
                    <w:t>2.陕西分赛启动会保障服务</w:t>
                  </w:r>
                </w:p>
                <w:p>
                  <w:pPr>
                    <w:pStyle w:val="null3"/>
                    <w:jc w:val="left"/>
                  </w:pPr>
                  <w:r>
                    <w:rPr>
                      <w:rFonts w:ascii="仿宋_GB2312" w:hAnsi="仿宋_GB2312" w:cs="仿宋_GB2312" w:eastAsia="仿宋_GB2312"/>
                      <w:sz w:val="24"/>
                      <w:color w:val="000000"/>
                    </w:rPr>
                    <w:t>召开陕西分赛动员会，同时开启陕西分赛参赛报名工作。 完成启动会执行方案、启动会场地规划布置、启动会现场流程管控、启动会现场视频图片直播、启动会媒体宣传邀请等相关工作。</w:t>
                  </w:r>
                </w:p>
                <w:p>
                  <w:pPr>
                    <w:pStyle w:val="null3"/>
                    <w:jc w:val="left"/>
                  </w:pPr>
                  <w:r>
                    <w:rPr>
                      <w:rFonts w:ascii="仿宋_GB2312" w:hAnsi="仿宋_GB2312" w:cs="仿宋_GB2312" w:eastAsia="仿宋_GB2312"/>
                      <w:sz w:val="24"/>
                      <w:b/>
                      <w:color w:val="000000"/>
                    </w:rPr>
                    <w:t>3.陕西分赛决赛及颁奖会务保障服务</w:t>
                  </w:r>
                </w:p>
                <w:p>
                  <w:pPr>
                    <w:pStyle w:val="null3"/>
                    <w:jc w:val="left"/>
                  </w:pPr>
                  <w:r>
                    <w:rPr>
                      <w:rFonts w:ascii="仿宋_GB2312" w:hAnsi="仿宋_GB2312" w:cs="仿宋_GB2312" w:eastAsia="仿宋_GB2312"/>
                      <w:sz w:val="24"/>
                      <w:color w:val="000000"/>
                    </w:rPr>
                    <w:t>一是完成决赛及颁奖执行方案，包括参会嘉宾食住行保障、场地选择设计、活动现场管控等；</w:t>
                  </w:r>
                </w:p>
                <w:p>
                  <w:pPr>
                    <w:pStyle w:val="null3"/>
                    <w:jc w:val="left"/>
                  </w:pPr>
                  <w:r>
                    <w:rPr>
                      <w:rFonts w:ascii="仿宋_GB2312" w:hAnsi="仿宋_GB2312" w:cs="仿宋_GB2312" w:eastAsia="仿宋_GB2312"/>
                      <w:sz w:val="24"/>
                      <w:color w:val="000000"/>
                    </w:rPr>
                    <w:t>二是根据赛事进入决赛队伍统计参赛选手、受邀嘉宾数量、观众及工作人员等的数量，实地考察合适的场地，并确定场地各项尺寸数据，确保规划能满足赛事需求，同时绘制详细赛场布置图纸，包括比赛区、观众席、裁判席、媒体席、休息区等各个区域的具体位置和尺寸，确保赛场布置符合赛事规范和安全要求，同时考虑观众的观赛体验和媒体报道需求；</w:t>
                  </w:r>
                </w:p>
                <w:p>
                  <w:pPr>
                    <w:pStyle w:val="null3"/>
                    <w:jc w:val="left"/>
                  </w:pPr>
                  <w:r>
                    <w:rPr>
                      <w:rFonts w:ascii="仿宋_GB2312" w:hAnsi="仿宋_GB2312" w:cs="仿宋_GB2312" w:eastAsia="仿宋_GB2312"/>
                      <w:sz w:val="24"/>
                      <w:color w:val="000000"/>
                    </w:rPr>
                    <w:t>三是完成会场内外设计、布置工作，结合主画面延展决赛会场布置效果图、宣传海报、邀请函 H5、现场流程画面、领导讲话 PPT 等画面设计，以及证件、背景板、签到处、导视牌、接机牌、大赛手册、道旗、氛围桁架、水座旗、颁奖仪式桌签等设计及制作；</w:t>
                  </w:r>
                </w:p>
                <w:p>
                  <w:pPr>
                    <w:pStyle w:val="null3"/>
                    <w:jc w:val="left"/>
                  </w:pPr>
                  <w:r>
                    <w:rPr>
                      <w:rFonts w:ascii="仿宋_GB2312" w:hAnsi="仿宋_GB2312" w:cs="仿宋_GB2312" w:eastAsia="仿宋_GB2312"/>
                      <w:sz w:val="24"/>
                      <w:color w:val="000000"/>
                    </w:rPr>
                    <w:t>四是完成场内外搭建工作，依照实际设计效果图，综合考虑场地的大小、形状以及预期人员规模，合理规划并安排灯光、音箱设备、舞台布置以及地毯铺设，进行施工搭建；</w:t>
                  </w:r>
                </w:p>
                <w:p>
                  <w:pPr>
                    <w:pStyle w:val="null3"/>
                    <w:jc w:val="left"/>
                  </w:pPr>
                  <w:r>
                    <w:rPr>
                      <w:rFonts w:ascii="仿宋_GB2312" w:hAnsi="仿宋_GB2312" w:cs="仿宋_GB2312" w:eastAsia="仿宋_GB2312"/>
                      <w:sz w:val="24"/>
                      <w:color w:val="000000"/>
                    </w:rPr>
                    <w:t>五是做好现场实施工作，制定详细工作倒排表、人员分工表、现场流程管控表、应急处理预案等，做好现场统筹、主持保障、流程保障、医疗安全保障、演练保障等相关工作。</w:t>
                  </w:r>
                </w:p>
                <w:p>
                  <w:pPr>
                    <w:pStyle w:val="null3"/>
                    <w:jc w:val="left"/>
                  </w:pPr>
                  <w:r>
                    <w:rPr>
                      <w:rFonts w:ascii="仿宋_GB2312" w:hAnsi="仿宋_GB2312" w:cs="仿宋_GB2312" w:eastAsia="仿宋_GB2312"/>
                      <w:sz w:val="24"/>
                      <w:b/>
                      <w:color w:val="000000"/>
                    </w:rPr>
                    <w:t>4.陕西分赛宣传工作</w:t>
                  </w:r>
                </w:p>
                <w:p>
                  <w:pPr>
                    <w:pStyle w:val="null3"/>
                    <w:jc w:val="left"/>
                  </w:pPr>
                  <w:r>
                    <w:rPr>
                      <w:rFonts w:ascii="仿宋_GB2312" w:hAnsi="仿宋_GB2312" w:cs="仿宋_GB2312" w:eastAsia="仿宋_GB2312"/>
                      <w:sz w:val="24"/>
                      <w:color w:val="000000"/>
                    </w:rPr>
                    <w:t>做好陕西分赛整体宣传计划，搭建立体式、分阶段宣传矩阵。活动前期发布预热文章，中期同步直播二维码，后期发布活动总结报道，全流程宣传此次大赛，涵盖官方渠道、大众媒体、自媒体等渠道。</w:t>
                  </w:r>
                </w:p>
                <w:p>
                  <w:pPr>
                    <w:pStyle w:val="null3"/>
                    <w:jc w:val="left"/>
                  </w:pPr>
                  <w:r>
                    <w:rPr>
                      <w:rFonts w:ascii="仿宋_GB2312" w:hAnsi="仿宋_GB2312" w:cs="仿宋_GB2312" w:eastAsia="仿宋_GB2312"/>
                      <w:sz w:val="24"/>
                      <w:b/>
                      <w:color w:val="000000"/>
                    </w:rPr>
                    <w:t>5.陕西分赛赛事平台搭建及运营服务</w:t>
                  </w:r>
                </w:p>
                <w:p>
                  <w:pPr>
                    <w:pStyle w:val="null3"/>
                    <w:jc w:val="left"/>
                  </w:pPr>
                  <w:r>
                    <w:rPr>
                      <w:rFonts w:ascii="仿宋_GB2312" w:hAnsi="仿宋_GB2312" w:cs="仿宋_GB2312" w:eastAsia="仿宋_GB2312"/>
                      <w:sz w:val="24"/>
                      <w:color w:val="000000"/>
                    </w:rPr>
                    <w:t>根据赛事报名和评审要求，搭建赛事官方网站，实现赛事信息及时发布；提供符合陕西分赛特点的报名系统、评审系统、评委管理系统和平台管理系统，并根据赛程进展提供平台运维和数据分析服务。</w:t>
                  </w:r>
                </w:p>
                <w:p>
                  <w:pPr>
                    <w:pStyle w:val="null3"/>
                    <w:jc w:val="left"/>
                  </w:pPr>
                  <w:r>
                    <w:rPr>
                      <w:rFonts w:ascii="仿宋_GB2312" w:hAnsi="仿宋_GB2312" w:cs="仿宋_GB2312" w:eastAsia="仿宋_GB2312"/>
                      <w:sz w:val="24"/>
                      <w:color w:val="000000"/>
                    </w:rPr>
                    <w:t>（三）交付成果</w:t>
                  </w:r>
                </w:p>
                <w:p>
                  <w:pPr>
                    <w:pStyle w:val="null3"/>
                    <w:jc w:val="left"/>
                  </w:pPr>
                  <w:r>
                    <w:rPr>
                      <w:rFonts w:ascii="仿宋_GB2312" w:hAnsi="仿宋_GB2312" w:cs="仿宋_GB2312" w:eastAsia="仿宋_GB2312"/>
                      <w:sz w:val="24"/>
                      <w:color w:val="000000"/>
                    </w:rPr>
                    <w:t>2025 年“数据要素×”大赛陕西分赛服务项目，拟交付以下成果：</w:t>
                  </w:r>
                </w:p>
                <w:p>
                  <w:pPr>
                    <w:pStyle w:val="null3"/>
                    <w:jc w:val="left"/>
                  </w:pPr>
                  <w:r>
                    <w:rPr>
                      <w:rFonts w:ascii="仿宋_GB2312" w:hAnsi="仿宋_GB2312" w:cs="仿宋_GB2312" w:eastAsia="仿宋_GB2312"/>
                      <w:sz w:val="24"/>
                      <w:color w:val="000000"/>
                    </w:rPr>
                    <w:t>1.2025年“数据要素×”大赛陕西分赛总体组织方案、总体执行方案、宣传方案，以及启动会、决赛、颁奖分阶段执行方案各 1 份，共 6 份。</w:t>
                  </w:r>
                </w:p>
                <w:p>
                  <w:pPr>
                    <w:pStyle w:val="null3"/>
                    <w:jc w:val="left"/>
                  </w:pPr>
                  <w:r>
                    <w:rPr>
                      <w:rFonts w:ascii="仿宋_GB2312" w:hAnsi="仿宋_GB2312" w:cs="仿宋_GB2312" w:eastAsia="仿宋_GB2312"/>
                      <w:sz w:val="24"/>
                      <w:color w:val="000000"/>
                    </w:rPr>
                    <w:t>2.2025年“数据要素×”大赛陕西分赛启动会、决赛、颁奖活动共3场，其中决赛包含13个赛道分场次活动。</w:t>
                  </w:r>
                </w:p>
                <w:p>
                  <w:pPr>
                    <w:pStyle w:val="null3"/>
                    <w:jc w:val="left"/>
                  </w:pPr>
                  <w:r>
                    <w:rPr>
                      <w:rFonts w:ascii="仿宋_GB2312" w:hAnsi="仿宋_GB2312" w:cs="仿宋_GB2312" w:eastAsia="仿宋_GB2312"/>
                      <w:sz w:val="24"/>
                      <w:color w:val="000000"/>
                    </w:rPr>
                    <w:t>3.2025年“数据要素×”大赛陕西分赛所需物料，包括大赛主画面、结合主画面延展的网站画面、氛围桁架、导视牌、酒店指示牌、水座旗、桌签、串场画面等。</w:t>
                  </w:r>
                </w:p>
                <w:p>
                  <w:pPr>
                    <w:pStyle w:val="null3"/>
                    <w:jc w:val="left"/>
                  </w:pPr>
                  <w:r>
                    <w:rPr>
                      <w:rFonts w:ascii="仿宋_GB2312" w:hAnsi="仿宋_GB2312" w:cs="仿宋_GB2312" w:eastAsia="仿宋_GB2312"/>
                      <w:sz w:val="24"/>
                      <w:color w:val="000000"/>
                    </w:rPr>
                    <w:t>4.2025 年“数据要素×”大赛陕西分赛启动会、决赛、颁奖活动现场会务保障，包括现场流程管控、彩排演练、导引接待、其他相关协调执行工作等。</w:t>
                  </w:r>
                </w:p>
                <w:p>
                  <w:pPr>
                    <w:pStyle w:val="null3"/>
                    <w:jc w:val="left"/>
                  </w:pPr>
                  <w:r>
                    <w:rPr>
                      <w:rFonts w:ascii="仿宋_GB2312" w:hAnsi="仿宋_GB2312" w:cs="仿宋_GB2312" w:eastAsia="仿宋_GB2312"/>
                      <w:sz w:val="24"/>
                      <w:color w:val="000000"/>
                    </w:rPr>
                    <w:t>5.2025 年“数据要素×”大赛陕西分赛全流程宣传保障，包括官方渠道：依托大赛官方网站及各主承办、协办、支持单位微信公众号、官网；大众媒体：人民日报陕西分社、新华社陕西分社、陕西日报、西安日报等传统媒体；科技日报、科技中国、新浪科技、腾讯科技、数据猿等行业媒体；自媒</w:t>
                  </w:r>
                </w:p>
                <w:p>
                  <w:pPr>
                    <w:pStyle w:val="null3"/>
                    <w:jc w:val="left"/>
                  </w:pPr>
                  <w:r>
                    <w:rPr>
                      <w:rFonts w:ascii="仿宋_GB2312" w:hAnsi="仿宋_GB2312" w:cs="仿宋_GB2312" w:eastAsia="仿宋_GB2312"/>
                      <w:sz w:val="24"/>
                      <w:color w:val="000000"/>
                    </w:rPr>
                    <w:t>体渠道：启动会结束后剪辑活动精彩视频，通过抖音、微信视频号等自媒体视频号宣发(若上述媒体因故无法发文或到场则替换同等级其他媒体)。</w:t>
                  </w:r>
                </w:p>
                <w:p>
                  <w:pPr>
                    <w:pStyle w:val="null3"/>
                    <w:jc w:val="left"/>
                  </w:pPr>
                  <w:r>
                    <w:rPr>
                      <w:rFonts w:ascii="仿宋_GB2312" w:hAnsi="仿宋_GB2312" w:cs="仿宋_GB2312" w:eastAsia="仿宋_GB2312"/>
                      <w:sz w:val="24"/>
                      <w:color w:val="000000"/>
                    </w:rPr>
                    <w:t>6.2025 年“数据要素×”大赛陕西分赛相关规范类文件，包括项目申报书、参赛承诺书、官网服务协议、参赛单位授权书、初赛评审规则、决赛评审规则、评审承诺书、参赛指南、评审指南等，不少于10份文件。</w:t>
                  </w:r>
                </w:p>
                <w:p>
                  <w:pPr>
                    <w:pStyle w:val="null3"/>
                    <w:jc w:val="left"/>
                  </w:pPr>
                  <w:r>
                    <w:rPr>
                      <w:rFonts w:ascii="仿宋_GB2312" w:hAnsi="仿宋_GB2312" w:cs="仿宋_GB2312" w:eastAsia="仿宋_GB2312"/>
                      <w:sz w:val="24"/>
                      <w:color w:val="000000"/>
                    </w:rPr>
                    <w:t>7.2025年“数据要素×”大赛陕西分赛相关通知宣传类文件，包括陕西分赛进展情况发布稿、现场活动主持稿、嘉宾邀请函、参赛通知等，不少于10 份文件；</w:t>
                  </w:r>
                </w:p>
                <w:p>
                  <w:pPr>
                    <w:pStyle w:val="null3"/>
                    <w:jc w:val="left"/>
                  </w:pPr>
                  <w:r>
                    <w:rPr>
                      <w:rFonts w:ascii="仿宋_GB2312" w:hAnsi="仿宋_GB2312" w:cs="仿宋_GB2312" w:eastAsia="仿宋_GB2312"/>
                      <w:sz w:val="24"/>
                      <w:color w:val="000000"/>
                    </w:rPr>
                    <w:t>8.2025 年“数据要素×”大赛陕西分赛赛事平台搭建与运营服务，赛事平台包括赛事官网、赛事报名、评审及评委管理、平台管理模块，提供 5 个赛事平台管理员账号、赛事平台所有数据、选手报名操作手册、评委操作手册、管理员操作手册等。</w:t>
                  </w:r>
                </w:p>
                <w:p>
                  <w:pPr>
                    <w:pStyle w:val="null3"/>
                    <w:jc w:val="left"/>
                  </w:pPr>
                  <w:r>
                    <w:rPr>
                      <w:rFonts w:ascii="仿宋_GB2312" w:hAnsi="仿宋_GB2312" w:cs="仿宋_GB2312" w:eastAsia="仿宋_GB2312"/>
                      <w:sz w:val="24"/>
                      <w:color w:val="000000"/>
                    </w:rPr>
                    <w:t>（四）服务要求</w:t>
                  </w:r>
                </w:p>
                <w:p>
                  <w:pPr>
                    <w:pStyle w:val="null3"/>
                    <w:jc w:val="left"/>
                  </w:pPr>
                  <w:r>
                    <w:rPr>
                      <w:rFonts w:ascii="仿宋_GB2312" w:hAnsi="仿宋_GB2312" w:cs="仿宋_GB2312" w:eastAsia="仿宋_GB2312"/>
                      <w:sz w:val="24"/>
                      <w:b/>
                      <w:color w:val="000000"/>
                    </w:rPr>
                    <w:t>1.统筹组织与规划。</w:t>
                  </w:r>
                  <w:r>
                    <w:rPr>
                      <w:rFonts w:ascii="仿宋_GB2312" w:hAnsi="仿宋_GB2312" w:cs="仿宋_GB2312" w:eastAsia="仿宋_GB2312"/>
                      <w:sz w:val="24"/>
                      <w:color w:val="000000"/>
                    </w:rPr>
                    <w:t>设立专门的项目管理团队，负责整体规划和项目管理；制定详细的项目实施计划，明确项目目标、任务分配、时间节点和预算安排。</w:t>
                  </w:r>
                </w:p>
                <w:p>
                  <w:pPr>
                    <w:pStyle w:val="null3"/>
                    <w:jc w:val="left"/>
                  </w:pPr>
                  <w:r>
                    <w:rPr>
                      <w:rFonts w:ascii="仿宋_GB2312" w:hAnsi="仿宋_GB2312" w:cs="仿宋_GB2312" w:eastAsia="仿宋_GB2312"/>
                      <w:sz w:val="24"/>
                      <w:b/>
                      <w:color w:val="000000"/>
                    </w:rPr>
                    <w:t>2.参赛项目征集与筛选</w:t>
                  </w:r>
                  <w:r>
                    <w:rPr>
                      <w:rFonts w:ascii="仿宋_GB2312" w:hAnsi="仿宋_GB2312" w:cs="仿宋_GB2312" w:eastAsia="仿宋_GB2312"/>
                      <w:sz w:val="24"/>
                      <w:color w:val="000000"/>
                    </w:rPr>
                    <w:t>。通过各种渠道向企业和单位发布参赛通知，鼓励积极参与；收集参赛项目并制定合理筛选、评审规则，确保项目符合赛题要求和大赛精神。</w:t>
                  </w:r>
                </w:p>
                <w:p>
                  <w:pPr>
                    <w:pStyle w:val="null3"/>
                    <w:jc w:val="left"/>
                  </w:pPr>
                  <w:r>
                    <w:rPr>
                      <w:rFonts w:ascii="仿宋_GB2312" w:hAnsi="仿宋_GB2312" w:cs="仿宋_GB2312" w:eastAsia="仿宋_GB2312"/>
                      <w:sz w:val="24"/>
                      <w:b/>
                      <w:color w:val="000000"/>
                    </w:rPr>
                    <w:t>3.会务保障</w:t>
                  </w:r>
                </w:p>
                <w:p>
                  <w:pPr>
                    <w:pStyle w:val="null3"/>
                    <w:jc w:val="left"/>
                  </w:pPr>
                  <w:r>
                    <w:rPr>
                      <w:rFonts w:ascii="仿宋_GB2312" w:hAnsi="仿宋_GB2312" w:cs="仿宋_GB2312" w:eastAsia="仿宋_GB2312"/>
                      <w:sz w:val="24"/>
                      <w:color w:val="000000"/>
                    </w:rPr>
                    <w:t>一是根据比赛流程，合理规划场地布局，确保场地布置整洁、有序，并符合大赛主题和氛围，确保观众能够享受到良好的观赛体验；</w:t>
                  </w:r>
                </w:p>
                <w:p>
                  <w:pPr>
                    <w:pStyle w:val="null3"/>
                    <w:jc w:val="left"/>
                  </w:pPr>
                  <w:r>
                    <w:rPr>
                      <w:rFonts w:ascii="仿宋_GB2312" w:hAnsi="仿宋_GB2312" w:cs="仿宋_GB2312" w:eastAsia="仿宋_GB2312"/>
                      <w:sz w:val="24"/>
                      <w:color w:val="000000"/>
                    </w:rPr>
                    <w:t>二是制定详细的大赛流程，确保会务流程紧凑有序，为参赛者提供高效、便捷的参赛体验；</w:t>
                  </w:r>
                </w:p>
                <w:p>
                  <w:pPr>
                    <w:pStyle w:val="null3"/>
                    <w:jc w:val="left"/>
                  </w:pPr>
                  <w:r>
                    <w:rPr>
                      <w:rFonts w:ascii="仿宋_GB2312" w:hAnsi="仿宋_GB2312" w:cs="仿宋_GB2312" w:eastAsia="仿宋_GB2312"/>
                      <w:sz w:val="24"/>
                      <w:color w:val="000000"/>
                    </w:rPr>
                    <w:t>三是提供必要的设备支持，如投影仪、音响设备、网络设备等，确保设备正常运行，为参赛项目的展示和评审提供稳定的技术支持；</w:t>
                  </w:r>
                </w:p>
                <w:p>
                  <w:pPr>
                    <w:pStyle w:val="null3"/>
                    <w:jc w:val="left"/>
                  </w:pPr>
                  <w:r>
                    <w:rPr>
                      <w:rFonts w:ascii="仿宋_GB2312" w:hAnsi="仿宋_GB2312" w:cs="仿宋_GB2312" w:eastAsia="仿宋_GB2312"/>
                      <w:sz w:val="24"/>
                      <w:color w:val="000000"/>
                    </w:rPr>
                    <w:t>四是提供周到的服务，包括接待、签到、引导、咨询等，制定安全预案，确保比赛期间的安全和秩序。</w:t>
                  </w:r>
                </w:p>
                <w:p>
                  <w:pPr>
                    <w:pStyle w:val="null3"/>
                    <w:jc w:val="left"/>
                  </w:pPr>
                  <w:r>
                    <w:rPr>
                      <w:rFonts w:ascii="仿宋_GB2312" w:hAnsi="仿宋_GB2312" w:cs="仿宋_GB2312" w:eastAsia="仿宋_GB2312"/>
                      <w:sz w:val="24"/>
                      <w:b/>
                      <w:color w:val="000000"/>
                    </w:rPr>
                    <w:t>4.宣传推广</w:t>
                  </w:r>
                </w:p>
                <w:p>
                  <w:pPr>
                    <w:pStyle w:val="null3"/>
                    <w:jc w:val="left"/>
                  </w:pPr>
                  <w:r>
                    <w:rPr>
                      <w:rFonts w:ascii="仿宋_GB2312" w:hAnsi="仿宋_GB2312" w:cs="仿宋_GB2312" w:eastAsia="仿宋_GB2312"/>
                      <w:sz w:val="24"/>
                      <w:color w:val="000000"/>
                    </w:rPr>
                    <w:t>一是宣传材料设计要突出大赛的主题和特色，使用醒目的色彩和简洁的文字，提高宣传材料的吸引力和可读性；</w:t>
                  </w:r>
                </w:p>
                <w:p>
                  <w:pPr>
                    <w:pStyle w:val="null3"/>
                    <w:jc w:val="left"/>
                  </w:pPr>
                  <w:r>
                    <w:rPr>
                      <w:rFonts w:ascii="仿宋_GB2312" w:hAnsi="仿宋_GB2312" w:cs="仿宋_GB2312" w:eastAsia="仿宋_GB2312"/>
                      <w:sz w:val="24"/>
                      <w:color w:val="000000"/>
                    </w:rPr>
                    <w:t>二是充分利用媒体渠道，通过官方网站、社交媒体、新闻媒体等渠道进行宣传推广，扩大赛事影响力。</w:t>
                  </w:r>
                </w:p>
                <w:p>
                  <w:pPr>
                    <w:pStyle w:val="null3"/>
                    <w:numPr>
                      <w:ilvl w:val="0"/>
                      <w:numId w:val="1"/>
                    </w:numPr>
                    <w:jc w:val="left"/>
                  </w:pPr>
                  <w:r>
                    <w:rPr>
                      <w:rFonts w:ascii="仿宋_GB2312" w:hAnsi="仿宋_GB2312" w:cs="仿宋_GB2312" w:eastAsia="仿宋_GB2312"/>
                      <w:sz w:val="24"/>
                      <w:b/>
                      <w:color w:val="000000"/>
                    </w:rPr>
                    <w:t>赛事平台搭建与运营。</w:t>
                  </w:r>
                  <w:r>
                    <w:rPr>
                      <w:rFonts w:ascii="仿宋_GB2312" w:hAnsi="仿宋_GB2312" w:cs="仿宋_GB2312" w:eastAsia="仿宋_GB2312"/>
                      <w:sz w:val="24"/>
                      <w:color w:val="000000"/>
                    </w:rPr>
                    <w:t>项目咨询服务人员应签署保密协议；赛事平台支持千人并发。</w:t>
                  </w:r>
                </w:p>
                <w:p>
                  <w:pPr>
                    <w:pStyle w:val="null3"/>
                    <w:jc w:val="left"/>
                  </w:pPr>
                  <w:r>
                    <w:rPr>
                      <w:rFonts w:ascii="仿宋_GB2312" w:hAnsi="仿宋_GB2312" w:cs="仿宋_GB2312" w:eastAsia="仿宋_GB2312"/>
                      <w:sz w:val="24"/>
                      <w:color w:val="000000"/>
                    </w:rPr>
                    <w:t>三、服务实施</w:t>
                  </w:r>
                </w:p>
                <w:p>
                  <w:pPr>
                    <w:pStyle w:val="null3"/>
                    <w:jc w:val="left"/>
                  </w:pPr>
                  <w:r>
                    <w:rPr>
                      <w:rFonts w:ascii="仿宋_GB2312" w:hAnsi="仿宋_GB2312" w:cs="仿宋_GB2312" w:eastAsia="仿宋_GB2312"/>
                      <w:sz w:val="24"/>
                      <w:color w:val="000000"/>
                    </w:rPr>
                    <w:t>（一）服务组织</w:t>
                  </w:r>
                </w:p>
                <w:p>
                  <w:pPr>
                    <w:pStyle w:val="null3"/>
                    <w:jc w:val="left"/>
                  </w:pPr>
                  <w:r>
                    <w:rPr>
                      <w:rFonts w:ascii="仿宋_GB2312" w:hAnsi="仿宋_GB2312" w:cs="仿宋_GB2312" w:eastAsia="仿宋_GB2312"/>
                      <w:sz w:val="24"/>
                      <w:color w:val="000000"/>
                    </w:rPr>
                    <w:t>在局统筹领导下，成立</w:t>
                  </w:r>
                  <w:r>
                    <w:rPr>
                      <w:rFonts w:ascii="仿宋_GB2312" w:hAnsi="仿宋_GB2312" w:cs="仿宋_GB2312" w:eastAsia="仿宋_GB2312"/>
                      <w:sz w:val="24"/>
                      <w:color w:val="242424"/>
                    </w:rPr>
                    <w:t>分赛组织委员会（以下简称分赛组委会），由局主要负责同志担任主任，分赛组委会下设办公室，负责统筹赛事组织协调、宣传推广、技术保障等工作，办公室下设 8 个小组，各小组人员可根据大赛不同阶段工作需要调动。具体</w:t>
                  </w:r>
                  <w:r>
                    <w:rPr>
                      <w:rFonts w:ascii="仿宋_GB2312" w:hAnsi="仿宋_GB2312" w:cs="仿宋_GB2312" w:eastAsia="仿宋_GB2312"/>
                      <w:sz w:val="24"/>
                      <w:color w:val="000000"/>
                    </w:rPr>
                    <w:t>如下：</w:t>
                  </w:r>
                </w:p>
                <w:p>
                  <w:pPr>
                    <w:pStyle w:val="null3"/>
                    <w:jc w:val="left"/>
                  </w:pPr>
                  <w:r>
                    <w:rPr>
                      <w:rFonts w:ascii="仿宋_GB2312" w:hAnsi="仿宋_GB2312" w:cs="仿宋_GB2312" w:eastAsia="仿宋_GB2312"/>
                      <w:sz w:val="24"/>
                      <w:b/>
                      <w:color w:val="000000"/>
                    </w:rPr>
                    <w:t>1.总体统筹组。</w:t>
                  </w:r>
                  <w:r>
                    <w:rPr>
                      <w:rFonts w:ascii="仿宋_GB2312" w:hAnsi="仿宋_GB2312" w:cs="仿宋_GB2312" w:eastAsia="仿宋_GB2312"/>
                      <w:sz w:val="24"/>
                      <w:color w:val="000000"/>
                    </w:rPr>
                    <w:t>组长1人，组员2人。对接国家数据局和承办、协办等单位，把控赛事总体要求、同步国家最新动向、协调赛事所需资源等。</w:t>
                  </w:r>
                </w:p>
                <w:p>
                  <w:pPr>
                    <w:pStyle w:val="null3"/>
                    <w:jc w:val="left"/>
                  </w:pPr>
                  <w:r>
                    <w:rPr>
                      <w:rFonts w:ascii="仿宋_GB2312" w:hAnsi="仿宋_GB2312" w:cs="仿宋_GB2312" w:eastAsia="仿宋_GB2312"/>
                      <w:sz w:val="24"/>
                      <w:b/>
                      <w:color w:val="000000"/>
                    </w:rPr>
                    <w:t>2.内容研制组。</w:t>
                  </w:r>
                  <w:r>
                    <w:rPr>
                      <w:rFonts w:ascii="仿宋_GB2312" w:hAnsi="仿宋_GB2312" w:cs="仿宋_GB2312" w:eastAsia="仿宋_GB2312"/>
                      <w:sz w:val="24"/>
                      <w:color w:val="000000"/>
                    </w:rPr>
                    <w:t>组长1人，组员2人。包括制定参赛报名表、参赛承诺书等赛事评审规则类文件，以及启动会方案、主持稿、领导讲话稿、领导采访提纲等赛事对外通知类文件和其他赛事执行期间所需内容稿件。</w:t>
                  </w:r>
                </w:p>
                <w:p>
                  <w:pPr>
                    <w:pStyle w:val="null3"/>
                    <w:jc w:val="left"/>
                  </w:pPr>
                  <w:r>
                    <w:rPr>
                      <w:rFonts w:ascii="仿宋_GB2312" w:hAnsi="仿宋_GB2312" w:cs="仿宋_GB2312" w:eastAsia="仿宋_GB2312"/>
                      <w:sz w:val="24"/>
                      <w:b/>
                      <w:color w:val="000000"/>
                    </w:rPr>
                    <w:t>3.技术支持组。</w:t>
                  </w:r>
                  <w:r>
                    <w:rPr>
                      <w:rFonts w:ascii="仿宋_GB2312" w:hAnsi="仿宋_GB2312" w:cs="仿宋_GB2312" w:eastAsia="仿宋_GB2312"/>
                      <w:sz w:val="24"/>
                      <w:color w:val="000000"/>
                    </w:rPr>
                    <w:t>组长1人，组员5人。赛事平台搭建及运营，包括官网各模块功能搭建及测试上线、资质审核、技术验证辅助、线上评审辅助、专家运营服务、数据安全、后台管理、云资源保障等。</w:t>
                  </w:r>
                </w:p>
                <w:p>
                  <w:pPr>
                    <w:pStyle w:val="null3"/>
                    <w:jc w:val="left"/>
                  </w:pPr>
                  <w:r>
                    <w:rPr>
                      <w:rFonts w:ascii="仿宋_GB2312" w:hAnsi="仿宋_GB2312" w:cs="仿宋_GB2312" w:eastAsia="仿宋_GB2312"/>
                      <w:sz w:val="24"/>
                      <w:b/>
                      <w:color w:val="000000"/>
                    </w:rPr>
                    <w:t>4.媒体传播组。</w:t>
                  </w:r>
                  <w:r>
                    <w:rPr>
                      <w:rFonts w:ascii="仿宋_GB2312" w:hAnsi="仿宋_GB2312" w:cs="仿宋_GB2312" w:eastAsia="仿宋_GB2312"/>
                      <w:sz w:val="24"/>
                      <w:color w:val="000000"/>
                    </w:rPr>
                    <w:t>组长1人，组员3人。制定并执行赛事整体宣传执行方案，包括宣传路径、宣传形式、传播内容制作、线下记者对接、专访及运营、活动视频制作、监测等。</w:t>
                  </w:r>
                </w:p>
                <w:p>
                  <w:pPr>
                    <w:pStyle w:val="null3"/>
                    <w:jc w:val="left"/>
                  </w:pPr>
                  <w:r>
                    <w:rPr>
                      <w:rFonts w:ascii="仿宋_GB2312" w:hAnsi="仿宋_GB2312" w:cs="仿宋_GB2312" w:eastAsia="仿宋_GB2312"/>
                      <w:sz w:val="24"/>
                      <w:b/>
                      <w:color w:val="000000"/>
                    </w:rPr>
                    <w:t>5.嘉宾保障组。</w:t>
                  </w:r>
                  <w:r>
                    <w:rPr>
                      <w:rFonts w:ascii="仿宋_GB2312" w:hAnsi="仿宋_GB2312" w:cs="仿宋_GB2312" w:eastAsia="仿宋_GB2312"/>
                      <w:sz w:val="24"/>
                      <w:color w:val="000000"/>
                    </w:rPr>
                    <w:t>组长1人，组员1人。重要嘉宾邀请及行程安排，包括国家数据局及省级领导、院士等重要嘉宾。</w:t>
                  </w:r>
                </w:p>
                <w:p>
                  <w:pPr>
                    <w:pStyle w:val="null3"/>
                    <w:jc w:val="left"/>
                  </w:pPr>
                  <w:r>
                    <w:rPr>
                      <w:rFonts w:ascii="仿宋_GB2312" w:hAnsi="仿宋_GB2312" w:cs="仿宋_GB2312" w:eastAsia="仿宋_GB2312"/>
                      <w:sz w:val="24"/>
                      <w:b/>
                      <w:color w:val="000000"/>
                    </w:rPr>
                    <w:t>6.专家运营组。</w:t>
                  </w:r>
                  <w:r>
                    <w:rPr>
                      <w:rFonts w:ascii="仿宋_GB2312" w:hAnsi="仿宋_GB2312" w:cs="仿宋_GB2312" w:eastAsia="仿宋_GB2312"/>
                      <w:sz w:val="24"/>
                      <w:color w:val="000000"/>
                    </w:rPr>
                    <w:t>组长1人，组员8人。包括专家库征集、专家评审规则及研讨，线下专家组织、对接联络等，以及评委承诺书、评委指南说明、赛前专家答疑会等。</w:t>
                  </w:r>
                </w:p>
                <w:p>
                  <w:pPr>
                    <w:pStyle w:val="null3"/>
                    <w:jc w:val="left"/>
                  </w:pPr>
                  <w:r>
                    <w:rPr>
                      <w:rFonts w:ascii="仿宋_GB2312" w:hAnsi="仿宋_GB2312" w:cs="仿宋_GB2312" w:eastAsia="仿宋_GB2312"/>
                      <w:sz w:val="24"/>
                      <w:b/>
                      <w:color w:val="000000"/>
                    </w:rPr>
                    <w:t>7.选手运营组。</w:t>
                  </w:r>
                  <w:r>
                    <w:rPr>
                      <w:rFonts w:ascii="仿宋_GB2312" w:hAnsi="仿宋_GB2312" w:cs="仿宋_GB2312" w:eastAsia="仿宋_GB2312"/>
                      <w:sz w:val="24"/>
                      <w:color w:val="000000"/>
                    </w:rPr>
                    <w:t>组长1人，组员13人。包括参赛团队答疑、选手指南、参赛团队招募及汇总、各赛道选手对接、导流等服务。</w:t>
                  </w:r>
                </w:p>
                <w:p>
                  <w:pPr>
                    <w:pStyle w:val="null3"/>
                    <w:jc w:val="left"/>
                  </w:pPr>
                  <w:r>
                    <w:rPr>
                      <w:rFonts w:ascii="仿宋_GB2312" w:hAnsi="仿宋_GB2312" w:cs="仿宋_GB2312" w:eastAsia="仿宋_GB2312"/>
                      <w:sz w:val="24"/>
                      <w:b/>
                      <w:color w:val="000000"/>
                    </w:rPr>
                    <w:t>8.会务及后勤保障组。</w:t>
                  </w:r>
                  <w:r>
                    <w:rPr>
                      <w:rFonts w:ascii="仿宋_GB2312" w:hAnsi="仿宋_GB2312" w:cs="仿宋_GB2312" w:eastAsia="仿宋_GB2312"/>
                      <w:sz w:val="24"/>
                      <w:color w:val="000000"/>
                    </w:rPr>
                    <w:t>组长1人，组员15人。大赛各阶段会务及相关制作总控，以及活动现场执行、食宿行等管理保障，包括组委会赛前工作会议、启动会/新闻发布会、项目征集、线上初审、决赛+颁奖、结果发布全流程。</w:t>
                  </w:r>
                </w:p>
                <w:p>
                  <w:pPr>
                    <w:pStyle w:val="null3"/>
                    <w:jc w:val="left"/>
                  </w:pPr>
                  <w:r>
                    <w:rPr>
                      <w:rFonts w:ascii="仿宋_GB2312" w:hAnsi="仿宋_GB2312" w:cs="仿宋_GB2312" w:eastAsia="仿宋_GB2312"/>
                      <w:sz w:val="24"/>
                      <w:color w:val="000000"/>
                    </w:rPr>
                    <w:t>（二）实施管理</w:t>
                  </w:r>
                </w:p>
                <w:p>
                  <w:pPr>
                    <w:pStyle w:val="null3"/>
                    <w:jc w:val="left"/>
                  </w:pPr>
                  <w:r>
                    <w:rPr>
                      <w:rFonts w:ascii="仿宋_GB2312" w:hAnsi="仿宋_GB2312" w:cs="仿宋_GB2312" w:eastAsia="仿宋_GB2312"/>
                      <w:sz w:val="24"/>
                      <w:b/>
                      <w:color w:val="000000"/>
                    </w:rPr>
                    <w:t>1.进度管理。</w:t>
                  </w:r>
                  <w:r>
                    <w:rPr>
                      <w:rFonts w:ascii="仿宋_GB2312" w:hAnsi="仿宋_GB2312" w:cs="仿宋_GB2312" w:eastAsia="仿宋_GB2312"/>
                      <w:sz w:val="24"/>
                      <w:color w:val="000000"/>
                    </w:rPr>
                    <w:t>项目服务单位应明确各子项目的完成时间、过程步骤、按阶段分解详细计划、应提交的工作成果、需要省数据和政务服务局协调与配合的事项，其中需要包括进度计划、交付成果、人员安排等，项目服务单位须接受并服从省数据和政务服务局的监督、管理要求，按要求提供中间过程工作成果。</w:t>
                  </w:r>
                </w:p>
                <w:p>
                  <w:pPr>
                    <w:pStyle w:val="null3"/>
                    <w:jc w:val="left"/>
                  </w:pPr>
                  <w:r>
                    <w:rPr>
                      <w:rFonts w:ascii="仿宋_GB2312" w:hAnsi="仿宋_GB2312" w:cs="仿宋_GB2312" w:eastAsia="仿宋_GB2312"/>
                      <w:sz w:val="24"/>
                      <w:b/>
                      <w:color w:val="000000"/>
                    </w:rPr>
                    <w:t>2.组织实施</w:t>
                  </w:r>
                  <w:r>
                    <w:rPr>
                      <w:rFonts w:ascii="仿宋_GB2312" w:hAnsi="仿宋_GB2312" w:cs="仿宋_GB2312" w:eastAsia="仿宋_GB2312"/>
                      <w:sz w:val="24"/>
                      <w:color w:val="000000"/>
                    </w:rPr>
                    <w:t>。为使项目按质、按量、按时及有序实施，项目服务单位应建立完善、稳定的项目团队、内部组织管理方式及管理机构、协调机制、技术基础、支撑保障及其他相关要求。在机制保障方面，牵头成立总体统筹组，并在总体统筹组领导下成立内容研制、技术支持、媒体传播、选手运营、专家运营、嘉宾保障、会务保障等各实施小组。在项目</w:t>
                  </w:r>
                </w:p>
                <w:p>
                  <w:pPr>
                    <w:pStyle w:val="null3"/>
                    <w:jc w:val="left"/>
                  </w:pPr>
                  <w:r>
                    <w:rPr>
                      <w:rFonts w:ascii="仿宋_GB2312" w:hAnsi="仿宋_GB2312" w:cs="仿宋_GB2312" w:eastAsia="仿宋_GB2312"/>
                      <w:sz w:val="24"/>
                      <w:color w:val="000000"/>
                    </w:rPr>
                    <w:t>日常管理和条件保障方面，从行政组织、后勤保障和支撑条件各方面创造良好的服务环境，确保项目的顺利实施。</w:t>
                  </w:r>
                </w:p>
                <w:p>
                  <w:pPr>
                    <w:pStyle w:val="null3"/>
                    <w:jc w:val="left"/>
                  </w:pPr>
                  <w:r>
                    <w:rPr>
                      <w:rFonts w:ascii="仿宋_GB2312" w:hAnsi="仿宋_GB2312" w:cs="仿宋_GB2312" w:eastAsia="仿宋_GB2312"/>
                      <w:sz w:val="24"/>
                      <w:b/>
                      <w:color w:val="000000"/>
                    </w:rPr>
                    <w:t>3.沟通管理。</w:t>
                  </w:r>
                  <w:r>
                    <w:rPr>
                      <w:rFonts w:ascii="仿宋_GB2312" w:hAnsi="仿宋_GB2312" w:cs="仿宋_GB2312" w:eastAsia="仿宋_GB2312"/>
                      <w:sz w:val="24"/>
                      <w:color w:val="000000"/>
                    </w:rPr>
                    <w:t>项目服务单位应制定详细的沟通计划，建立工作汇报机制和问题反馈机制，确定工作沟通对接人，定期向省数据和政务服务局提交工作情况报告，常态化汇报日常工作进展、存在的问题及下一步工作计划，并就专项工作形成工作专报，呈送各业务处室和相关领导。根据工作需要，及时汇报重大事项和紧急事项。</w:t>
                  </w:r>
                </w:p>
                <w:p>
                  <w:pPr>
                    <w:pStyle w:val="null3"/>
                    <w:jc w:val="left"/>
                  </w:pPr>
                  <w:r>
                    <w:rPr>
                      <w:rFonts w:ascii="仿宋_GB2312" w:hAnsi="仿宋_GB2312" w:cs="仿宋_GB2312" w:eastAsia="仿宋_GB2312"/>
                      <w:sz w:val="24"/>
                      <w:b/>
                      <w:color w:val="000000"/>
                    </w:rPr>
                    <w:t>4.文档管理。</w:t>
                  </w:r>
                  <w:r>
                    <w:rPr>
                      <w:rFonts w:ascii="仿宋_GB2312" w:hAnsi="仿宋_GB2312" w:cs="仿宋_GB2312" w:eastAsia="仿宋_GB2312"/>
                      <w:sz w:val="24"/>
                      <w:color w:val="000000"/>
                    </w:rPr>
                    <w:t>项目服务单位应在项目服务期内，将本项目所有文档、资料汇集成册交付给采购人，所有文件要求用中文书写或有完整的中文注释。包括验收报告、评审记录、比赛照片和视频等。</w:t>
                  </w:r>
                </w:p>
                <w:p>
                  <w:pPr>
                    <w:pStyle w:val="null3"/>
                    <w:jc w:val="left"/>
                  </w:pPr>
                  <w:r>
                    <w:rPr>
                      <w:rFonts w:ascii="仿宋_GB2312" w:hAnsi="仿宋_GB2312" w:cs="仿宋_GB2312" w:eastAsia="仿宋_GB2312"/>
                      <w:sz w:val="24"/>
                      <w:b/>
                      <w:color w:val="000000"/>
                    </w:rPr>
                    <w:t>5.质量管理。</w:t>
                  </w:r>
                  <w:r>
                    <w:rPr>
                      <w:rFonts w:ascii="仿宋_GB2312" w:hAnsi="仿宋_GB2312" w:cs="仿宋_GB2312" w:eastAsia="仿宋_GB2312"/>
                      <w:sz w:val="24"/>
                      <w:color w:val="000000"/>
                    </w:rPr>
                    <w:t>项目服务单位应建立项目质量管理体系，包括但不限于质量目标、质量指标、岗位责任、问题处理计划、质量评价、整改完善等内容，并建立奖惩制度。</w:t>
                  </w:r>
                </w:p>
                <w:p>
                  <w:pPr>
                    <w:pStyle w:val="null3"/>
                    <w:jc w:val="left"/>
                  </w:pPr>
                  <w:r>
                    <w:rPr>
                      <w:rFonts w:ascii="仿宋_GB2312" w:hAnsi="仿宋_GB2312" w:cs="仿宋_GB2312" w:eastAsia="仿宋_GB2312"/>
                      <w:sz w:val="24"/>
                      <w:b/>
                      <w:color w:val="000000"/>
                    </w:rPr>
                    <w:t>6.费用管理。</w:t>
                  </w:r>
                  <w:r>
                    <w:rPr>
                      <w:rFonts w:ascii="仿宋_GB2312" w:hAnsi="仿宋_GB2312" w:cs="仿宋_GB2312" w:eastAsia="仿宋_GB2312"/>
                      <w:sz w:val="24"/>
                      <w:color w:val="000000"/>
                    </w:rPr>
                    <w:t>项目服务单位应制定资金使用计划，按照节俭办会原则，在项目资金使用过程中厉行节俭、防止损失浪费。</w:t>
                  </w:r>
                </w:p>
                <w:p>
                  <w:pPr>
                    <w:pStyle w:val="null3"/>
                    <w:jc w:val="left"/>
                  </w:pPr>
                  <w:r>
                    <w:rPr>
                      <w:rFonts w:ascii="仿宋_GB2312" w:hAnsi="仿宋_GB2312" w:cs="仿宋_GB2312" w:eastAsia="仿宋_GB2312"/>
                      <w:sz w:val="24"/>
                      <w:b/>
                      <w:color w:val="000000"/>
                    </w:rPr>
                    <w:t>7.验收管理。</w:t>
                  </w:r>
                  <w:r>
                    <w:rPr>
                      <w:rFonts w:ascii="仿宋_GB2312" w:hAnsi="仿宋_GB2312" w:cs="仿宋_GB2312" w:eastAsia="仿宋_GB2312"/>
                      <w:sz w:val="24"/>
                      <w:color w:val="000000"/>
                    </w:rPr>
                    <w:t>项目验收按照陕西省数据和政务服务局项目验收的有关规定执行，验收依据包括：合同、招标文件、投标文件明确的服务内容；成果汇总：形成大赛的整体成果报告，以及本方案要求的交付成果。</w:t>
                  </w:r>
                </w:p>
                <w:p>
                  <w:pPr>
                    <w:pStyle w:val="null3"/>
                    <w:jc w:val="left"/>
                  </w:pPr>
                  <w:r>
                    <w:rPr>
                      <w:rFonts w:ascii="仿宋_GB2312" w:hAnsi="仿宋_GB2312" w:cs="仿宋_GB2312" w:eastAsia="仿宋_GB2312"/>
                      <w:sz w:val="24"/>
                      <w:color w:val="000000"/>
                    </w:rPr>
                    <w:t>（三）成果归属</w:t>
                  </w:r>
                </w:p>
                <w:p>
                  <w:pPr>
                    <w:pStyle w:val="null3"/>
                    <w:jc w:val="left"/>
                  </w:pPr>
                  <w:r>
                    <w:rPr>
                      <w:rFonts w:ascii="仿宋_GB2312" w:hAnsi="仿宋_GB2312" w:cs="仿宋_GB2312" w:eastAsia="仿宋_GB2312"/>
                      <w:sz w:val="24"/>
                      <w:color w:val="000000"/>
                    </w:rPr>
                    <w:t>1.陕西分赛赛事平台中的数据所有权及由数据产生的服务成果的知识产权归政府所有。</w:t>
                  </w:r>
                </w:p>
                <w:p>
                  <w:pPr>
                    <w:pStyle w:val="null3"/>
                    <w:jc w:val="left"/>
                  </w:pPr>
                  <w:r>
                    <w:rPr>
                      <w:rFonts w:ascii="仿宋_GB2312" w:hAnsi="仿宋_GB2312" w:cs="仿宋_GB2312" w:eastAsia="仿宋_GB2312"/>
                      <w:sz w:val="24"/>
                      <w:color w:val="000000"/>
                    </w:rPr>
                    <w:t>2.陕西分赛赛事平台应是自行开发的产品或具备合法、合规授权，满足知识产权等方面的有关规定和要求，不存在任何侵犯第三方专利权、商标权、著作权等合法权益。</w:t>
                  </w:r>
                </w:p>
                <w:p>
                  <w:pPr>
                    <w:pStyle w:val="null3"/>
                    <w:jc w:val="left"/>
                  </w:pPr>
                  <w:r>
                    <w:rPr>
                      <w:rFonts w:ascii="仿宋_GB2312" w:hAnsi="仿宋_GB2312" w:cs="仿宋_GB2312" w:eastAsia="仿宋_GB2312"/>
                      <w:sz w:val="24"/>
                      <w:color w:val="000000"/>
                    </w:rPr>
                    <w:t>（四）保密要求</w:t>
                  </w:r>
                </w:p>
                <w:p>
                  <w:pPr>
                    <w:pStyle w:val="null3"/>
                    <w:jc w:val="left"/>
                  </w:pPr>
                  <w:r>
                    <w:rPr>
                      <w:rFonts w:ascii="仿宋_GB2312" w:hAnsi="仿宋_GB2312" w:cs="仿宋_GB2312" w:eastAsia="仿宋_GB2312"/>
                      <w:sz w:val="24"/>
                      <w:color w:val="000000"/>
                    </w:rPr>
                    <w:t>项目执行过程中涉及到的参赛数据、评审情况等敏感信息，需要制定严格的保密工作制度，主要包括：</w:t>
                  </w:r>
                </w:p>
                <w:p>
                  <w:pPr>
                    <w:pStyle w:val="null3"/>
                    <w:jc w:val="left"/>
                  </w:pPr>
                  <w:r>
                    <w:rPr>
                      <w:rFonts w:ascii="仿宋_GB2312" w:hAnsi="仿宋_GB2312" w:cs="仿宋_GB2312" w:eastAsia="仿宋_GB2312"/>
                      <w:sz w:val="24"/>
                      <w:color w:val="000000"/>
                    </w:rPr>
                    <w:t>1.项目服务单位应签订保密协议，对其因身份、职务、职业或技术关系而知悉的非公开企业信息、项目信息、专家信息等应严格保守，保证不被披露或使用，包括意外或过失。</w:t>
                  </w:r>
                </w:p>
                <w:p>
                  <w:pPr>
                    <w:pStyle w:val="null3"/>
                    <w:jc w:val="left"/>
                  </w:pPr>
                  <w:r>
                    <w:rPr>
                      <w:rFonts w:ascii="仿宋_GB2312" w:hAnsi="仿宋_GB2312" w:cs="仿宋_GB2312" w:eastAsia="仿宋_GB2312"/>
                      <w:sz w:val="24"/>
                      <w:color w:val="000000"/>
                    </w:rPr>
                    <w:t>2.项目服务单位不得以竞争为目的、或出于私利、或为第三人谋利而擅自保存、披露、使用非公开的企业信息、项目信息、专家信息；未经允许，不得直接或间接地向无关人员泄露参赛、评审及专家相关信息。</w:t>
                  </w:r>
                </w:p>
                <w:p>
                  <w:pPr>
                    <w:pStyle w:val="null3"/>
                    <w:jc w:val="left"/>
                  </w:pPr>
                  <w:r>
                    <w:rPr>
                      <w:rFonts w:ascii="仿宋_GB2312" w:hAnsi="仿宋_GB2312" w:cs="仿宋_GB2312" w:eastAsia="仿宋_GB2312"/>
                      <w:sz w:val="24"/>
                      <w:color w:val="000000"/>
                    </w:rPr>
                    <w:t>3.项目服务单位及其工作人员对于工作期间接触到的政府机关文件（包括内部发文、各类通知及会议记录等）的内容，同样承担保密责任，严禁将政府机关内部会议、谈话内容泄露给无关人员；不得翻阅与工作无关的文件和资料。</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大赛结束评出获奖项目（以官网公示为准）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成交通知书时，提交纸质谈判响应文件正本壹份、副本贰份、电子版壹份（U盘壹份注明单位名称）编辑目录和页码，内容和通过电子化交易平台实施的政府采购项目提交的谈判响应文件一致。纸质谈判响应文件正副本分别胶装（谈判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供应商须为中小企业，并提供中小企业声明函。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供应商应提交的相关资格证明材料.docx 残疾人福利性单位声明函 标的清单 响应报价表.docx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供应商应提交的相关资格证明材料.docx 残疾人福利性单位声明函 标的清单 响应报价表.docx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响应文件封面 响应函 商务条款响应说明.docx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响应文件封面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供应商应提交的相关资格证明材料.docx 残疾人福利性单位声明函 标的清单 响应报价表.docx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针对本项目提出适用于本项目的方案，方案包括但不限于项目理解，需求分析，项目重难点分析等。 1、方案科学合理，先进，可操作性强，针对性强，计6.1-9分； 2、方案较明确，有较好的可操作性，计3.1-6分； 3、方案可操作性较差，计0.1-3分；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针对本项目提出适用于本项目的方案。 1、方案科学合理，先进，可操作性强，针对性强，针对性强，计12.1-18分； 2、方案较明确，有较好的可操作性，能基本满足本项目需求，计8.1-12分； 3、方案基本完善，未充分结合项目特点，针对性一般计4.1-8分； 4、方案内容简单，可行性较差计，计0.1-4分； 5、未提供不计分。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针对活动的宣传方案，着重介绍活动宣传效果、宣传范围、宣传媒介及宣传内容等。1、方案科学合理，可操作性强，针对性强，完全满足本项目需求的，计7.1-10分； 2、方案较明确，有较好的可操作性，能基本满足本项目需求的，计3.1-7分； 3、方案内容简单，可行性较差计0.1-3分；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针对本项目提供详细的人员配备包括但不限于有针对本项目的专业服务团队，人员配备数量充足；人员组织结构合理，有明确的岗位职责。 1、项目人员专业性强，职责分工明确、结构安排合理，工作经验丰富，计7.1-10分； 2、项目人员专业性较强，职责分工较明确、结构安排基本合理，工作经验较丰富，计5.1-7分； 3、项目人员专业性一般，职责分工及结构安排一般，工作经验一般，计3.1-5分； 4、人员职责分工及结构安排混乱，工作经验欠缺，计0.1-3分。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针对采购需求提出适用于本项目的措施方案，方案包括但不限于质量保证措施，进度控制措施，安全管理制度等。 1、方案科学合理，先进，可操作性强，针对性强，针对性强，计12.1-18分； 2、方案较明确，有较好的可操作性，能基本满足本项目需求，计8.1-12分； 3、方案基本完善，未充分结合项目特点，针对性一般计4.1-8分； 4、方案内容简单，可行性较差计，计0.1-4分； 5、未提供不计分。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至今类似项目业绩，以供应商提供的合同或中标（成交）通知书复印件（或扫描件）为准（日期以合同签订时间或中标（成交）通知书时间为准），每提供一份得2分，满分8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针对项目提供应急处理方案。内容包含但不限于因特殊紧急情况时限响应方案、有特殊的应急服务方案及补救措施等。 1、方案科学合理，先进，可操作性强，针对性强，针对性强，计9.1-12分； 2、方案较明确，有较好的可操作性，能基本满足本项目需求，计6.1-9分； 3、方案基本完善，未充分结合项目特点，针对性一般计3.1-6分； 4、方案内容简单，可行性较差计，计0.1-3分； 5、未提供不计分。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对本项目服务工作中的常见问题进行梳理，具有良好的解决方案并及时向采购人提出合理化建议，每提供一条可行性建议得1分，满分5分。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