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版本号：SCZD2025-CS-0745-00120250725001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精神及老残病犯监区改造工程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SCZD2025-CS-0745-001</w:t>
      </w:r>
      <w:r>
        <w:br/>
      </w:r>
      <w:r>
        <w:br/>
      </w:r>
      <w:r>
        <w:br/>
      </w:r>
    </w:p>
    <w:p>
      <w:pPr>
        <w:pStyle w:val="null3"/>
        <w:jc w:val="center"/>
        <w:outlineLvl w:val="2"/>
      </w:pPr>
      <w:r>
        <w:rPr>
          <w:rFonts w:ascii="仿宋_GB2312" w:hAnsi="仿宋_GB2312" w:cs="仿宋_GB2312" w:eastAsia="仿宋_GB2312"/>
          <w:sz w:val="28"/>
          <w:b/>
        </w:rPr>
        <w:t>陕西省曲江监狱</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陕西省曲江监狱</w:t>
      </w:r>
      <w:r>
        <w:rPr>
          <w:rFonts w:ascii="仿宋_GB2312" w:hAnsi="仿宋_GB2312" w:cs="仿宋_GB2312" w:eastAsia="仿宋_GB2312"/>
        </w:rPr>
        <w:t>委托，拟对</w:t>
      </w:r>
      <w:r>
        <w:rPr>
          <w:rFonts w:ascii="仿宋_GB2312" w:hAnsi="仿宋_GB2312" w:cs="仿宋_GB2312" w:eastAsia="仿宋_GB2312"/>
        </w:rPr>
        <w:t>精神及老残病犯监区改造工程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SCZD2025-CS-0745-001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精神及老残病犯监区改造工程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精神及老残病犯监区改造工程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2、法定代表人/单位负责人身份证明书、授权委托书及授权代表在本单位缴纳养老保险证明：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4、信用信息：供应商未被列入“信用中国”网站(www.creditchina.gov.cn)“失信被执行人或重大税收违法失信主体或政府采购严重违法失信行为”记录名单；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p>
      <w:pPr>
        <w:pStyle w:val="null3"/>
      </w:pPr>
      <w:r>
        <w:rPr>
          <w:rFonts w:ascii="仿宋_GB2312" w:hAnsi="仿宋_GB2312" w:cs="仿宋_GB2312" w:eastAsia="仿宋_GB2312"/>
        </w:rPr>
        <w:t>5、施工资质：供应商具备建筑装修装饰工程专业承包二级及以上资质，同时提供有效期内的安全生产许可证。</w:t>
      </w:r>
    </w:p>
    <w:p>
      <w:pPr>
        <w:pStyle w:val="null3"/>
      </w:pPr>
      <w:r>
        <w:rPr>
          <w:rFonts w:ascii="仿宋_GB2312" w:hAnsi="仿宋_GB2312" w:cs="仿宋_GB2312" w:eastAsia="仿宋_GB2312"/>
        </w:rPr>
        <w:t>6、项目经理资质：拟投入的项目经理须提供贰级（含贰级）以上建筑工程类注册建造师证书及安全生产考核合格证（B证），且无其他在建工程（提供无在建工程的承诺函）。</w:t>
      </w:r>
    </w:p>
    <w:p>
      <w:pPr>
        <w:pStyle w:val="null3"/>
      </w:pPr>
      <w:r>
        <w:rPr>
          <w:rFonts w:ascii="仿宋_GB2312" w:hAnsi="仿宋_GB2312" w:cs="仿宋_GB2312" w:eastAsia="仿宋_GB2312"/>
        </w:rPr>
        <w:t>7、陕西省建筑市场监管与诚信信息一体化平台：供应商和拟派项目经理基本信息在“全国建筑市场监管公共服务平台”可查询且无不良记录；外省进陕企业同时提供陕西省住房和城乡建设厅官网企业库外省进陕企业信息首页截图。</w:t>
      </w:r>
    </w:p>
    <w:p>
      <w:pPr>
        <w:pStyle w:val="null3"/>
      </w:pPr>
      <w:r>
        <w:rPr>
          <w:rFonts w:ascii="仿宋_GB2312" w:hAnsi="仿宋_GB2312" w:cs="仿宋_GB2312" w:eastAsia="仿宋_GB2312"/>
        </w:rPr>
        <w:t>8、法律、行政法规规定的其他条件：不存在违反法律法规的情况</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陕西省曲江监狱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西安市长安区引镇街道南留村大西安监狱</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陕西省曲江监狱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029-82235896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胡梦阳、雷鹏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银行账号：102461558581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代理服务费收费标准：代理服务费收费标准：代理服务费用收取对象：中标/成交供应商 代理服务费收费标准：委托人与受托人约定：中标服务费参照《国家计委关于印发&lt;招标代理服务收费管理暂行办法&gt;的通知》（计价格【2002】1980号）规定标准收取，计费基价以中标（成交）价为准。 工程造价咨询费：参照陕西省物价局和陕西省住房和城乡建设厅《关于我省工程造价咨询服务收费标准有关问题的通知》（陕价行发[2014]88号）的规定收取，计费基价以工程造价为准。 委托人与受托人约定：代理服务费及造价咨询费由中标（成交）供应商支付。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踏勘时间：2025-08-04 14:00:00</w:t>
            </w:r>
          </w:p>
          <w:p>
            <w:pPr>
              <w:pStyle w:val="null3"/>
              <w:ind w:firstLine="975"/>
            </w:pPr>
            <w:r>
              <w:rPr>
                <w:rFonts w:ascii="仿宋_GB2312" w:hAnsi="仿宋_GB2312" w:cs="仿宋_GB2312" w:eastAsia="仿宋_GB2312"/>
              </w:rPr>
              <w:t>踏勘地点：陕西省曲江监狱</w:t>
            </w:r>
          </w:p>
          <w:p>
            <w:pPr>
              <w:pStyle w:val="null3"/>
              <w:ind w:firstLine="975"/>
            </w:pPr>
            <w:r>
              <w:rPr>
                <w:rFonts w:ascii="仿宋_GB2312" w:hAnsi="仿宋_GB2312" w:cs="仿宋_GB2312" w:eastAsia="仿宋_GB2312"/>
              </w:rPr>
              <w:t>联系人：孔老师</w:t>
            </w:r>
          </w:p>
          <w:p>
            <w:pPr>
              <w:pStyle w:val="null3"/>
              <w:ind w:firstLine="975"/>
            </w:pPr>
            <w:r>
              <w:rPr>
                <w:rFonts w:ascii="仿宋_GB2312" w:hAnsi="仿宋_GB2312" w:cs="仿宋_GB2312" w:eastAsia="仿宋_GB2312"/>
              </w:rPr>
              <w:t>联系电话号码：15619505860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陕西省曲江监狱</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陕西省曲江监狱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陕西省曲江监狱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784,355.01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一、工程概况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、工程名称：陕西省曲江监狱精神及老残病犯监区改造工程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、工程地址：陕西省西安市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、建设单位：陕西省曲江监狱</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、设计单位：陕西益秦建筑设计有限责任公司</w:t>
            </w:r>
          </w:p>
          <w:p>
            <w:pPr>
              <w:pStyle w:val="null3"/>
              <w:jc w:val="both"/>
            </w:pPr>
            <w:r>
              <w:rPr>
                <w:rFonts w:ascii="仿宋_GB2312" w:hAnsi="仿宋_GB2312" w:cs="仿宋_GB2312" w:eastAsia="仿宋_GB2312"/>
                <w:sz w:val="21"/>
              </w:rPr>
              <w:t>二、工程招标</w:t>
            </w:r>
          </w:p>
          <w:p>
            <w:pPr>
              <w:pStyle w:val="null3"/>
              <w:jc w:val="both"/>
            </w:pPr>
            <w:r>
              <w:rPr>
                <w:rFonts w:ascii="仿宋_GB2312" w:hAnsi="仿宋_GB2312" w:cs="仿宋_GB2312" w:eastAsia="仿宋_GB2312"/>
                <w:sz w:val="21"/>
              </w:rPr>
              <w:t>（一）工程招标范围</w:t>
            </w:r>
          </w:p>
          <w:p>
            <w:pPr>
              <w:pStyle w:val="null3"/>
              <w:jc w:val="both"/>
            </w:pPr>
            <w:r>
              <w:rPr>
                <w:rFonts w:ascii="仿宋_GB2312" w:hAnsi="仿宋_GB2312" w:cs="仿宋_GB2312" w:eastAsia="仿宋_GB2312"/>
                <w:sz w:val="21"/>
              </w:rPr>
              <w:t>本项目工程招标范围包括装饰装修改造、电气工程、给排水工程等。具体编制范围及界面划分说明如下：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装饰装修改造</w:t>
            </w:r>
          </w:p>
          <w:p>
            <w:pPr>
              <w:pStyle w:val="null3"/>
              <w:jc w:val="both"/>
            </w:pPr>
            <w:r>
              <w:rPr>
                <w:rFonts w:ascii="仿宋_GB2312" w:hAnsi="仿宋_GB2312" w:cs="仿宋_GB2312" w:eastAsia="仿宋_GB2312"/>
                <w:sz w:val="21"/>
              </w:rPr>
              <w:t>包含装饰装修改造图纸范围内的所有内容。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电气工程</w:t>
            </w:r>
          </w:p>
          <w:p>
            <w:pPr>
              <w:pStyle w:val="null3"/>
              <w:jc w:val="both"/>
            </w:pPr>
            <w:r>
              <w:rPr>
                <w:rFonts w:ascii="仿宋_GB2312" w:hAnsi="仿宋_GB2312" w:cs="仿宋_GB2312" w:eastAsia="仿宋_GB2312"/>
                <w:sz w:val="21"/>
              </w:rPr>
              <w:t>包含电气改造图纸范围内的所有改造内容。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给水排水工程</w:t>
            </w:r>
          </w:p>
          <w:p>
            <w:pPr>
              <w:pStyle w:val="null3"/>
              <w:jc w:val="both"/>
            </w:pPr>
            <w:r>
              <w:rPr>
                <w:rFonts w:ascii="仿宋_GB2312" w:hAnsi="仿宋_GB2312" w:cs="仿宋_GB2312" w:eastAsia="仿宋_GB2312"/>
                <w:sz w:val="21"/>
              </w:rPr>
              <w:t>包含给水排水图纸范围内的所有改造内容。</w:t>
            </w:r>
          </w:p>
          <w:p>
            <w:pPr>
              <w:pStyle w:val="null3"/>
              <w:jc w:val="both"/>
            </w:pPr>
            <w:r>
              <w:rPr>
                <w:rFonts w:ascii="仿宋_GB2312" w:hAnsi="仿宋_GB2312" w:cs="仿宋_GB2312" w:eastAsia="仿宋_GB2312"/>
                <w:sz w:val="21"/>
              </w:rPr>
              <w:t>三、工程量清单编制依据</w:t>
            </w:r>
          </w:p>
          <w:p>
            <w:pPr>
              <w:pStyle w:val="null3"/>
              <w:jc w:val="both"/>
            </w:pPr>
            <w:r>
              <w:rPr>
                <w:rFonts w:ascii="仿宋_GB2312" w:hAnsi="仿宋_GB2312" w:cs="仿宋_GB2312" w:eastAsia="仿宋_GB2312"/>
                <w:sz w:val="21"/>
              </w:rPr>
              <w:t>（一）陕西省现行工程量清单编制依据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《房屋建筑与装饰工程工程量计算标准》（</w:t>
            </w:r>
            <w:r>
              <w:rPr>
                <w:rFonts w:ascii="仿宋_GB2312" w:hAnsi="仿宋_GB2312" w:cs="仿宋_GB2312" w:eastAsia="仿宋_GB2312"/>
                <w:sz w:val="21"/>
              </w:rPr>
              <w:t>DB 61/T 5129-2025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《通用安装工程工程量计算标准》（</w:t>
            </w:r>
            <w:r>
              <w:rPr>
                <w:rFonts w:ascii="仿宋_GB2312" w:hAnsi="仿宋_GB2312" w:cs="仿宋_GB2312" w:eastAsia="仿宋_GB2312"/>
                <w:sz w:val="21"/>
              </w:rPr>
              <w:t>DB 61/T 5130-2025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（二）建设主管部门颁发的计价依据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《建设工程工程量清单计价标准》（</w:t>
            </w:r>
            <w:r>
              <w:rPr>
                <w:rFonts w:ascii="仿宋_GB2312" w:hAnsi="仿宋_GB2312" w:cs="仿宋_GB2312" w:eastAsia="仿宋_GB2312"/>
                <w:sz w:val="21"/>
              </w:rPr>
              <w:t>GB/T 50500-2024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《建设工程工程量清单计价标准》（</w:t>
            </w:r>
            <w:r>
              <w:rPr>
                <w:rFonts w:ascii="仿宋_GB2312" w:hAnsi="仿宋_GB2312" w:cs="仿宋_GB2312" w:eastAsia="仿宋_GB2312"/>
                <w:sz w:val="21"/>
              </w:rPr>
              <w:t>DB 61/T 5126-2025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《陕西省建设工程费用规则》（</w:t>
            </w:r>
            <w:r>
              <w:rPr>
                <w:rFonts w:ascii="仿宋_GB2312" w:hAnsi="仿宋_GB2312" w:cs="仿宋_GB2312" w:eastAsia="仿宋_GB2312"/>
                <w:sz w:val="21"/>
              </w:rPr>
              <w:t>2025</w:t>
            </w:r>
            <w:r>
              <w:rPr>
                <w:rFonts w:ascii="仿宋_GB2312" w:hAnsi="仿宋_GB2312" w:cs="仿宋_GB2312" w:eastAsia="仿宋_GB2312"/>
                <w:sz w:val="21"/>
              </w:rPr>
              <w:t>） 。</w:t>
            </w:r>
          </w:p>
          <w:p>
            <w:pPr>
              <w:pStyle w:val="null3"/>
              <w:jc w:val="both"/>
            </w:pPr>
            <w:r>
              <w:rPr>
                <w:rFonts w:ascii="仿宋_GB2312" w:hAnsi="仿宋_GB2312" w:cs="仿宋_GB2312" w:eastAsia="仿宋_GB2312"/>
                <w:sz w:val="21"/>
              </w:rPr>
              <w:t>（三）设计文件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建设单位提供的“陕西省曲江监狱精神及老残病犯监区改造工程项目”图纸；</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设计单位对于图纸疑问的书面回复，详见附件一回复。</w:t>
            </w:r>
          </w:p>
          <w:p>
            <w:pPr>
              <w:pStyle w:val="null3"/>
              <w:jc w:val="both"/>
            </w:pPr>
            <w:r>
              <w:rPr>
                <w:rFonts w:ascii="仿宋_GB2312" w:hAnsi="仿宋_GB2312" w:cs="仿宋_GB2312" w:eastAsia="仿宋_GB2312"/>
                <w:sz w:val="21"/>
              </w:rPr>
              <w:t>（四）其他编制依据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建设单位对于招标范围疑问的回复，详见附件一回复；</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与建设工程有关的标准、规范及技术资料；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施工现场情况、地勘水文资料、工程特点及施工方案。</w:t>
            </w:r>
          </w:p>
          <w:p>
            <w:pPr>
              <w:pStyle w:val="null3"/>
              <w:jc w:val="both"/>
            </w:pPr>
            <w:r>
              <w:rPr>
                <w:rFonts w:ascii="仿宋_GB2312" w:hAnsi="仿宋_GB2312" w:cs="仿宋_GB2312" w:eastAsia="仿宋_GB2312"/>
                <w:sz w:val="21"/>
              </w:rPr>
              <w:t>四、工程质量、材料、施工等的说明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．混凝土采用预拌混凝土。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．砂浆采用预拌砂浆。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．石灰采用熟石灰。</w:t>
            </w:r>
          </w:p>
          <w:p>
            <w:pPr>
              <w:pStyle w:val="null3"/>
              <w:jc w:val="both"/>
            </w:pPr>
            <w:r>
              <w:rPr>
                <w:rFonts w:ascii="仿宋_GB2312" w:hAnsi="仿宋_GB2312" w:cs="仿宋_GB2312" w:eastAsia="仿宋_GB2312"/>
                <w:sz w:val="21"/>
              </w:rPr>
              <w:t>五、其他需要说明的问题</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、一层、二层卫生间顶棚铝扣板局部修缮仅考虑面板修缮。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、轻质条板隔墙下考虑</w:t>
            </w:r>
            <w:r>
              <w:rPr>
                <w:rFonts w:ascii="仿宋_GB2312" w:hAnsi="仿宋_GB2312" w:cs="仿宋_GB2312" w:eastAsia="仿宋_GB2312"/>
                <w:sz w:val="21"/>
              </w:rPr>
              <w:t>200mm</w:t>
            </w:r>
            <w:r>
              <w:rPr>
                <w:rFonts w:ascii="仿宋_GB2312" w:hAnsi="仿宋_GB2312" w:cs="仿宋_GB2312" w:eastAsia="仿宋_GB2312"/>
                <w:sz w:val="21"/>
              </w:rPr>
              <w:t>宽地砖拆除。</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、原有乳胶漆铲除墙面上的踢脚考虑铲除重做。</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、约束保护间蹲台处墙面瓷砖贴至宽出蹲台</w:t>
            </w:r>
            <w:r>
              <w:rPr>
                <w:rFonts w:ascii="仿宋_GB2312" w:hAnsi="仿宋_GB2312" w:cs="仿宋_GB2312" w:eastAsia="仿宋_GB2312"/>
                <w:sz w:val="21"/>
              </w:rPr>
              <w:t>200mm</w:t>
            </w:r>
            <w:r>
              <w:rPr>
                <w:rFonts w:ascii="仿宋_GB2312" w:hAnsi="仿宋_GB2312" w:cs="仿宋_GB2312" w:eastAsia="仿宋_GB2312"/>
                <w:sz w:val="21"/>
              </w:rPr>
              <w:t>处。</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层走廊区域及卫生间、盥洗间、开水间增加不锈钢栏栅门。</w:t>
            </w:r>
          </w:p>
          <w:p>
            <w:pPr>
              <w:pStyle w:val="null3"/>
              <w:jc w:val="both"/>
            </w:pPr>
            <w:r>
              <w:rPr>
                <w:rFonts w:ascii="仿宋_GB2312" w:hAnsi="仿宋_GB2312" w:cs="仿宋_GB2312" w:eastAsia="仿宋_GB2312"/>
                <w:sz w:val="21"/>
              </w:rPr>
              <w:t>六、投标人计价要求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．本工程暂列金</w:t>
            </w:r>
            <w:r>
              <w:rPr>
                <w:rFonts w:ascii="仿宋_GB2312" w:hAnsi="仿宋_GB2312" w:cs="仿宋_GB2312" w:eastAsia="仿宋_GB2312"/>
                <w:sz w:val="21"/>
              </w:rPr>
              <w:t>4</w:t>
            </w:r>
            <w:r>
              <w:rPr>
                <w:rFonts w:ascii="仿宋_GB2312" w:hAnsi="仿宋_GB2312" w:cs="仿宋_GB2312" w:eastAsia="仿宋_GB2312"/>
                <w:sz w:val="21"/>
              </w:rPr>
              <w:t>万元计入精神病与结核楼装饰装修工程的其他项目费中；</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投标人应将招标工程量清单与招标文件、清单计价标准、工程量计算标准、现行消耗量定额、费用计算规则、招标文件中的合同条款、图纸、与建设工程有关的标准、规范及技术资料、施工现场情况、工程特点及投标时拟定的施工组织设计或施工方案、投标工期等结合起来查阅、理解并进行报价；</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．凡招标人设定有材料暂估价的，各投标人须按规定计算；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．投标人应根据现场现有情况和招标文件等相关文件进行报价，清单未列明但投标人应当考虑的费用，需在措施费计价中进行考虑；</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．“工程量清单综合单价分析表”的综合单价与“分部分项工程项目清单计价表”、“措施项目清单计价表”的综合单价不一致时，应以“分部分项工程项目清单计价表”、“措施项目清单计价表”为准；</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清单项目特征描述的内容不可能涵盖图纸所有内容，只描述重点工序内容，投标人报价要充分参考招标文件、清单计价标准、工程量计算标准、设计图纸（含深化设计、专项设计）、施工规范、设计规范、业主需求等并结合现场情况综合考虑，进行综合单价的填报；</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．投标人投标总价应是所有的单位工程清单费用汇总表之合计，不允许采用汇总后优惠、打折的形式；</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承包人的临时占地（含预制厂、料厂、拌和站、借弃土场、项目部驻地等）租用费、临时用地的环保、恢复及所有临时性占地的青苗补偿及地面附着物发生的费用均由承包人负责；由于承包人原因引起工期延长、腾挪场地等造成承包人临时占地的租用费等增加由承包人负责。以上费用在投标报价中综合考虑，不再单独计列费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．本工程量清单采用广联达云计价平台</w:t>
            </w:r>
            <w:r>
              <w:rPr>
                <w:rFonts w:ascii="仿宋_GB2312" w:hAnsi="仿宋_GB2312" w:cs="仿宋_GB2312" w:eastAsia="仿宋_GB2312"/>
                <w:sz w:val="21"/>
              </w:rPr>
              <w:t>GCCP7.0</w:t>
            </w:r>
            <w:r>
              <w:rPr>
                <w:rFonts w:ascii="仿宋_GB2312" w:hAnsi="仿宋_GB2312" w:cs="仿宋_GB2312" w:eastAsia="仿宋_GB2312"/>
                <w:sz w:val="21"/>
              </w:rPr>
              <w:t>（</w:t>
            </w:r>
            <w:r>
              <w:rPr>
                <w:rFonts w:ascii="仿宋_GB2312" w:hAnsi="仿宋_GB2312" w:cs="仿宋_GB2312" w:eastAsia="仿宋_GB2312"/>
                <w:sz w:val="21"/>
              </w:rPr>
              <w:t>7.5000.23.1</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严格按照国家颁发的施工验收规范及工程设计图纸要求进行施工，工程质量应达到国家或专业质量检验评定标准的合格条件。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1、工期：工期要求30天。 2、施工地点：陕西省曲江监狱 ； 3、质量保修期: 根据《建设工程质量管理条例》及有关规定，工程的质量保修期如下： ①地基基础工程和主体结构工程为设计文件规定的工程合理使用年限； ②屋面防水工程、有防水要求的卫生间、房间和外墙面的防渗漏为 5 年； ③设备安装工程为 2 年； ④装修工程为 2 年； ⑤电气管线、给排水管道、设备安装工程为 2 年； ⑥其他项目保修期限约定如下：质量保修期自工程竣工验收合格之日起计算。 4、工程质量：合格。 5、采购资金的支付方式及时间： （1）合同签订后，发包人向承包人支付合同总金额的20%，（2）承包人完成工程量百分之五十并由监理方及发包人签字确认后，发包人向承包人支付合同总金额的20%，（3）工程竣工并通过验收后，发包人向承包人支付合同总金额的30%，（4）工程竣工结算外审通过后，发包人向承包人支付合同总金额的27%（以最终实际审计结果为准）；（5）剩余3%作为质保金，质保期满后无息退还。 6、其他要求：供应商协助完成该项目相关手续办理。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磋商保证金注意事项：（1）磋商保证金须从供应商户名支付，如从个人户名或非供应商户名支付，将被拒绝，视为自动放弃投标权利（该个人是供应商的情形除外）；以保函形式交纳磋商保证金的，供应商应在磋商截止时间前将保函扫描成清晰的PDF文件，发送至邮箱1030410958@qq.com（邮件命名：项目编号），并将保函原件单独递交至代理机构财务；供应商应在响应文件中附保函复印件。保函必须由具有开具投标保函资格的单位开具；若供应商违约，开具保函单位承担 连带责任；（2）磋商保证金的提交金额、时间不满足磋商文件要求的，响应无效；（3）磋商保证金以采购代理机构到账凭证为准，供应商无需更换缴纳凭证，由采购代理机构统一提供。（4）未按指定账户提交的，我公司将退回，供应商须在文件递交截止时间前按照指定账户再次提交。 2、 踏勘注意事项：（1）请各供应商在踏勘时间前，将踏勘人员姓名及手机号码发送至代理机构邮箱（1030410958@qq.com）；（2）供应商因自身原因未按时进行现场踏勘，而导致的任何风险，由供应商自行承担；（3）凡因对施工现场、施工环境、市场行情等了解不清而造成的后果和风险，由供应商自行承担；（4）踏勘相关费用及安全由供应商自行承担；（5）踏勘时各供应商有疑问可以在现场提出，由采购人当场解答，否则视为供应商再无疑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 2、依法缴纳税收的证明材料（1）供应商应提供磋商截止时间前六个月中任何一个月缴税凭证，时间以税款所属时期为准（银行出具的缴税凭证或税务机关出具的证明的复印件，并加盖本单位公章）。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递交响应文件截止时间前六个月中至少一个月的缴纳社会保险的凭据（专用收据或社会保险缴纳清单），并加盖本单位公章。（2）凭证复印件须清晰可辨，并能显示出供应商名称和所缴纳的社保的种类。（3）依法不需要缴纳社会保障资金的，应提供相应文件说明其依法不需要缴纳的证明材料复印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投标的，应提供法定代表人或单位负责人身份证明；（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 （以采购代理机构于递交投标文件截止时间当天进行资格审查时在“信用中国”网站（www.creditchina.gov.cn）及中国政府采购网(www.ccgp.gov.cn)查询结果为准）。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供应商具备建筑装修装饰工程专业承包二级及以上资质，同时提供有效期内的安全生产许可证。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拟投入的项目经理须提供贰级（含贰级）以上建筑工程类注册建造师证书及安全生产考核合格证（B证），且无其他在建工程（提供无在建工程的承诺函）。</w:t>
            </w:r>
          </w:p>
        </w:tc>
        <w:tc>
          <w:tcPr>
            <w:tcW w:type="dxa" w:w="1661"/>
          </w:tcPr>
          <w:p>
            <w:pPr>
              <w:pStyle w:val="null3"/>
            </w:pPr>
            <w:r>
              <w:rPr>
                <w:rFonts w:ascii="仿宋_GB2312" w:hAnsi="仿宋_GB2312" w:cs="仿宋_GB2312" w:eastAsia="仿宋_GB2312"/>
              </w:rPr>
              <w:t>资格证明文件.docx 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陕西省建筑市场监管与诚信信息一体化平台</w:t>
            </w:r>
          </w:p>
        </w:tc>
        <w:tc>
          <w:tcPr>
            <w:tcW w:type="dxa" w:w="3322"/>
          </w:tcPr>
          <w:p>
            <w:pPr>
              <w:pStyle w:val="null3"/>
            </w:pPr>
            <w:r>
              <w:rPr>
                <w:rFonts w:ascii="仿宋_GB2312" w:hAnsi="仿宋_GB2312" w:cs="仿宋_GB2312" w:eastAsia="仿宋_GB2312"/>
              </w:rPr>
              <w:t>供应商和拟派项目经理基本信息在“全国建筑市场监管公共服务平台”可查询且无不良记录；外省进陕企业同时提供陕西省住房和城乡建设厅官网企业库外省进陕企业信息首页截图。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强制优先采购产品承诺函 响应方案.docx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强制优先采购产品承诺函 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响应内容不存在不符合采购文件规定情形，不存在采购档次降低或影响采购性能、功能的情形</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强制优先采购产品承诺函 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强制优先采购产品承诺函 响应方案.docx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不存在采购文件规定的响应无效条款的情形</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强制优先采购产品承诺函 响应方案.docx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施工方案总体说明</w:t>
            </w:r>
          </w:p>
        </w:tc>
        <w:tc>
          <w:tcPr>
            <w:tcW w:type="dxa" w:w="2492"/>
          </w:tcPr>
          <w:p>
            <w:pPr>
              <w:pStyle w:val="null3"/>
            </w:pPr>
            <w:r>
              <w:rPr>
                <w:rFonts w:ascii="仿宋_GB2312" w:hAnsi="仿宋_GB2312" w:cs="仿宋_GB2312" w:eastAsia="仿宋_GB2312"/>
              </w:rPr>
              <w:t>包括①施工准备②施工进度安排③施工方法④重点难点工程分析及解决措施⑤影响正常施工外在因素分析及对应预案等。 符合项目实际情况及实施要求，内容详尽且涵盖角度全面，合理性和可行性强，能够保障项目顺利实施的，得10分； 能够针对本项目编制，符合项目实际情况及实施要求，内容详尽且涵盖角度基本全面，有一定的合理性和可行性的，得7分；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包括①技术措施②质量保证措施③人员的管理④施工生产和进度安排等。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包括①安全生产责任制度②安全教育培训制度③安全生产管理机构，安全生产规章制度和操作规程等。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包括①施工噪音控制方案②尘粉飞扬控制方案③环境保护、环境卫生管理制度，建筑垃圾处理方案等。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包括①工期进度计划②资源管理等。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包括①施工方案②施工准备与资源配置计划③项目部人员组成方案，应急救援预案等。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包括①施工设备②试验、检测仪器设备③材料管理计划，降低成本的措施等。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包括①进度控制措施②施工网络图等。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包括①施工进度计划保证措施②劳工力安排计划③人员的管理等。 符合项目实际情况及实施要求，内容详尽且涵盖角度全面，合理性和可行性强，能够保障项目顺利实施的，得6分； 能够针对本项目编制，符合项目实际情况及实施要求，内容详尽且涵盖角度基本全面，有一定的合理性和可行性的，得5分； 具有方案内容但内容未贴合本项目，内容涵盖角度不够全面且实施有难度的，得4分； 具有方案内容但内容未针对本项目，内容空洞宽泛，基本不具有可实施性，得2分； 未提供方案内容不得分。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包括①施工现场平面布置图②临时设施解决方案③扰民问题解决措施。 符合项目实际情况及实施要求，内容详尽且涵盖角度全面，合理性和可行性强，能够保障项目顺利实施的，得3分； 能够针对本项目编制，符合项目实际情况及实施要求，内容详尽且涵盖角度基本全面，有一定的合理性和可行性的，得2分； 具有方案内容但内容未贴合本项目，内容涵盖角度不够全面且实施有难度的，得1分； 未提供方案内容不得分。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应用国家倡导的新工艺新技术，且有可用于本采购项目的专利或省级以上工法的得1分，其中：应用国家倡导的新工艺新技术得3分；有用于本采购项目的专利或省级以上工法的得2分。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拟派项目经理的职称及业绩</w:t>
            </w:r>
          </w:p>
        </w:tc>
        <w:tc>
          <w:tcPr>
            <w:tcW w:type="dxa" w:w="2492"/>
          </w:tcPr>
          <w:p>
            <w:pPr>
              <w:pStyle w:val="null3"/>
            </w:pPr>
            <w:r>
              <w:rPr>
                <w:rFonts w:ascii="仿宋_GB2312" w:hAnsi="仿宋_GB2312" w:cs="仿宋_GB2312" w:eastAsia="仿宋_GB2312"/>
              </w:rPr>
              <w:t>1、拟派项目经理具备中级及以上职称证书，计1分。 评审依据：评审时以供应商提供的加盖供应商公章的拟派项目经理最高职称证书的扫描件或复印件为准，提供多个职称证明材料的，以最高职称材料为准，未提供的不计分。 2、供应商提供拟派项目经理自2022年1月1日至今的类似业绩证明材料，每提供1项计1分，最多计2分。 备注：业绩时间以合同签订时间所体现的时间为准，合同中需要体现项目经理姓名，拟派项目经理业绩与企业业绩可重合。</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提供2022年1月1日至响应截止时间（以合同签订时间为准）类似项目业绩，每提供一个业绩得1分，满分3分。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满足磋商文件要求且最后磋商价格最低的磋商报价为评标基准价，其价格分为满分。其他供应商的价格分统一按照下列公式计算：磋商报价得分=（评标基准价/磋商报价）×30。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