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版本号：【KRDL】K2-250605420250815004</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附属中学桃园校区体育场改造项目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【KRDL】K2-2506054</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附属中学桃园校区体育场改造项目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【KRDL】K2-2506054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附属中学桃园校区体育场改造项目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北大学附属中学桃园校区体育场改造项目，本次采购对附属中学桃园校区体育场改造，具体内容详见设计图纸和工程量清单。本项目最高限价为：人民币叁佰万零玖仟叁佰伍拾贰元贰角壹分（￥3009352.21元）（以此最高限价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采购包1（西北大学附属中学桃园校区体育场改造项目）：属于专门面向中小企业采购。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1、营业执照：供应商应是参加磋商响应的法人或者其他组织，且具有合法有效的营业执照；</w:t>
      </w:r>
    </w:p>
    <w:p>
      <w:pPr>
        <w:pStyle w:val="null3"/>
      </w:pPr>
      <w:r>
        <w:rPr>
          <w:rFonts w:ascii="仿宋_GB2312" w:hAnsi="仿宋_GB2312" w:cs="仿宋_GB2312" w:eastAsia="仿宋_GB2312"/>
        </w:rPr>
        <w:t>2、信用主体查询：截止响应文件递交截止时间之前，供应商未被“信用中国”网站列入失信被执行人、重大税收违法失信主体名单，未被“中国政府采购网”网站列入政府采购严重违法失信行为记录名单；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供应商资质：参加本项目的供应商应具备建设行政主管部门颁发合法有效的建筑工程施工总承包三级（含）以上资质，具备合法有效的安全生产许可证，并在人员、设备、资金等方面具备相应施工能力且无不良记录；</w:t>
      </w:r>
    </w:p>
    <w:p>
      <w:pPr>
        <w:pStyle w:val="null3"/>
      </w:pPr>
      <w:r>
        <w:rPr>
          <w:rFonts w:ascii="仿宋_GB2312" w:hAnsi="仿宋_GB2312" w:cs="仿宋_GB2312" w:eastAsia="仿宋_GB2312"/>
        </w:rPr>
        <w:t>4、拟派项目经理资格：参加本项目的供应商拟派项目经理具备合法有效的建筑工程专业注册建造师二级（含）及以上执业资格及安全生产考核合格证书（安全B证），在本单位注册且无在建工程；</w:t>
      </w:r>
    </w:p>
    <w:p>
      <w:pPr>
        <w:pStyle w:val="null3"/>
      </w:pPr>
      <w:r>
        <w:rPr>
          <w:rFonts w:ascii="仿宋_GB2312" w:hAnsi="仿宋_GB2312" w:cs="仿宋_GB2312" w:eastAsia="仿宋_GB2312"/>
        </w:rPr>
        <w:t>5、财务状况证明：提供2024年度经第三方会计事务所审计过的财务报告，或磋商截止时间前90天内基本账户银行出具的资信证明。注：①提供财务报告的，内容至少包括 审计报告、附注。②提供资信证明的，必须提供资信证明全部页以及基本户信息（提供 开户许可证或提供基本银行账户信息）。银行出具的存款证明不能代替资信证明，存款证明无效，并进行电子签章；</w:t>
      </w:r>
    </w:p>
    <w:p>
      <w:pPr>
        <w:pStyle w:val="null3"/>
      </w:pPr>
      <w:r>
        <w:rPr>
          <w:rFonts w:ascii="仿宋_GB2312" w:hAnsi="仿宋_GB2312" w:cs="仿宋_GB2312" w:eastAsia="仿宋_GB2312"/>
        </w:rPr>
        <w:t>6、纳税证明：供应商截止日前6个月内至少一个月依法纳税的相关凭证(税种至少提供任意一种)。注：依法免税的应提供说明，无须缴纳税收的应提供说明以及6个月内的纳税凭证，零报税的提供申报成功的凭证；成立不足一个月的提供将依法纳税的承诺书（格式自拟）；时间以税款所属时段为准，并进行电子签章；</w:t>
      </w:r>
    </w:p>
    <w:p>
      <w:pPr>
        <w:pStyle w:val="null3"/>
      </w:pPr>
      <w:r>
        <w:rPr>
          <w:rFonts w:ascii="仿宋_GB2312" w:hAnsi="仿宋_GB2312" w:cs="仿宋_GB2312" w:eastAsia="仿宋_GB2312"/>
        </w:rPr>
        <w:t>7、社保缴纳证明：提供磋商截止日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并进行电子签章；</w:t>
      </w:r>
    </w:p>
    <w:p>
      <w:pPr>
        <w:pStyle w:val="null3"/>
      </w:pPr>
      <w:r>
        <w:rPr>
          <w:rFonts w:ascii="仿宋_GB2312" w:hAnsi="仿宋_GB2312" w:cs="仿宋_GB2312" w:eastAsia="仿宋_GB2312"/>
        </w:rPr>
        <w:t>8、其他要求：供应商及其拟派项目经理须在“陕西省住房和城乡建设厅”官方网站可查询；如供应商为外省进陕企业，还须同时提供“陕西省住房和城乡建设厅”官网企业库外省进陕施工企业信息首页截图；</w:t>
      </w:r>
    </w:p>
    <w:p>
      <w:pPr>
        <w:pStyle w:val="null3"/>
      </w:pPr>
      <w:r>
        <w:rPr>
          <w:rFonts w:ascii="仿宋_GB2312" w:hAnsi="仿宋_GB2312" w:cs="仿宋_GB2312" w:eastAsia="仿宋_GB2312"/>
        </w:rPr>
        <w:t>9、是否面向中小企业采购（供应商应为中型企业或小型企业或微型企业）：本项目为专门面向中小企业项目，供应商须提供中小企业声明函；</w:t>
      </w:r>
    </w:p>
    <w:p>
      <w:pPr>
        <w:pStyle w:val="null3"/>
      </w:pPr>
      <w:r>
        <w:rPr>
          <w:rFonts w:ascii="仿宋_GB2312" w:hAnsi="仿宋_GB2312" w:cs="仿宋_GB2312" w:eastAsia="仿宋_GB2312"/>
        </w:rPr>
        <w:t>10、法定代表人证明书及授权书：供应商应授权合法的人员参加本项目开标会议全过程。</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太白北路229号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刘昆、赵婉婷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029-89581311 、15667290283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采购包1保证金金额：30,002.00元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说明：中标/成交供应商在与采购人签订合同前，须缴纳履约保证金；履约保证金金额为成交金额的5%。待验收合格后凭验收单和缴款收据，履约保证金予以无息退还。 户名:西北大学 开户行:交通银行太白路支行 账号:611301015018001145006 联行号:301791000194 退还方式：待验收合格后凭收据和验收单复印件无息退还。 如遇下列情况之一者，合同履约保证金不予退还，作为对采购人的赔偿： （1）合同签订后不能按合同时限要求供货或安装调试； （2）所供货物不合格、与合同不符； （3）不能按合同履约； （4）货物验收不合格。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代理服务费收费标准：确定成交供应商后3日内，由成交供应商参照国家计委颁发的《招标代理服务收费管理暂行办法》（计价格[2002]1980号）和国家发展 改革委员会办公厅颁发的《关于招标代理服务收费有关问题的通知》（发改办价格[2003] 857号）的有关规定下浮20%，向采购代理机构一次付清招标代理服务费。备注：在对采购代理服务费或者磋商保证金转账时需备注项目名称+招标代理服务费或投标保证金。</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踏勘时间：2025-08-06 10:00:00</w:t>
            </w:r>
          </w:p>
          <w:p>
            <w:pPr>
              <w:pStyle w:val="null3"/>
              <w:ind w:firstLine="975"/>
            </w:pPr>
            <w:r>
              <w:rPr>
                <w:rFonts w:ascii="仿宋_GB2312" w:hAnsi="仿宋_GB2312" w:cs="仿宋_GB2312" w:eastAsia="仿宋_GB2312"/>
              </w:rPr>
              <w:t>踏勘地点：西北大学附属中学门口（请各单位准时到场）</w:t>
            </w:r>
          </w:p>
          <w:p>
            <w:pPr>
              <w:pStyle w:val="null3"/>
              <w:ind w:firstLine="975"/>
            </w:pPr>
            <w:r>
              <w:rPr>
                <w:rFonts w:ascii="仿宋_GB2312" w:hAnsi="仿宋_GB2312" w:cs="仿宋_GB2312" w:eastAsia="仿宋_GB2312"/>
              </w:rPr>
              <w:t>联系人：赵工</w:t>
            </w:r>
          </w:p>
          <w:p>
            <w:pPr>
              <w:pStyle w:val="null3"/>
              <w:ind w:firstLine="975"/>
            </w:pPr>
            <w:r>
              <w:rPr>
                <w:rFonts w:ascii="仿宋_GB2312" w:hAnsi="仿宋_GB2312" w:cs="仿宋_GB2312" w:eastAsia="仿宋_GB2312"/>
              </w:rPr>
              <w:t>联系电话号码：15667290283</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西北大学</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联系人：刘昆、赵婉婷</w:t>
      </w:r>
    </w:p>
    <w:p>
      <w:pPr>
        <w:pStyle w:val="null3"/>
      </w:pPr>
      <w:r>
        <w:rPr>
          <w:rFonts w:ascii="仿宋_GB2312" w:hAnsi="仿宋_GB2312" w:cs="仿宋_GB2312" w:eastAsia="仿宋_GB2312"/>
        </w:rPr>
        <w:t>联系电话：029-89581311、15667290283</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3,010,000.00</w:t>
      </w:r>
    </w:p>
    <w:p>
      <w:pPr>
        <w:pStyle w:val="null3"/>
      </w:pPr>
      <w:r>
        <w:rPr>
          <w:rFonts w:ascii="仿宋_GB2312" w:hAnsi="仿宋_GB2312" w:cs="仿宋_GB2312" w:eastAsia="仿宋_GB2312"/>
        </w:rPr>
        <w:t>采购包最高限价（元）: 3,009,392.80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附属中学桃园校区体育场改造项目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3,010,000.00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标的名称：附属中学桃园校区体育场改造项目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333333"/>
              </w:rPr>
              <w:t>一、</w:t>
            </w:r>
            <w:r>
              <w:rPr>
                <w:rFonts w:ascii="仿宋_GB2312" w:hAnsi="仿宋_GB2312" w:cs="仿宋_GB2312" w:eastAsia="仿宋_GB2312"/>
                <w:sz w:val="24"/>
                <w:b/>
                <w:color w:val="333333"/>
              </w:rPr>
              <w:t>需实现的功能或者目标</w:t>
            </w:r>
          </w:p>
          <w:p>
            <w:pPr>
              <w:pStyle w:val="null3"/>
              <w:ind w:firstLine="480"/>
              <w:jc w:val="both"/>
            </w:pPr>
            <w:r>
              <w:rPr>
                <w:rFonts w:ascii="仿宋_GB2312" w:hAnsi="仿宋_GB2312" w:cs="仿宋_GB2312" w:eastAsia="仿宋_GB2312"/>
                <w:sz w:val="24"/>
                <w:color w:val="333333"/>
              </w:rPr>
              <w:t>满足办学的基本需求，达到学院办学硬件设施的标准要求，能同时开展球类、田赛和径赛。能满足体育课程教学需要，能够提升广大师生的体能素质。为学校师生提供运动竞赛和体育健身服务场地，同时可以承办全民运动会和满足人们的体育欣赏和宣传体育文化的需求。</w:t>
            </w:r>
          </w:p>
          <w:p>
            <w:pPr>
              <w:pStyle w:val="null3"/>
              <w:jc w:val="both"/>
            </w:pPr>
            <w:r>
              <w:rPr>
                <w:rFonts w:ascii="仿宋_GB2312" w:hAnsi="仿宋_GB2312" w:cs="仿宋_GB2312" w:eastAsia="仿宋_GB2312"/>
                <w:sz w:val="24"/>
                <w:b/>
                <w:color w:val="333333"/>
              </w:rPr>
              <w:t>二、</w:t>
            </w:r>
            <w:r>
              <w:rPr>
                <w:rFonts w:ascii="仿宋_GB2312" w:hAnsi="仿宋_GB2312" w:cs="仿宋_GB2312" w:eastAsia="仿宋_GB2312"/>
                <w:sz w:val="24"/>
                <w:b/>
                <w:color w:val="333333"/>
              </w:rPr>
              <w:t>强制标准要求</w:t>
            </w:r>
          </w:p>
          <w:p>
            <w:pPr>
              <w:pStyle w:val="null3"/>
              <w:ind w:firstLine="480"/>
              <w:jc w:val="both"/>
            </w:pPr>
            <w:r>
              <w:rPr>
                <w:rFonts w:ascii="仿宋_GB2312" w:hAnsi="仿宋_GB2312" w:cs="仿宋_GB2312" w:eastAsia="仿宋_GB2312"/>
                <w:sz w:val="24"/>
              </w:rPr>
              <w:t>（一）塑胶田径运动场地面层性能应符合国家《中小学合成材料面层运动场地》（</w:t>
            </w:r>
            <w:r>
              <w:rPr>
                <w:rFonts w:ascii="仿宋_GB2312" w:hAnsi="仿宋_GB2312" w:cs="仿宋_GB2312" w:eastAsia="仿宋_GB2312"/>
                <w:sz w:val="24"/>
              </w:rPr>
              <w:t>GB36246-2018</w:t>
            </w:r>
            <w:r>
              <w:rPr>
                <w:rFonts w:ascii="仿宋_GB2312" w:hAnsi="仿宋_GB2312" w:cs="仿宋_GB2312" w:eastAsia="仿宋_GB2312"/>
                <w:sz w:val="24"/>
              </w:rPr>
              <w:t>）的标准。</w:t>
            </w:r>
          </w:p>
          <w:p>
            <w:pPr>
              <w:pStyle w:val="null3"/>
              <w:ind w:firstLine="480"/>
              <w:jc w:val="both"/>
            </w:pPr>
            <w:r>
              <w:rPr>
                <w:rFonts w:ascii="仿宋_GB2312" w:hAnsi="仿宋_GB2312" w:cs="仿宋_GB2312" w:eastAsia="仿宋_GB2312"/>
                <w:sz w:val="24"/>
              </w:rPr>
              <w:t>（二）学校足球场人造草坪符合国家标准《体育用人造草》（</w:t>
            </w:r>
            <w:r>
              <w:rPr>
                <w:rFonts w:ascii="仿宋_GB2312" w:hAnsi="仿宋_GB2312" w:cs="仿宋_GB2312" w:eastAsia="仿宋_GB2312"/>
                <w:sz w:val="24"/>
              </w:rPr>
              <w:t>GB/T 20394-2019）的要求，提供第三方检测机构出具的带有CMA或CNAS标志的有效的检测报告。</w:t>
            </w:r>
          </w:p>
          <w:p>
            <w:pPr>
              <w:pStyle w:val="null3"/>
              <w:ind w:firstLine="480"/>
              <w:jc w:val="both"/>
            </w:pPr>
            <w:r>
              <w:rPr>
                <w:rFonts w:ascii="仿宋_GB2312" w:hAnsi="仿宋_GB2312" w:cs="仿宋_GB2312" w:eastAsia="仿宋_GB2312"/>
                <w:sz w:val="24"/>
              </w:rPr>
              <w:t>1.足球场人造草坪参数要求：</w:t>
            </w:r>
          </w:p>
          <w:tbl>
            <w:tblPr>
              <w:tblBorders>
                <w:top w:val="none" w:color="000000" w:sz="4"/>
                <w:left w:val="none" w:color="000000" w:sz="4"/>
                <w:bottom w:val="none" w:color="000000" w:sz="4"/>
                <w:right w:val="none" w:color="000000" w:sz="4"/>
                <w:insideH w:val="none"/>
                <w:insideV w:val="none"/>
              </w:tblBorders>
            </w:tblPr>
            <w:tblGrid>
              <w:gridCol w:w="168"/>
              <w:gridCol w:w="588"/>
              <w:gridCol w:w="1787"/>
            </w:tblGrid>
            <w:tr>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5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17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规格及参数</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草丝类型</w:t>
                  </w:r>
                </w:p>
              </w:tc>
              <w:tc>
                <w:tcPr>
                  <w:tcW w:type="dxa" w:w="1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抗紫外线回弹包纱单丝，</w:t>
                  </w:r>
                  <w:r>
                    <w:rPr>
                      <w:rFonts w:ascii="仿宋_GB2312" w:hAnsi="仿宋_GB2312" w:cs="仿宋_GB2312" w:eastAsia="仿宋_GB2312"/>
                      <w:sz w:val="24"/>
                      <w:color w:val="000000"/>
                    </w:rPr>
                    <w:t>HR降温草纤维</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草纤维度</w:t>
                  </w:r>
                </w:p>
              </w:tc>
              <w:tc>
                <w:tcPr>
                  <w:tcW w:type="dxa" w:w="1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≥10000Dtex</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草丝高度</w:t>
                  </w:r>
                </w:p>
              </w:tc>
              <w:tc>
                <w:tcPr>
                  <w:tcW w:type="dxa" w:w="1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≥50mm±1%</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草坪密度</w:t>
                  </w:r>
                </w:p>
              </w:tc>
              <w:tc>
                <w:tcPr>
                  <w:tcW w:type="dxa" w:w="1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≥12000针/平米（填充型）</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草坪针距</w:t>
                  </w:r>
                </w:p>
              </w:tc>
              <w:tc>
                <w:tcPr>
                  <w:tcW w:type="dxa" w:w="1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5/8英寸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草坪颜色</w:t>
                  </w:r>
                </w:p>
              </w:tc>
              <w:tc>
                <w:tcPr>
                  <w:tcW w:type="dxa" w:w="1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4"/>
                      <w:shd w:fill="FFFFFF" w:val="clear"/>
                    </w:rPr>
                    <w:t>柠檬绿田园绿</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基布类型</w:t>
                  </w:r>
                </w:p>
              </w:tc>
              <w:tc>
                <w:tcPr>
                  <w:tcW w:type="dxa" w:w="1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加强型复合底布</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草坪宽幅</w:t>
                  </w:r>
                </w:p>
              </w:tc>
              <w:tc>
                <w:tcPr>
                  <w:tcW w:type="dxa" w:w="1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≥4米</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石英砂</w:t>
                  </w:r>
                </w:p>
              </w:tc>
              <w:tc>
                <w:tcPr>
                  <w:tcW w:type="dxa" w:w="1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粒径</w:t>
                  </w:r>
                  <w:r>
                    <w:rPr>
                      <w:rFonts w:ascii="仿宋_GB2312" w:hAnsi="仿宋_GB2312" w:cs="仿宋_GB2312" w:eastAsia="仿宋_GB2312"/>
                      <w:sz w:val="24"/>
                    </w:rPr>
                    <w:t>0.5-1.5mm,圆度&gt;80%，含硅量&gt;90%，无粉尘，30-35kg/m²均匀填充</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环保颗粒</w:t>
                  </w:r>
                </w:p>
              </w:tc>
              <w:tc>
                <w:tcPr>
                  <w:tcW w:type="dxa" w:w="1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TPE环保颗粒，形状：蜂窝状四孔中心圆柱，外径：2.8-3.2mm,颜色：绿色，高聚物含量≥20%，填充量：5kg/㎡。</w:t>
                  </w:r>
                </w:p>
                <w:p>
                  <w:pPr>
                    <w:pStyle w:val="null3"/>
                    <w:jc w:val="left"/>
                  </w:pPr>
                  <w:r>
                    <w:rPr>
                      <w:rFonts w:ascii="仿宋_GB2312" w:hAnsi="仿宋_GB2312" w:cs="仿宋_GB2312" w:eastAsia="仿宋_GB2312"/>
                      <w:sz w:val="24"/>
                    </w:rPr>
                    <w:t>产品执行标准：国家强制标准</w:t>
                  </w:r>
                  <w:r>
                    <w:rPr>
                      <w:rFonts w:ascii="仿宋_GB2312" w:hAnsi="仿宋_GB2312" w:cs="仿宋_GB2312" w:eastAsia="仿宋_GB2312"/>
                      <w:sz w:val="24"/>
                    </w:rPr>
                    <w:t>GB36246- 2018</w:t>
                  </w:r>
                  <w:r>
                    <w:rPr>
                      <w:rFonts w:ascii="仿宋_GB2312" w:hAnsi="仿宋_GB2312" w:cs="仿宋_GB2312" w:eastAsia="仿宋_GB2312"/>
                      <w:sz w:val="24"/>
                    </w:rPr>
                    <w:t>《</w:t>
                  </w:r>
                  <w:r>
                    <w:rPr>
                      <w:rFonts w:ascii="仿宋_GB2312" w:hAnsi="仿宋_GB2312" w:cs="仿宋_GB2312" w:eastAsia="仿宋_GB2312"/>
                      <w:sz w:val="24"/>
                    </w:rPr>
                    <w:t>中小学合成面层材料运动场地</w:t>
                  </w:r>
                  <w:r>
                    <w:rPr>
                      <w:rFonts w:ascii="仿宋_GB2312" w:hAnsi="仿宋_GB2312" w:cs="仿宋_GB2312" w:eastAsia="仿宋_GB2312"/>
                      <w:sz w:val="24"/>
                    </w:rPr>
                    <w:t>》</w:t>
                  </w:r>
                  <w:r>
                    <w:rPr>
                      <w:rFonts w:ascii="仿宋_GB2312" w:hAnsi="仿宋_GB2312" w:cs="仿宋_GB2312" w:eastAsia="仿宋_GB2312"/>
                      <w:sz w:val="24"/>
                    </w:rPr>
                    <w:t>的要求</w:t>
                  </w:r>
                </w:p>
              </w:tc>
            </w:tr>
          </w:tbl>
          <w:p>
            <w:pPr>
              <w:pStyle w:val="null3"/>
              <w:ind w:firstLine="480"/>
              <w:jc w:val="both"/>
            </w:pPr>
            <w:r>
              <w:rPr>
                <w:rFonts w:ascii="仿宋_GB2312" w:hAnsi="仿宋_GB2312" w:cs="仿宋_GB2312" w:eastAsia="仿宋_GB2312"/>
                <w:sz w:val="24"/>
              </w:rPr>
              <w:t>（三）辅助区域铺装符合（</w:t>
            </w:r>
            <w:r>
              <w:rPr>
                <w:rFonts w:ascii="仿宋_GB2312" w:hAnsi="仿宋_GB2312" w:cs="仿宋_GB2312" w:eastAsia="仿宋_GB2312"/>
                <w:sz w:val="24"/>
              </w:rPr>
              <w:t>GB/T 20394-2019）人造草（不包含填充物）。提供第三方检测机构出具的带有CMA或CNAS标志的有效的检测报告。</w:t>
            </w:r>
          </w:p>
          <w:p>
            <w:pPr>
              <w:pStyle w:val="null3"/>
              <w:jc w:val="both"/>
            </w:pPr>
            <w:r>
              <w:rPr>
                <w:rFonts w:ascii="仿宋_GB2312" w:hAnsi="仿宋_GB2312" w:cs="仿宋_GB2312" w:eastAsia="仿宋_GB2312"/>
                <w:sz w:val="24"/>
              </w:rPr>
              <w:t>1.半圆以及辅场人造草坪参数要求：</w:t>
            </w:r>
          </w:p>
          <w:tbl>
            <w:tblPr>
              <w:tblBorders>
                <w:top w:val="none" w:color="000000" w:sz="4"/>
                <w:left w:val="none" w:color="000000" w:sz="4"/>
                <w:bottom w:val="none" w:color="000000" w:sz="4"/>
                <w:right w:val="none" w:color="000000" w:sz="4"/>
                <w:insideH w:val="none"/>
                <w:insideV w:val="none"/>
              </w:tblBorders>
            </w:tblPr>
            <w:tblGrid>
              <w:gridCol w:w="169"/>
              <w:gridCol w:w="587"/>
              <w:gridCol w:w="1781"/>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17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规格及参数</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草丝类型</w:t>
                  </w:r>
                </w:p>
              </w:tc>
              <w:tc>
                <w:tcPr>
                  <w:tcW w:type="dxa" w:w="1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回弹包纱单丝</w:t>
                  </w:r>
                  <w:r>
                    <w:rPr>
                      <w:rFonts w:ascii="仿宋_GB2312" w:hAnsi="仿宋_GB2312" w:cs="仿宋_GB2312" w:eastAsia="仿宋_GB2312"/>
                      <w:sz w:val="24"/>
                    </w:rPr>
                    <w:t>+KDK曲丝</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草丝高度</w:t>
                  </w:r>
                </w:p>
              </w:tc>
              <w:tc>
                <w:tcPr>
                  <w:tcW w:type="dxa" w:w="1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r>
                    <w:rPr>
                      <w:rFonts w:ascii="仿宋_GB2312" w:hAnsi="仿宋_GB2312" w:cs="仿宋_GB2312" w:eastAsia="仿宋_GB2312"/>
                      <w:sz w:val="24"/>
                    </w:rPr>
                    <w:t>mm</w:t>
                  </w: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草坪</w:t>
                  </w:r>
                  <w:r>
                    <w:rPr>
                      <w:rFonts w:ascii="仿宋_GB2312" w:hAnsi="仿宋_GB2312" w:cs="仿宋_GB2312" w:eastAsia="仿宋_GB2312"/>
                      <w:sz w:val="24"/>
                    </w:rPr>
                    <w:t>密度</w:t>
                  </w:r>
                </w:p>
              </w:tc>
              <w:tc>
                <w:tcPr>
                  <w:tcW w:type="dxa" w:w="1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≥21000针/㎡（免填充型）</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草坪针距</w:t>
                  </w:r>
                </w:p>
              </w:tc>
              <w:tc>
                <w:tcPr>
                  <w:tcW w:type="dxa" w:w="1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3/8英寸针距+16针/10cm</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基布</w:t>
                  </w:r>
                  <w:r>
                    <w:rPr>
                      <w:rFonts w:ascii="仿宋_GB2312" w:hAnsi="仿宋_GB2312" w:cs="仿宋_GB2312" w:eastAsia="仿宋_GB2312"/>
                      <w:sz w:val="24"/>
                    </w:rPr>
                    <w:t>类型</w:t>
                  </w:r>
                </w:p>
              </w:tc>
              <w:tc>
                <w:tcPr>
                  <w:tcW w:type="dxa" w:w="1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PET增强毛面基布</w:t>
                  </w:r>
                  <w:r>
                    <w:rPr>
                      <w:rFonts w:ascii="仿宋_GB2312" w:hAnsi="仿宋_GB2312" w:cs="仿宋_GB2312" w:eastAsia="仿宋_GB2312"/>
                      <w:sz w:val="24"/>
                    </w:rPr>
                    <w:t>+特种网格布</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草坪宽幅</w:t>
                  </w:r>
                </w:p>
              </w:tc>
              <w:tc>
                <w:tcPr>
                  <w:tcW w:type="dxa" w:w="1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4米</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草坪颜色</w:t>
                  </w:r>
                </w:p>
              </w:tc>
              <w:tc>
                <w:tcPr>
                  <w:tcW w:type="dxa" w:w="1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田园绿</w:t>
                  </w:r>
                </w:p>
              </w:tc>
            </w:tr>
          </w:tbl>
          <w:p>
            <w:pPr>
              <w:pStyle w:val="null3"/>
              <w:jc w:val="both"/>
            </w:pPr>
            <w:r>
              <w:rPr>
                <w:rFonts w:ascii="仿宋_GB2312" w:hAnsi="仿宋_GB2312" w:cs="仿宋_GB2312" w:eastAsia="仿宋_GB2312"/>
                <w:sz w:val="24"/>
                <w:b/>
                <w:color w:val="333333"/>
              </w:rPr>
              <w:t>三、</w:t>
            </w:r>
            <w:r>
              <w:rPr>
                <w:rFonts w:ascii="仿宋_GB2312" w:hAnsi="仿宋_GB2312" w:cs="仿宋_GB2312" w:eastAsia="仿宋_GB2312"/>
                <w:sz w:val="24"/>
                <w:b/>
                <w:color w:val="333333"/>
              </w:rPr>
              <w:t>施工范围及工作内容</w:t>
            </w:r>
          </w:p>
          <w:p>
            <w:pPr>
              <w:pStyle w:val="null3"/>
              <w:ind w:firstLine="480"/>
              <w:jc w:val="left"/>
            </w:pPr>
            <w:r>
              <w:rPr>
                <w:rFonts w:ascii="仿宋_GB2312" w:hAnsi="仿宋_GB2312" w:cs="仿宋_GB2312" w:eastAsia="仿宋_GB2312"/>
                <w:sz w:val="24"/>
              </w:rPr>
              <w:t>1.旧场地处理：拆除原场地塑胶面层及人造草坪。</w:t>
            </w:r>
          </w:p>
          <w:p>
            <w:pPr>
              <w:pStyle w:val="null3"/>
              <w:ind w:firstLine="480"/>
              <w:jc w:val="left"/>
            </w:pPr>
            <w:r>
              <w:rPr>
                <w:rFonts w:ascii="仿宋_GB2312" w:hAnsi="仿宋_GB2312" w:cs="仿宋_GB2312" w:eastAsia="仿宋_GB2312"/>
                <w:sz w:val="24"/>
              </w:rPr>
              <w:t>2.基础处理：①原场地设计标高不变，将出现凹凸不平及开裂的部分，采用硅改性苯丙乳液加石英砂、硅酸盐水泥与水按比例调和进行修复、找平；②对场地塌陷区域进行挖除及修复。</w:t>
            </w:r>
          </w:p>
          <w:p>
            <w:pPr>
              <w:pStyle w:val="null3"/>
              <w:ind w:firstLine="480"/>
              <w:jc w:val="left"/>
            </w:pPr>
            <w:r>
              <w:rPr>
                <w:rFonts w:ascii="仿宋_GB2312" w:hAnsi="仿宋_GB2312" w:cs="仿宋_GB2312" w:eastAsia="仿宋_GB2312"/>
                <w:sz w:val="24"/>
              </w:rPr>
              <w:t>3.新场地设计：①铺设300米环形跑道1条，面层采用13mm混合型塑胶跑道；②环形跑道以内设置七人制48m*68m足球场一片，面层铺设50㎜足球场运动人造草坪，填充物为石英砂和环保颗粒；③半圆区及副场铺设25mm免填充人造草坪。</w:t>
            </w:r>
          </w:p>
          <w:p>
            <w:pPr>
              <w:pStyle w:val="null3"/>
              <w:ind w:firstLine="480"/>
              <w:jc w:val="left"/>
            </w:pPr>
            <w:r>
              <w:rPr>
                <w:rFonts w:ascii="仿宋_GB2312" w:hAnsi="仿宋_GB2312" w:cs="仿宋_GB2312" w:eastAsia="仿宋_GB2312"/>
                <w:sz w:val="24"/>
              </w:rPr>
              <w:t>4.内环沟排水系统检修、清理，局部损坏的部位修复，更换损坏的排水沟盖板，</w:t>
            </w:r>
            <w:r>
              <w:rPr>
                <w:rFonts w:ascii="仿宋_GB2312" w:hAnsi="仿宋_GB2312" w:cs="仿宋_GB2312" w:eastAsia="仿宋_GB2312"/>
                <w:sz w:val="24"/>
              </w:rPr>
              <w:t>渗水率：铺装后场地渗水速率</w:t>
            </w:r>
            <w:r>
              <w:rPr>
                <w:rFonts w:ascii="仿宋_GB2312" w:hAnsi="仿宋_GB2312" w:cs="仿宋_GB2312" w:eastAsia="仿宋_GB2312"/>
                <w:sz w:val="24"/>
              </w:rPr>
              <w:t>≥3mm/min，确保雨天快速排水</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5.主席台翻新及膜结构制作安装。</w:t>
            </w:r>
          </w:p>
          <w:p>
            <w:pPr>
              <w:pStyle w:val="null3"/>
              <w:ind w:firstLine="480"/>
              <w:jc w:val="left"/>
            </w:pPr>
            <w:r>
              <w:rPr>
                <w:rFonts w:ascii="仿宋_GB2312" w:hAnsi="仿宋_GB2312" w:cs="仿宋_GB2312" w:eastAsia="仿宋_GB2312"/>
                <w:sz w:val="24"/>
              </w:rPr>
              <w:t>6.看台维修、旗台翻新及旗杆更换。</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现浇型田径场地面层（厚度</w:t>
            </w:r>
            <w:r>
              <w:rPr>
                <w:rFonts w:ascii="仿宋_GB2312" w:hAnsi="仿宋_GB2312" w:cs="仿宋_GB2312" w:eastAsia="仿宋_GB2312"/>
                <w:sz w:val="24"/>
              </w:rPr>
              <w:t>13mm</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塑胶田径场地面层材料须获得国家环境标志产品认证。</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除需要加厚区域外，场地面层平均厚度应</w:t>
            </w:r>
            <w:r>
              <w:rPr>
                <w:rFonts w:ascii="仿宋_GB2312" w:hAnsi="仿宋_GB2312" w:cs="仿宋_GB2312" w:eastAsia="仿宋_GB2312"/>
                <w:sz w:val="24"/>
              </w:rPr>
              <w:t>≥</w:t>
            </w:r>
            <w:r>
              <w:rPr>
                <w:rFonts w:ascii="仿宋_GB2312" w:hAnsi="仿宋_GB2312" w:cs="仿宋_GB2312" w:eastAsia="仿宋_GB2312"/>
                <w:sz w:val="24"/>
              </w:rPr>
              <w:t>13mm，辅助区域铺装符合（GB/T 20394-2019）人造草（不包含填充物）。</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学校足球场人造草坪符合国家标准《体育用人造草》（</w:t>
            </w:r>
            <w:r>
              <w:rPr>
                <w:rFonts w:ascii="仿宋_GB2312" w:hAnsi="仿宋_GB2312" w:cs="仿宋_GB2312" w:eastAsia="仿宋_GB2312"/>
                <w:sz w:val="24"/>
              </w:rPr>
              <w:t>GB/T</w:t>
            </w:r>
            <w:r>
              <w:rPr>
                <w:rFonts w:ascii="仿宋_GB2312" w:hAnsi="仿宋_GB2312" w:cs="仿宋_GB2312" w:eastAsia="仿宋_GB2312"/>
                <w:sz w:val="21"/>
              </w:rPr>
              <w:t xml:space="preserve"> </w:t>
            </w:r>
            <w:r>
              <w:rPr>
                <w:rFonts w:ascii="仿宋_GB2312" w:hAnsi="仿宋_GB2312" w:cs="仿宋_GB2312" w:eastAsia="仿宋_GB2312"/>
                <w:sz w:val="24"/>
              </w:rPr>
              <w:t>20394-2019）的要求，提供第三方检测机构出具的带有CMA或</w:t>
            </w:r>
            <w:r>
              <w:rPr>
                <w:rFonts w:ascii="仿宋_GB2312" w:hAnsi="仿宋_GB2312" w:cs="仿宋_GB2312" w:eastAsia="仿宋_GB2312"/>
                <w:sz w:val="24"/>
              </w:rPr>
              <w:t>CNAS</w:t>
            </w:r>
            <w:r>
              <w:rPr>
                <w:rFonts w:ascii="仿宋_GB2312" w:hAnsi="仿宋_GB2312" w:cs="仿宋_GB2312" w:eastAsia="仿宋_GB2312"/>
                <w:sz w:val="24"/>
              </w:rPr>
              <w:t>标志的有效的检测报告。</w:t>
            </w:r>
          </w:p>
          <w:p>
            <w:pPr>
              <w:pStyle w:val="null3"/>
              <w:ind w:firstLine="480"/>
              <w:jc w:val="both"/>
            </w:pPr>
            <w:r>
              <w:rPr>
                <w:rFonts w:ascii="仿宋_GB2312" w:hAnsi="仿宋_GB2312" w:cs="仿宋_GB2312" w:eastAsia="仿宋_GB2312"/>
                <w:sz w:val="24"/>
              </w:rPr>
              <w:t>11.EPDM橡胶颗粒符合国家《中小学合成材料面层运动场地》（GB36246-2018）的标准，</w:t>
            </w:r>
            <w:r>
              <w:rPr>
                <w:rFonts w:ascii="仿宋_GB2312" w:hAnsi="仿宋_GB2312" w:cs="仿宋_GB2312" w:eastAsia="仿宋_GB2312"/>
                <w:sz w:val="24"/>
              </w:rPr>
              <w:t>提供第三方检测机构出具的带有</w:t>
            </w:r>
            <w:r>
              <w:rPr>
                <w:rFonts w:ascii="仿宋_GB2312" w:hAnsi="仿宋_GB2312" w:cs="仿宋_GB2312" w:eastAsia="仿宋_GB2312"/>
                <w:sz w:val="24"/>
              </w:rPr>
              <w:t>CMA或</w:t>
            </w:r>
            <w:r>
              <w:rPr>
                <w:rFonts w:ascii="仿宋_GB2312" w:hAnsi="仿宋_GB2312" w:cs="仿宋_GB2312" w:eastAsia="仿宋_GB2312"/>
                <w:sz w:val="24"/>
              </w:rPr>
              <w:t>CNAS</w:t>
            </w:r>
            <w:r>
              <w:rPr>
                <w:rFonts w:ascii="仿宋_GB2312" w:hAnsi="仿宋_GB2312" w:cs="仿宋_GB2312" w:eastAsia="仿宋_GB2312"/>
                <w:sz w:val="24"/>
              </w:rPr>
              <w:t>标志的有效的检测报告。</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跳高起跳区助跑道最后</w:t>
            </w:r>
            <w:r>
              <w:rPr>
                <w:rFonts w:ascii="仿宋_GB2312" w:hAnsi="仿宋_GB2312" w:cs="仿宋_GB2312" w:eastAsia="仿宋_GB2312"/>
                <w:sz w:val="24"/>
              </w:rPr>
              <w:t>3米、三级跳远助跑道最后13米的区域厚度均应≥20mm。</w:t>
            </w:r>
            <w:r>
              <w:rPr>
                <w:rFonts w:ascii="仿宋_GB2312" w:hAnsi="仿宋_GB2312" w:cs="仿宋_GB2312" w:eastAsia="仿宋_GB2312"/>
                <w:sz w:val="24"/>
              </w:rPr>
              <w:t>环保性能（</w:t>
            </w:r>
            <w:r>
              <w:rPr>
                <w:rFonts w:ascii="仿宋_GB2312" w:hAnsi="仿宋_GB2312" w:cs="仿宋_GB2312" w:eastAsia="仿宋_GB2312"/>
                <w:sz w:val="24"/>
              </w:rPr>
              <w:t>3种邻苯二甲酸酯类（DBP、BBP、DEHP）总和、3种邻苯二甲酸酯类（DNOP、DINP、DIDP）总和、短链氯化石蜡（C10-C13）、游离甲苯二异氰酸酯（TDI）和游离六亚甲基二异氰酸酯（HDI）、挥发性有机化合物、游离甲醛、苯、甲苯、二甲苯和乙苯总和、可溶性铅、可溶性镉、可溶性铬、可溶性汞）满足GB36246-2018《中小学合成材料面层运动场地》</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（一）质量保修期：验收合格后8年。 （二）安全、文明：严格按照安全文明施工标准进行管理，全封闭施工，创文明工地；严格执行施工规范、安全操作规程、防火安全规定、环境保护规定。 （三）验收标准：执行“通用条款”及《建筑工程施工质量验收统一标准》GB50300-2013。</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1.本项目付款方式为：无进度款，待工程竣工验收合格后付至合同金额的70%；经学校审计后付至审定金额的100%；但前期支付金额超过审定金额的，成交人应当退还。 2.本项目签订综合单价合同。 （1）本项目采用工程量清单计价，签订单价合同。投标人根据《陕西省建设工程费用规则》、2025版《陕西省建设工程工程量清单计价标准》、2025《陕西省房屋建筑与装饰工程工程量计算标准》、2025《陕西省通用安装工程工程量计算标准》、2025《陕西省市政工程工程量计算标准》、2025《陕西省园林绿化工程工程量计算标准》等现行陕西省工程建设标准的要求及招标文件的有关规定，自主填报已标价工程量清单。所有投标报价中的单价、合价及投标总价均以人民币表示。 （2）投标人在投标报价时应仔细对招标文件进行透彻地分析研究，对图纸进行仔细地阅读和理解，根据招标文件中的工程量清单和有关要求、施工现场实际情况及拟定的施工方案或施工组织设计进行报价。招标人所发布的工程量清单的工程项目仅表达了主要工程做法，报价时各投标单位应依据图纸用料说明、相关图集，结合图纸、招标文件、合同条款、技术规范及现场情况进行科学合理组价。所投标的综合单价招标人视为是相应清单项在招标范围内的全部内容价格。 （3）投标人在计算报价时须全面考虑招标文件及拟签订合同中所明示或可能涉及的全部风险，除招标文件及拟签订合同中允许调整的内容外，投标人所报的综合单价在合同实施期间不予调整。 （4）已标价工程量清单中投标人均应按清单项填报综合单价并计算合价；每一项目只允许有一个报价，任何有选择的报价将不予接受；投标人未填综合单价和合价的，均视为此项目费用已包含在其他综合单价和合价中，中标后不予增加。 （5）填报已标价工程量清单时投标人不得更改分部分项工程项目清单。除非本招标文件对工程量清单编制和报价另有说明。 （6）措施项目费在报价时投标人可以按自身编制的施工方案、施工组织设计对措施项目清单进行补充、完善，自主填报金额、风险自负。项目实施过程中除安全文明施工措施项目费及以单价计价的措施项目外不再进行调整。 （7）投标人应当按照招标文件及工程量清单编制说明、最高投标限价编制说明等要求填报暂列金额、材料暂估价、专业工程暂估价，未按照要求的金额或内容填报的，按照无效投标处理。 计日工按照工程量清单及最高投标限价编制说明中列出的项目和数量自主填报综合单价、合价、投标报价（如有）。 总承包服务费按照工程量清单中列出的具体内容和要求自主计算费用。 优质工程增加费等内容按照招标文件及拟签订合同的内容，综合考虑在投标报价中，不再另行计取。 （8）增值税和安全文明施工措施费属不可竞争费用，按照现行有关规定填报。 （9）本工程施工过程中产生的所有建筑垃圾均须运至场外，有关费用在投标报价中综合考虑，招标人不再另行支付； （10）临时围挡的施工，承包人需按照发包人提供或确认的图纸进行施工，在投标报价中综合考虑，招标人不再另行支付，且在施工过程中承包人所做围挡应满足现场安全和相关部门的检查等。 （11）本项目计价依据及标准详见工程量清单编制说明及最高投标限价编制说明。其他报价需要注意的事项以招标文件及拟签订合同中的要求为准。 3.磋商报价方式为总价形式，评审时以最后磋商总报价为评审依据。 4.本项目工期：自合同签订之日起50日历日内。 5.各供应商参与本项目视为完全响应本项目工程量清单中的内容，不得偏离，否则视为无效响应。 6.违约责任：中标/成交供应商所交付工程不符合其投标承诺，存在偷工减料、以次充好情形的，采购人要求更换一次后仍不符合约定的，采购人有权解除采购合同，没收履约保证金，并将有关情况上报政府采购监管部门处理。 7.本项目最高限价为大写叁佰万零玖仟叁佰伍拾贰元贰角壹分（￥3009352.21元）（以此最高限价为准）。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供应商应是参加磋商响应的法人或者其他组织，且具有合法有效的营业执照；</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截止响应文件递交截止时间之前，供应商未被“信用中国”网站列入失信被执行人、重大税收违法失信主体名单，未被“中国政府采购网”网站列入政府采购严重违法失信行为记录名单；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参加本项目的供应商应具备建设行政主管部门颁发合法有效的建筑工程施工总承包三级（含）以上资质，具备合法有效的安全生产许可证，并在人员、设备、资金等方面具备相应施工能力且无不良记录；</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拟派项目经理资格</w:t>
            </w:r>
          </w:p>
        </w:tc>
        <w:tc>
          <w:tcPr>
            <w:tcW w:type="dxa" w:w="3322"/>
          </w:tcPr>
          <w:p>
            <w:pPr>
              <w:pStyle w:val="null3"/>
            </w:pPr>
            <w:r>
              <w:rPr>
                <w:rFonts w:ascii="仿宋_GB2312" w:hAnsi="仿宋_GB2312" w:cs="仿宋_GB2312" w:eastAsia="仿宋_GB2312"/>
              </w:rPr>
              <w:t>参加本项目的供应商拟派项目经理具备合法有效的建筑工程专业注册建造师二级（含）及以上执业资格及安全生产考核合格证书（安全B证），在本单位注册且无在建工程；</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提供2024年度经第三方会计事务所审计过的财务报告，或磋商截止时间前90天内基本账户银行出具的资信证明。注：①提供财务报告的，内容至少包括 审计报告、附注。②提供资信证明的，必须提供资信证明全部页以及基本户信息（提供 开户许可证或提供基本银行账户信息）。银行出具的存款证明不能代替资信证明，存款证明无效，并进行电子签章；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供应商截止日前6个月内至少一个月依法纳税的相关凭证(税种至少提供任意一种)。注：依法免税的应提供说明，无须缴纳税收的应提供说明以及6个月内的纳税凭证，零报税的提供申报成功的凭证；成立不足一个月的提供将依法纳税的承诺书（格式自拟）；时间以税款所属时段为准，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磋商截止日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供应商及其拟派项目经理须在“陕西省住房和城乡建设厅”官方网站可查询；如供应商为外省进陕企业，还须同时提供“陕西省住房和城乡建设厅”官网企业库外省进陕施工企业信息首页截图；</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是否面向中小企业采购（供应商应为中型企业或小型企业或微型企业）</w:t>
            </w:r>
          </w:p>
        </w:tc>
        <w:tc>
          <w:tcPr>
            <w:tcW w:type="dxa" w:w="3322"/>
          </w:tcPr>
          <w:p>
            <w:pPr>
              <w:pStyle w:val="null3"/>
            </w:pPr>
            <w:r>
              <w:rPr>
                <w:rFonts w:ascii="仿宋_GB2312" w:hAnsi="仿宋_GB2312" w:cs="仿宋_GB2312" w:eastAsia="仿宋_GB2312"/>
              </w:rPr>
              <w:t>本项目为专门面向中小企业项目，供应商须提供中小企业声明函；</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供应商应授权合法的人员参加本项目开标会议全过程。</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与营业执照、资质证书、安全生产许可证一致；</w:t>
            </w:r>
          </w:p>
        </w:tc>
        <w:tc>
          <w:tcPr>
            <w:tcW w:type="dxa" w:w="1661"/>
          </w:tcPr>
          <w:p>
            <w:pPr>
              <w:pStyle w:val="null3"/>
            </w:pPr>
            <w:r>
              <w:rPr>
                <w:rFonts w:ascii="仿宋_GB2312" w:hAnsi="仿宋_GB2312" w:cs="仿宋_GB2312" w:eastAsia="仿宋_GB2312"/>
              </w:rPr>
              <w:t>主要材料品牌表.docx 已标价工程量清单 中小企业声明函 技术服务合同条款及其他商务要求应答表 施工组织设计.docx 强制优先采购产品承诺函 响应文件封面 节能环保产品-产品渠道.docx 残疾人福利性单位声明函 报价函 标的清单 供应商类似项目业绩一览表 资格证明材料.docx 响应函 主要人员简历表 监狱企业的证明文件 保修承诺.docx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投标函签字盖章</w:t>
            </w:r>
          </w:p>
        </w:tc>
        <w:tc>
          <w:tcPr>
            <w:tcW w:type="dxa" w:w="3322"/>
          </w:tcPr>
          <w:p>
            <w:pPr>
              <w:pStyle w:val="null3"/>
            </w:pPr>
            <w:r>
              <w:rPr>
                <w:rFonts w:ascii="仿宋_GB2312" w:hAnsi="仿宋_GB2312" w:cs="仿宋_GB2312" w:eastAsia="仿宋_GB2312"/>
              </w:rPr>
              <w:t>供应商需在项目电子化交易系统中按要求填写《响应函》、《报价函》、《法定代表人证明书》、《法定代表人授权书》等完成承诺并进行电子签章；</w:t>
            </w:r>
          </w:p>
        </w:tc>
        <w:tc>
          <w:tcPr>
            <w:tcW w:type="dxa" w:w="1661"/>
          </w:tcPr>
          <w:p>
            <w:pPr>
              <w:pStyle w:val="null3"/>
            </w:pPr>
            <w:r>
              <w:rPr>
                <w:rFonts w:ascii="仿宋_GB2312" w:hAnsi="仿宋_GB2312" w:cs="仿宋_GB2312" w:eastAsia="仿宋_GB2312"/>
              </w:rPr>
              <w:t>主要材料品牌表.docx 已标价工程量清单 中小企业声明函 技术服务合同条款及其他商务要求应答表 施工组织设计.docx 强制优先采购产品承诺函 响应文件封面 节能环保产品-产品渠道.docx 残疾人福利性单位声明函 报价函 标的清单 供应商类似项目业绩一览表 资格证明材料.docx 响应函 主要人员简历表 监狱企业的证明文件 保修承诺.docx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供应商需在项目电子化交易系统中按要求填写《报价函》完成承诺并进行电子签章；</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工程量清单</w:t>
            </w:r>
          </w:p>
        </w:tc>
        <w:tc>
          <w:tcPr>
            <w:tcW w:type="dxa" w:w="3322"/>
          </w:tcPr>
          <w:p>
            <w:pPr>
              <w:pStyle w:val="null3"/>
            </w:pPr>
            <w:r>
              <w:rPr>
                <w:rFonts w:ascii="仿宋_GB2312" w:hAnsi="仿宋_GB2312" w:cs="仿宋_GB2312" w:eastAsia="仿宋_GB2312"/>
              </w:rPr>
              <w:t>各供应商参与本项目视为完全响应本项目工程量清单中的内容，不得偏离，否则视为无效响应。</w:t>
            </w:r>
          </w:p>
        </w:tc>
        <w:tc>
          <w:tcPr>
            <w:tcW w:type="dxa" w:w="1661"/>
          </w:tcPr>
          <w:p>
            <w:pPr>
              <w:pStyle w:val="null3"/>
            </w:pPr>
            <w:r>
              <w:rPr>
                <w:rFonts w:ascii="仿宋_GB2312" w:hAnsi="仿宋_GB2312" w:cs="仿宋_GB2312" w:eastAsia="仿宋_GB2312"/>
              </w:rPr>
              <w:t>已标价工程量清单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详细评审55.00分</w:t>
            </w:r>
          </w:p>
          <w:p>
            <w:pPr>
              <w:pStyle w:val="null3"/>
            </w:pPr>
            <w:r>
              <w:rPr>
                <w:rFonts w:ascii="仿宋_GB2312" w:hAnsi="仿宋_GB2312" w:cs="仿宋_GB2312" w:eastAsia="仿宋_GB2312"/>
              </w:rPr>
              <w:t>报价得分45.00分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供应商提供自2022年7月1日至今的类似业绩证明材料，每提供1项得1分，最多得5分。 备注： ①类似业绩证明材料指体育场改造项目或包含体育场改造内容的业绩证明材料，以合同为准； ②业绩时间以合同签订时间所体现的时间为准。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投标产品中每有一项为节能产品经国家认证的计2分，每有一项为环境标志产品经国家认证的计2分，供应商投标产品中每有一项产品同时为节能产品和环境标志产品计2.5分，最多计5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节能环保产品-产品渠道.docx</w:t>
            </w:r>
          </w:p>
        </w:tc>
      </w:tr>
      <w:tr>
        <w:tc>
          <w:tcPr>
            <w:tcW w:type="dxa" w:w="831"/>
            <w:vMerge/>
          </w:tcPr>
          <w:p/>
        </w:tc>
        <w:tc>
          <w:tcPr>
            <w:tcW w:type="dxa" w:w="1661"/>
          </w:tcPr>
          <w:p>
            <w:pPr>
              <w:pStyle w:val="null3"/>
            </w:pPr>
            <w:r>
              <w:rPr>
                <w:rFonts w:ascii="仿宋_GB2312" w:hAnsi="仿宋_GB2312" w:cs="仿宋_GB2312" w:eastAsia="仿宋_GB2312"/>
              </w:rPr>
              <w:t>保修承诺1</w:t>
            </w:r>
          </w:p>
        </w:tc>
        <w:tc>
          <w:tcPr>
            <w:tcW w:type="dxa" w:w="2492"/>
          </w:tcPr>
          <w:p>
            <w:pPr>
              <w:pStyle w:val="null3"/>
            </w:pPr>
            <w:r>
              <w:rPr>
                <w:rFonts w:ascii="仿宋_GB2312" w:hAnsi="仿宋_GB2312" w:cs="仿宋_GB2312" w:eastAsia="仿宋_GB2312"/>
              </w:rPr>
              <w:t>质量保证期内的保障工作服务方案及工作计划，承诺完善计1分；未提供的得0分。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保修承诺.docx</w:t>
            </w:r>
          </w:p>
        </w:tc>
      </w:tr>
      <w:tr>
        <w:tc>
          <w:tcPr>
            <w:tcW w:type="dxa" w:w="831"/>
            <w:vMerge/>
          </w:tcPr>
          <w:p/>
        </w:tc>
        <w:tc>
          <w:tcPr>
            <w:tcW w:type="dxa" w:w="1661"/>
          </w:tcPr>
          <w:p>
            <w:pPr>
              <w:pStyle w:val="null3"/>
            </w:pPr>
            <w:r>
              <w:rPr>
                <w:rFonts w:ascii="仿宋_GB2312" w:hAnsi="仿宋_GB2312" w:cs="仿宋_GB2312" w:eastAsia="仿宋_GB2312"/>
              </w:rPr>
              <w:t>保修承诺2</w:t>
            </w:r>
          </w:p>
        </w:tc>
        <w:tc>
          <w:tcPr>
            <w:tcW w:type="dxa" w:w="2492"/>
          </w:tcPr>
          <w:p>
            <w:pPr>
              <w:pStyle w:val="null3"/>
            </w:pPr>
            <w:r>
              <w:rPr>
                <w:rFonts w:ascii="仿宋_GB2312" w:hAnsi="仿宋_GB2312" w:cs="仿宋_GB2312" w:eastAsia="仿宋_GB2312"/>
              </w:rPr>
              <w:t>保修团队人员配备并具备相关得资格证书，承诺完善计1分；未提供的得0分。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保修承诺.docx</w:t>
            </w:r>
          </w:p>
        </w:tc>
      </w:tr>
      <w:tr>
        <w:tc>
          <w:tcPr>
            <w:tcW w:type="dxa" w:w="831"/>
            <w:vMerge/>
          </w:tcPr>
          <w:p/>
        </w:tc>
        <w:tc>
          <w:tcPr>
            <w:tcW w:type="dxa" w:w="1661"/>
          </w:tcPr>
          <w:p>
            <w:pPr>
              <w:pStyle w:val="null3"/>
            </w:pPr>
            <w:r>
              <w:rPr>
                <w:rFonts w:ascii="仿宋_GB2312" w:hAnsi="仿宋_GB2312" w:cs="仿宋_GB2312" w:eastAsia="仿宋_GB2312"/>
              </w:rPr>
              <w:t>保修承诺3</w:t>
            </w:r>
          </w:p>
        </w:tc>
        <w:tc>
          <w:tcPr>
            <w:tcW w:type="dxa" w:w="2492"/>
          </w:tcPr>
          <w:p>
            <w:pPr>
              <w:pStyle w:val="null3"/>
            </w:pPr>
            <w:r>
              <w:rPr>
                <w:rFonts w:ascii="仿宋_GB2312" w:hAnsi="仿宋_GB2312" w:cs="仿宋_GB2312" w:eastAsia="仿宋_GB2312"/>
              </w:rPr>
              <w:t>有巡查或复查计划及质量保障措施，措施完善计1分；未提供的得0分。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保修承诺.docx</w:t>
            </w:r>
          </w:p>
        </w:tc>
      </w:tr>
      <w:tr>
        <w:tc>
          <w:tcPr>
            <w:tcW w:type="dxa" w:w="831"/>
            <w:vMerge/>
          </w:tcPr>
          <w:p/>
        </w:tc>
        <w:tc>
          <w:tcPr>
            <w:tcW w:type="dxa" w:w="1661"/>
          </w:tcPr>
          <w:p>
            <w:pPr>
              <w:pStyle w:val="null3"/>
            </w:pPr>
            <w:r>
              <w:rPr>
                <w:rFonts w:ascii="仿宋_GB2312" w:hAnsi="仿宋_GB2312" w:cs="仿宋_GB2312" w:eastAsia="仿宋_GB2312"/>
              </w:rPr>
              <w:t>保修承诺4</w:t>
            </w:r>
          </w:p>
        </w:tc>
        <w:tc>
          <w:tcPr>
            <w:tcW w:type="dxa" w:w="2492"/>
          </w:tcPr>
          <w:p>
            <w:pPr>
              <w:pStyle w:val="null3"/>
            </w:pPr>
            <w:r>
              <w:rPr>
                <w:rFonts w:ascii="仿宋_GB2312" w:hAnsi="仿宋_GB2312" w:cs="仿宋_GB2312" w:eastAsia="仿宋_GB2312"/>
              </w:rPr>
              <w:t>对工程维修服务响应时限有明确的承诺，承诺完善计1分；未提供的得0分。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保修承诺.docx</w:t>
            </w:r>
          </w:p>
        </w:tc>
      </w:tr>
      <w:tr>
        <w:tc>
          <w:tcPr>
            <w:tcW w:type="dxa" w:w="831"/>
            <w:vMerge/>
          </w:tcPr>
          <w:p/>
        </w:tc>
        <w:tc>
          <w:tcPr>
            <w:tcW w:type="dxa" w:w="1661"/>
          </w:tcPr>
          <w:p>
            <w:pPr>
              <w:pStyle w:val="null3"/>
            </w:pPr>
            <w:r>
              <w:rPr>
                <w:rFonts w:ascii="仿宋_GB2312" w:hAnsi="仿宋_GB2312" w:cs="仿宋_GB2312" w:eastAsia="仿宋_GB2312"/>
              </w:rPr>
              <w:t>主要材料1</w:t>
            </w:r>
          </w:p>
        </w:tc>
        <w:tc>
          <w:tcPr>
            <w:tcW w:type="dxa" w:w="2492"/>
          </w:tcPr>
          <w:p>
            <w:pPr>
              <w:pStyle w:val="null3"/>
            </w:pPr>
            <w:r>
              <w:rPr>
                <w:rFonts w:ascii="仿宋_GB2312" w:hAnsi="仿宋_GB2312" w:cs="仿宋_GB2312" w:eastAsia="仿宋_GB2312"/>
              </w:rPr>
              <w:t>根据供应商提供针对本项目除人造草坪和塑胶跑道其余主要材料（包含：金属扶手带栏杆、栏板等）进行评审：拟投的主要材料清单合理完整，无缺项漏项，实用性强，完整性强，完全满足本项目需求的5分；拟投的主要材料清单，无缺项漏项，实用性较强，完整性较强，能够完成本项目需求的得3分；拟投的主要材料清单基本合理，但有缺项，能基本满足本项目需求的2分；拟投的主要材料清单有严重缺项漏项，无完整性，不满足本项目需求的1分； 拟投产品缺项，且无具体描述的未提供的得0分。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主要材料品牌表.docx</w:t>
            </w:r>
          </w:p>
        </w:tc>
      </w:tr>
      <w:tr>
        <w:tc>
          <w:tcPr>
            <w:tcW w:type="dxa" w:w="831"/>
            <w:vMerge/>
          </w:tcPr>
          <w:p/>
        </w:tc>
        <w:tc>
          <w:tcPr>
            <w:tcW w:type="dxa" w:w="1661"/>
          </w:tcPr>
          <w:p>
            <w:pPr>
              <w:pStyle w:val="null3"/>
            </w:pPr>
            <w:r>
              <w:rPr>
                <w:rFonts w:ascii="仿宋_GB2312" w:hAnsi="仿宋_GB2312" w:cs="仿宋_GB2312" w:eastAsia="仿宋_GB2312"/>
              </w:rPr>
              <w:t>主要材料2</w:t>
            </w:r>
          </w:p>
        </w:tc>
        <w:tc>
          <w:tcPr>
            <w:tcW w:type="dxa" w:w="2492"/>
          </w:tcPr>
          <w:p>
            <w:pPr>
              <w:pStyle w:val="null3"/>
            </w:pPr>
            <w:r>
              <w:rPr>
                <w:rFonts w:ascii="仿宋_GB2312" w:hAnsi="仿宋_GB2312" w:cs="仿宋_GB2312" w:eastAsia="仿宋_GB2312"/>
              </w:rPr>
              <w:t>根据供应商针对本项目拟投入主要材料的市场占有率、是否主流产品进行评审： 主要材料的市场占有率高、为主流产品，相关证明材料完整、清晰的得6分； 主要材料的市场占有率较高、为一般产品，相关证明材料基本完整的得4分；主要材料的市场占有率相对较高，基本满足采购人实际需求的得2分，主要材料的市场占有率一般，相关证明材料不完整，缺失严重的得1分； 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主要材料品牌表.docx</w:t>
            </w:r>
          </w:p>
        </w:tc>
      </w:tr>
      <w:tr>
        <w:tc>
          <w:tcPr>
            <w:tcW w:type="dxa" w:w="831"/>
            <w:vMerge/>
          </w:tcPr>
          <w:p/>
        </w:tc>
        <w:tc>
          <w:tcPr>
            <w:tcW w:type="dxa" w:w="1661"/>
          </w:tcPr>
          <w:p>
            <w:pPr>
              <w:pStyle w:val="null3"/>
            </w:pPr>
            <w:r>
              <w:rPr>
                <w:rFonts w:ascii="仿宋_GB2312" w:hAnsi="仿宋_GB2312" w:cs="仿宋_GB2312" w:eastAsia="仿宋_GB2312"/>
              </w:rPr>
              <w:t>施工组织设计1</w:t>
            </w:r>
          </w:p>
        </w:tc>
        <w:tc>
          <w:tcPr>
            <w:tcW w:type="dxa" w:w="2492"/>
          </w:tcPr>
          <w:p>
            <w:pPr>
              <w:pStyle w:val="null3"/>
            </w:pPr>
            <w:r>
              <w:rPr>
                <w:rFonts w:ascii="仿宋_GB2312" w:hAnsi="仿宋_GB2312" w:cs="仿宋_GB2312" w:eastAsia="仿宋_GB2312"/>
              </w:rPr>
              <w:t>根据供应商针对本项目特点制定的施工方案进行评审； 方案科学合理、满足项目要求，合理性、针对性强的得1.5分； 方案有一定的可行性，基本满足项目需求，稍有欠缺的得1.0分； 方案的合理性、针对性差，简单粗略的0.5分； 未提供方案的得0分。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施工组织设计2</w:t>
            </w:r>
          </w:p>
        </w:tc>
        <w:tc>
          <w:tcPr>
            <w:tcW w:type="dxa" w:w="2492"/>
          </w:tcPr>
          <w:p>
            <w:pPr>
              <w:pStyle w:val="null3"/>
            </w:pPr>
            <w:r>
              <w:rPr>
                <w:rFonts w:ascii="仿宋_GB2312" w:hAnsi="仿宋_GB2312" w:cs="仿宋_GB2312" w:eastAsia="仿宋_GB2312"/>
              </w:rPr>
              <w:t>根据供应商针对本项目制定确保工程质量的技术组织措施进行评审； 组织措施科学合理、满足项目要求，合理性、针对性强的得1.5分； 组织措施有一定的可行性，基本满足项目需求，稍有欠缺的得1.0分； 组织措施的合理性、针对性差，简单粗略的0.5分； 未提供组织措施的得0分。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施工组织设计3</w:t>
            </w:r>
          </w:p>
        </w:tc>
        <w:tc>
          <w:tcPr>
            <w:tcW w:type="dxa" w:w="2492"/>
          </w:tcPr>
          <w:p>
            <w:pPr>
              <w:pStyle w:val="null3"/>
            </w:pPr>
            <w:r>
              <w:rPr>
                <w:rFonts w:ascii="仿宋_GB2312" w:hAnsi="仿宋_GB2312" w:cs="仿宋_GB2312" w:eastAsia="仿宋_GB2312"/>
              </w:rPr>
              <w:t>根据供应商针对本项目制定确保安全生产的技术组织措施； 组织措施科学合理、满足项目要求，合理性、针对性强的得1.5分； 组织措施有一定的可行性，基本满足项目需求，稍有欠缺的得1.0分；组织措施的合理性、针对性差，简单粗略的0.5分； 未提供组织措施的得0分。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施工组织设计4</w:t>
            </w:r>
          </w:p>
        </w:tc>
        <w:tc>
          <w:tcPr>
            <w:tcW w:type="dxa" w:w="2492"/>
          </w:tcPr>
          <w:p>
            <w:pPr>
              <w:pStyle w:val="null3"/>
            </w:pPr>
            <w:r>
              <w:rPr>
                <w:rFonts w:ascii="仿宋_GB2312" w:hAnsi="仿宋_GB2312" w:cs="仿宋_GB2312" w:eastAsia="仿宋_GB2312"/>
              </w:rPr>
              <w:t>根据供应商针对本项目制定确保文明施工的技术组织措施及环境保护措施进行评审； 组织措施科学合理、满足项目要求，合理性、针对性强的得1.5分； 组织措施有一定的可行性，基本满足项目需求，稍有欠缺的得1.0分； 组织措施的合理性、针对性差，简单粗略的0.5分； 未提供组织措施的得0分。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施工组织设计5</w:t>
            </w:r>
          </w:p>
        </w:tc>
        <w:tc>
          <w:tcPr>
            <w:tcW w:type="dxa" w:w="2492"/>
          </w:tcPr>
          <w:p>
            <w:pPr>
              <w:pStyle w:val="null3"/>
            </w:pPr>
            <w:r>
              <w:rPr>
                <w:rFonts w:ascii="仿宋_GB2312" w:hAnsi="仿宋_GB2312" w:cs="仿宋_GB2312" w:eastAsia="仿宋_GB2312"/>
              </w:rPr>
              <w:t>根据供应商针对本项目制定确保工期的技术组织措施； 组织措施科学合理、满足项目要求，合理性、针对性强的得1.5分；组织措施有一定的可行性，基本满足项目需求，稍有欠缺的得1.0分； 组织措施的合理性、针对性差，简单粗略的0.5分； 未提供组织措施的得0分。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施工组织设计6</w:t>
            </w:r>
          </w:p>
        </w:tc>
        <w:tc>
          <w:tcPr>
            <w:tcW w:type="dxa" w:w="2492"/>
          </w:tcPr>
          <w:p>
            <w:pPr>
              <w:pStyle w:val="null3"/>
            </w:pPr>
            <w:r>
              <w:rPr>
                <w:rFonts w:ascii="仿宋_GB2312" w:hAnsi="仿宋_GB2312" w:cs="仿宋_GB2312" w:eastAsia="仿宋_GB2312"/>
              </w:rPr>
              <w:t>根据供应商针对本项目制定除项目经理、技术负责人以外的人员劳动力安排计划进行评审； 计划科学合理、满足项目要求，合理性、针对性强的得1.5分； 计划有一定的可行性，基本满足项目需求，稍有欠缺的得1.0分； 计划的合理性、针对性差，简单粗略的0.5分； 未提供的得0分。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施工组织设计7</w:t>
            </w:r>
          </w:p>
        </w:tc>
        <w:tc>
          <w:tcPr>
            <w:tcW w:type="dxa" w:w="2492"/>
          </w:tcPr>
          <w:p>
            <w:pPr>
              <w:pStyle w:val="null3"/>
            </w:pPr>
            <w:r>
              <w:rPr>
                <w:rFonts w:ascii="仿宋_GB2312" w:hAnsi="仿宋_GB2312" w:cs="仿宋_GB2312" w:eastAsia="仿宋_GB2312"/>
              </w:rPr>
              <w:t>根据供应商针对本项目制定的施工机械配备和材料投入计划； 计划科学合理、满足项目要求，合理性、针对性强的得1.5分； 计划有一定的可行性，基本满足项目需求，稍有欠缺的得0.6-1分； 计划的合理性、针对性差，简单粗略的0.5分； 未提供的得0分。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施工组织设计8</w:t>
            </w:r>
          </w:p>
        </w:tc>
        <w:tc>
          <w:tcPr>
            <w:tcW w:type="dxa" w:w="2492"/>
          </w:tcPr>
          <w:p>
            <w:pPr>
              <w:pStyle w:val="null3"/>
            </w:pPr>
            <w:r>
              <w:rPr>
                <w:rFonts w:ascii="仿宋_GB2312" w:hAnsi="仿宋_GB2312" w:cs="仿宋_GB2312" w:eastAsia="仿宋_GB2312"/>
              </w:rPr>
              <w:t>根据供应商针对本项目制定的施工进度表或施工网络图进行评审； 进度表或网格图科学合理、满足项目要求，合理性、针对性强的得1.5分； 基本满足项目需求，稍有欠缺的得1.0分；进度表或网格图合理性、针对性差，简单粗略的得0.5分 未提供的得0分。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1.塑胶跑道：样品规格：50*50cm 厚度：13mm，1块； 根据供应商提供样品的性能（如抗压、耐磨等）、材料成分、耐用性（使用寿命、抗老化能力等）、防滑程度（摩擦系数等指标）、规格尺寸、材质用料（如塑胶颗粒纯度、粘合剂质量等）、做工细致程度（如表面平整度、接缝处理等）进行评审。供应商提供样品针对上述内容完全满足本项目采购需求及采购人要求的得6分；供应商所提供样品针对上述1-2项内容有偏差的但能满足采购人使用的得4分，供应商所提供样品针对上述3-4项内容有偏差的基本能满足采购人使用的得3分，供应商所提供样品针对上述5-6项内容有偏差的不能满足采购人使用的得2分，供应商所提供样品针对上述7项内容有偏差的完全不能满足采购人使用的得1分，未提供样品的得0分。 2.人造草坪：样品规格：30*40cm 草高：50mm，1块； 根据供应商提供样品的性能（如回弹性、抗拉伸性等）、材料（草丝材质、底布质量等）、耐用性（抗紫外线、耐磨损等）、防滑程度、规格、材质用料、做工（如草丝密度均匀度、编织工艺等）进行评审。供应商提供样品针对上述内容完全满足本项目采购需求及采购人要求的得6分；供应商所提供样品针对上述1-2项内容有偏差的但能满足采购人使用的得4分，供应商所提供样品针对上述3-4项内容有偏差的基本能满足采购人使用的得3分，供应商所提供样品针对上述5-6项内容有偏差的不能满足采购人使用的得2分，供应商所提供样品针对上述7项内容有偏差的完全不能满足采购人使用的得1分，未提供样品的得0分。 3.人造草坪：样品规格：30*40cm 草高：25mm，1块。 根据供应商提供样品的性能（如回弹性、抗拉伸性等）、材料（草丝材质、底布质量等）、耐用性（抗紫外线、耐磨损等）、防滑程度、规格、材质用料、做工（如草丝密度均匀度、编织工艺等）进行评审。供应商提供样品针对上述内容完全满足本项目采购需求及采购人要求的得6分；供应商所提供样品针对上述1-2项内容有偏差的但能满足采购人使用的得4分，供应商所提供样品针对上述3-4项内容有偏差的基本能满足采购人使用的得3分，供应商所提供样品针对上述5-6项内容有偏差的不能满足采购人使用的得2分，供应商所提供样品针对上述7项内容有偏差的完全不能满足采购人使用的得1分，未提供样品的得0分。 备注：1.供应商于响应文件递交截止时间前将统一将密封好的样品箱（袋）（非透明、非易碎包装）交由采购代理机构工作人员【每箱样品必须将所有样品和相应的质量证明材料统一放入密封的箱子内，如违反上述规定，其相关不利风险由供应商自行承担。】 2.供应商递交样品的外包装不得以粘贴、印刷、标记等方式出现供应商的单位名称及相关字样或其LOGO图案。 3.供应商未在规定时间未将样品送达指定地点的，逾期将不予受理。 4.竞争性磋商会议结束后，成交供应商的样品不予退还，由采购人保存，以便交货时与实际供货产品进行比对查验，如成交供应商所提供的产品与样品不一致时，采购人将予以追究该单位的违约责任和经济赔偿。</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样品.docx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磋商报价采用低价优先法计算，即满足磋商文件要求且最后磋商报价最低的报价为评审基准价，其价格分为满分45分。 磋商报价得分=（评审基准价/最后磋商报价）×45。</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详见附件：保修承诺.docx</w:t>
      </w:r>
    </w:p>
    <w:p>
      <w:pPr>
        <w:pStyle w:val="null3"/>
        <w:ind w:firstLine="960"/>
      </w:pPr>
      <w:r>
        <w:rPr>
          <w:rFonts w:ascii="仿宋_GB2312" w:hAnsi="仿宋_GB2312" w:cs="仿宋_GB2312" w:eastAsia="仿宋_GB2312"/>
        </w:rPr>
        <w:t>详见附件：节能环保产品-产品渠道.docx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详见附件：主要材料品牌表.docx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详见附件：样品.docx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