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版本号：ZX2025-07-3520250725001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人口老龄化国情教育专报项目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ZX2025-07-35</w:t>
      </w:r>
      <w:r>
        <w:br/>
      </w:r>
      <w:r>
        <w:br/>
      </w:r>
      <w:r>
        <w:br/>
      </w:r>
    </w:p>
    <w:p>
      <w:pPr>
        <w:pStyle w:val="null3"/>
        <w:jc w:val="center"/>
        <w:outlineLvl w:val="5"/>
      </w:pPr>
      <w:r>
        <w:rPr>
          <w:rFonts w:ascii="仿宋_GB2312" w:hAnsi="仿宋_GB2312" w:cs="仿宋_GB2312" w:eastAsia="仿宋_GB2312"/>
          <w:sz w:val="15"/>
          <w:b/>
        </w:rPr>
        <w:t>陕西省民政厅机关</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人口老龄化国情教育专报项目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ZX2025-07-35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人口老龄化国情教育专报项目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更好地宣传陕西老龄工作和养老工作，采购人委托供应商对陕西民政在老龄、养老领域开展的重要工作及成果经验进行采写编校，积极宣传先进典型、敬老典范，生动反映老年人积极健康的精神风貌和晚年生活。</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1、法定代表人授权委托书：法定代表人参加单一来源协商的，须提供法定代表人身份证；法定代表人授权本单位他人参加单一来源协商的，须提供法定代表人授权委托书。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029-63917541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代理服务费收费标准：参照国家计委计价格[2002]1980号及发改办价格[2003]857号通知规定标准计取。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更好地宣传陕西老龄工作和养老工作，采购人委托供应商对陕西民政在老龄、养老领域开展的重要工作及成果经验进行采写编校，积极宣传先进典型、敬老典范，生动反映老年人积极健康的精神风貌和晚年生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人口老龄化国情教育专报项目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标的名称：人口老龄化国情教育专报项目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一、项目背景</w:t>
            </w:r>
          </w:p>
          <w:p>
            <w:pPr>
              <w:pStyle w:val="null3"/>
            </w:pPr>
            <w:r>
              <w:rPr>
                <w:rFonts w:ascii="仿宋_GB2312" w:hAnsi="仿宋_GB2312" w:cs="仿宋_GB2312" w:eastAsia="仿宋_GB2312"/>
              </w:rPr>
              <w:t>为贯彻落实积极应对人口老龄化国家战略，加强陕西老龄工作和养老服务领域典型经验宣传，推动老年友好型社会建设营造良好舆论氛围，根据《国务院关于印发“十四五”国家老龄事业发展和养老服务体系规划的通知》（国发〔2021〕35号）和《陕西省老龄工作委员会关于印发&lt;陕西省“十四五”老龄事业发展规划和二〇三五年远景目标&gt;的通知》（陕老龄委发 〔2021〕 2号）要求，丰富陕西省老年人文体休闲生活和精神文化生活，宣传陕西老龄工作、养老事业和养老产业工作。</w:t>
            </w:r>
          </w:p>
          <w:p>
            <w:pPr>
              <w:pStyle w:val="null3"/>
            </w:pPr>
            <w:r>
              <w:rPr>
                <w:rFonts w:ascii="仿宋_GB2312" w:hAnsi="仿宋_GB2312" w:cs="仿宋_GB2312" w:eastAsia="仿宋_GB2312"/>
              </w:rPr>
              <w:t>二、项目概述</w:t>
            </w:r>
          </w:p>
          <w:p>
            <w:pPr>
              <w:pStyle w:val="null3"/>
            </w:pPr>
            <w:r>
              <w:rPr>
                <w:rFonts w:ascii="仿宋_GB2312" w:hAnsi="仿宋_GB2312" w:cs="仿宋_GB2312" w:eastAsia="仿宋_GB2312"/>
              </w:rPr>
              <w:t>为更好地宣传陕西老龄工作和养老工作，采购人委托供应商对陕西民政在老龄、养老领域开展的重要工作及成果经验进行采写编校，积极宣传先进典型、敬老典范，生动反映老年人积极健康的精神风貌和晚年生活。</w:t>
            </w:r>
          </w:p>
          <w:p>
            <w:pPr>
              <w:pStyle w:val="null3"/>
            </w:pPr>
            <w:r>
              <w:rPr>
                <w:rFonts w:ascii="仿宋_GB2312" w:hAnsi="仿宋_GB2312" w:cs="仿宋_GB2312" w:eastAsia="仿宋_GB2312"/>
              </w:rPr>
              <w:t>三、合作方案</w:t>
            </w:r>
          </w:p>
          <w:p>
            <w:pPr>
              <w:pStyle w:val="null3"/>
            </w:pPr>
            <w:r>
              <w:rPr>
                <w:rFonts w:ascii="仿宋_GB2312" w:hAnsi="仿宋_GB2312" w:cs="仿宋_GB2312" w:eastAsia="仿宋_GB2312"/>
              </w:rPr>
              <w:t>（一）合作方式：</w:t>
            </w:r>
          </w:p>
          <w:p>
            <w:pPr>
              <w:pStyle w:val="null3"/>
            </w:pPr>
            <w:r>
              <w:rPr>
                <w:rFonts w:ascii="仿宋_GB2312" w:hAnsi="仿宋_GB2312" w:cs="仿宋_GB2312" w:eastAsia="仿宋_GB2312"/>
              </w:rPr>
              <w:t>供应商按照采购人老龄新闻宣传工作要求，负责组织采写编辑审校推送全省贯彻落实老龄政策法规、组织开展老龄工作先进经验做法、老龄工作先进个人事迹等内容的新闻报道作品，稿件体裁为新闻消息、通讯、言论、调研报告、深度报道等。</w:t>
            </w:r>
          </w:p>
          <w:p>
            <w:pPr>
              <w:pStyle w:val="null3"/>
            </w:pPr>
            <w:r>
              <w:rPr>
                <w:rFonts w:ascii="仿宋_GB2312" w:hAnsi="仿宋_GB2312" w:cs="仿宋_GB2312" w:eastAsia="仿宋_GB2312"/>
              </w:rPr>
              <w:t>采取“版面+新媒体”多元化宣传模式。</w:t>
            </w:r>
          </w:p>
          <w:p>
            <w:pPr>
              <w:pStyle w:val="null3"/>
            </w:pPr>
            <w:r>
              <w:rPr>
                <w:rFonts w:ascii="仿宋_GB2312" w:hAnsi="仿宋_GB2312" w:cs="仿宋_GB2312" w:eastAsia="仿宋_GB2312"/>
              </w:rPr>
              <w:t>版面宣传：专版主要安排在《中国老年报》当期的第三版或第四版，版面所涉及内容及图片由采购人提供；重要稿件经采购人与供应商双方共同协商确认后可移至一版头条刊发，头版头条视为一个专版。如采购人有重要报道，当日一个版不能承载的，经采购人与供应商双方共同协商后，酌情刊发。</w:t>
            </w:r>
          </w:p>
          <w:p>
            <w:pPr>
              <w:pStyle w:val="null3"/>
            </w:pPr>
            <w:r>
              <w:rPr>
                <w:rFonts w:ascii="仿宋_GB2312" w:hAnsi="仿宋_GB2312" w:cs="仿宋_GB2312" w:eastAsia="仿宋_GB2312"/>
              </w:rPr>
              <w:t>新媒体宣传：作为对版面宣传的补充，超过专版承载量的稿件，可由供应商主办的微信公众号与视频号发布，以5-8篇为1期，计入双方约定的总刊登期数。</w:t>
            </w:r>
          </w:p>
          <w:p>
            <w:pPr>
              <w:pStyle w:val="null3"/>
            </w:pPr>
            <w:r>
              <w:rPr>
                <w:rFonts w:ascii="仿宋_GB2312" w:hAnsi="仿宋_GB2312" w:cs="仿宋_GB2312" w:eastAsia="仿宋_GB2312"/>
              </w:rPr>
              <w:t>（三）采编期数和供稿规格：</w:t>
            </w:r>
          </w:p>
          <w:p>
            <w:pPr>
              <w:pStyle w:val="null3"/>
            </w:pPr>
            <w:r>
              <w:rPr>
                <w:rFonts w:ascii="仿宋_GB2312" w:hAnsi="仿宋_GB2312" w:cs="仿宋_GB2312" w:eastAsia="仿宋_GB2312"/>
              </w:rPr>
              <w:t>采编期数：每年（非自然年）采编期数暂定为35期，具体以实际采集期数为准。供稿规格：每期供稿不少于8篇，字数不少于7000字。</w:t>
            </w:r>
          </w:p>
          <w:p>
            <w:pPr>
              <w:pStyle w:val="null3"/>
            </w:pPr>
            <w:r>
              <w:rPr>
                <w:rFonts w:ascii="仿宋_GB2312" w:hAnsi="仿宋_GB2312" w:cs="仿宋_GB2312" w:eastAsia="仿宋_GB2312"/>
              </w:rPr>
              <w:t>（四）刊登时间。</w:t>
            </w:r>
          </w:p>
          <w:p>
            <w:pPr>
              <w:pStyle w:val="null3"/>
            </w:pPr>
            <w:r>
              <w:rPr>
                <w:rFonts w:ascii="仿宋_GB2312" w:hAnsi="仿宋_GB2312" w:cs="仿宋_GB2312" w:eastAsia="仿宋_GB2312"/>
              </w:rPr>
              <w:t>供应商有权对采购人提供的稿件或图片进行内容审核，并在审核通过后的7日内进行排版刊登，具体刊登时间及版面由供应商确定。对于采购人即时性宣传需求，经双方协商后，供应商予以配合。</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从2025年12月至2026年12月。本项目服务合同期满后，采购人可根据供应商合同履行情况，研究商定本项目下一年度合同续约事宜，该协议最多续签两次。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陕西省民政厅指定地点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法定代表人参加单一来源协商的，须提供法定代表人身份证；法定代表人授权本单位他人参加单一来源协商的，须提供法定代表人授权委托书。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满足本协商文件中第三章中商务要求的“服务期限、服务地点、支付方式及约定”的实质性条款要求的。</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供应商响应报价未超过预算金额或最高限价</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按照协商文件规定要求签署、盖章的</w:t>
            </w:r>
          </w:p>
        </w:tc>
        <w:tc>
          <w:tcPr>
            <w:tcW w:type="dxa" w:w="1661"/>
          </w:tcPr>
          <w:p>
            <w:pPr>
              <w:pStyle w:val="null3"/>
            </w:pPr>
            <w:r>
              <w:rPr>
                <w:rFonts w:ascii="仿宋_GB2312" w:hAnsi="仿宋_GB2312" w:cs="仿宋_GB2312" w:eastAsia="仿宋_GB2312"/>
              </w:rPr>
              <w:t>响应文件封面 2资格证明文件.docx 4技术响应与偏离表、服务承诺、组织机构.docx 3商务部分偏离表.docx 中小企业声明函 残疾人福利性单位声明函 1分项价格表.docx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5采购标的成本说明、同类项目合同价格说明.docx 4技术响应与偏离表、服务承诺、组织机构.docx 6供应商认为需要提供的其他资料.docx 7服务方案.docx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详见附件：4技术响应与偏离表、服务承诺、组织机构.docx</w:t>
      </w:r>
    </w:p>
    <w:p>
      <w:pPr>
        <w:pStyle w:val="null3"/>
        <w:ind w:firstLine="960"/>
      </w:pPr>
      <w:r>
        <w:rPr>
          <w:rFonts w:ascii="仿宋_GB2312" w:hAnsi="仿宋_GB2312" w:cs="仿宋_GB2312" w:eastAsia="仿宋_GB2312"/>
        </w:rPr>
        <w:t>详见附件：5采购标的成本说明、同类项目合同价格说明.docx</w:t>
      </w:r>
    </w:p>
    <w:p>
      <w:pPr>
        <w:pStyle w:val="null3"/>
        <w:ind w:firstLine="960"/>
      </w:pPr>
      <w:r>
        <w:rPr>
          <w:rFonts w:ascii="仿宋_GB2312" w:hAnsi="仿宋_GB2312" w:cs="仿宋_GB2312" w:eastAsia="仿宋_GB2312"/>
        </w:rPr>
        <w:t>详见附件：6供应商认为需要提供的其他资料.docx</w:t>
      </w:r>
    </w:p>
    <w:p>
      <w:pPr>
        <w:pStyle w:val="null3"/>
        <w:ind w:firstLine="960"/>
      </w:pPr>
      <w:r>
        <w:rPr>
          <w:rFonts w:ascii="仿宋_GB2312" w:hAnsi="仿宋_GB2312" w:cs="仿宋_GB2312" w:eastAsia="仿宋_GB2312"/>
        </w:rPr>
        <w:t>详见附件：7服务方案.docx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