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A1012">
      <w:pPr>
        <w:rPr>
          <w:rFonts w:hint="eastAsia" w:ascii="宋体" w:hAnsi="宋体" w:eastAsia="宋体" w:cs="宋体"/>
          <w:color w:val="auto"/>
          <w:sz w:val="24"/>
          <w:szCs w:val="24"/>
          <w:highlight w:val="none"/>
        </w:rPr>
      </w:pPr>
    </w:p>
    <w:p w14:paraId="71C8FDEA">
      <w:pPr>
        <w:pStyle w:val="5"/>
        <w:ind w:firstLine="480" w:firstLineChars="200"/>
        <w:rPr>
          <w:rFonts w:hint="eastAsia" w:ascii="宋体" w:hAnsi="宋体" w:eastAsia="宋体" w:cs="宋体"/>
          <w:color w:val="auto"/>
          <w:sz w:val="24"/>
          <w:szCs w:val="24"/>
          <w:highlight w:val="none"/>
        </w:rPr>
      </w:pPr>
    </w:p>
    <w:p w14:paraId="62F7F812">
      <w:pPr>
        <w:pStyle w:val="5"/>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____________项目</w:t>
      </w:r>
    </w:p>
    <w:p w14:paraId="5F289DE4">
      <w:pPr>
        <w:pStyle w:val="5"/>
        <w:rPr>
          <w:rFonts w:hint="eastAsia" w:ascii="宋体" w:hAnsi="宋体" w:eastAsia="宋体" w:cs="宋体"/>
          <w:color w:val="auto"/>
          <w:sz w:val="28"/>
          <w:szCs w:val="28"/>
          <w:highlight w:val="none"/>
        </w:rPr>
      </w:pPr>
    </w:p>
    <w:p w14:paraId="376915F4">
      <w:pPr>
        <w:pStyle w:val="5"/>
        <w:ind w:firstLine="560" w:firstLineChars="200"/>
        <w:rPr>
          <w:rFonts w:hint="eastAsia" w:ascii="宋体" w:hAnsi="宋体" w:eastAsia="宋体" w:cs="宋体"/>
          <w:color w:val="auto"/>
          <w:sz w:val="28"/>
          <w:szCs w:val="28"/>
          <w:highlight w:val="none"/>
        </w:rPr>
      </w:pPr>
    </w:p>
    <w:p w14:paraId="75D1F73D">
      <w:pPr>
        <w:pStyle w:val="3"/>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　　同</w:t>
      </w:r>
    </w:p>
    <w:p w14:paraId="56A09593">
      <w:pPr>
        <w:pStyle w:val="5"/>
        <w:ind w:firstLine="560" w:firstLineChars="200"/>
        <w:rPr>
          <w:rFonts w:hint="eastAsia" w:ascii="宋体" w:hAnsi="宋体" w:eastAsia="宋体" w:cs="宋体"/>
          <w:color w:val="auto"/>
          <w:sz w:val="28"/>
          <w:szCs w:val="28"/>
          <w:highlight w:val="none"/>
        </w:rPr>
      </w:pPr>
    </w:p>
    <w:p w14:paraId="69BA60A1">
      <w:pPr>
        <w:pStyle w:val="5"/>
        <w:ind w:firstLine="560" w:firstLineChars="200"/>
        <w:rPr>
          <w:rFonts w:hint="eastAsia" w:ascii="宋体" w:hAnsi="宋体" w:eastAsia="宋体" w:cs="宋体"/>
          <w:color w:val="auto"/>
          <w:sz w:val="28"/>
          <w:szCs w:val="28"/>
          <w:highlight w:val="none"/>
        </w:rPr>
      </w:pPr>
      <w:bookmarkStart w:id="0" w:name="_GoBack"/>
      <w:bookmarkEnd w:id="0"/>
    </w:p>
    <w:p w14:paraId="0B9E2C56">
      <w:pPr>
        <w:pStyle w:val="5"/>
        <w:ind w:firstLine="560" w:firstLineChars="200"/>
        <w:rPr>
          <w:rFonts w:hint="eastAsia" w:ascii="宋体" w:hAnsi="宋体" w:eastAsia="宋体" w:cs="宋体"/>
          <w:color w:val="auto"/>
          <w:sz w:val="28"/>
          <w:szCs w:val="28"/>
          <w:highlight w:val="none"/>
        </w:rPr>
      </w:pPr>
    </w:p>
    <w:p w14:paraId="595EAA6C">
      <w:pPr>
        <w:pStyle w:val="5"/>
        <w:ind w:firstLine="560" w:firstLineChars="200"/>
        <w:rPr>
          <w:rFonts w:hint="eastAsia" w:ascii="宋体" w:hAnsi="宋体" w:eastAsia="宋体" w:cs="宋体"/>
          <w:color w:val="auto"/>
          <w:sz w:val="28"/>
          <w:szCs w:val="28"/>
          <w:highlight w:val="none"/>
        </w:rPr>
      </w:pPr>
    </w:p>
    <w:p w14:paraId="66E8F05F">
      <w:pPr>
        <w:pStyle w:val="5"/>
        <w:ind w:firstLine="1680" w:firstLineChars="6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合同编号：____________________</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p>
    <w:p w14:paraId="787580B7">
      <w:pPr>
        <w:pStyle w:val="5"/>
        <w:ind w:firstLine="560" w:firstLineChars="200"/>
        <w:jc w:val="center"/>
        <w:rPr>
          <w:rFonts w:hint="eastAsia" w:ascii="宋体" w:hAnsi="宋体" w:eastAsia="宋体" w:cs="宋体"/>
          <w:color w:val="auto"/>
          <w:sz w:val="28"/>
          <w:szCs w:val="28"/>
          <w:highlight w:val="none"/>
        </w:rPr>
      </w:pPr>
    </w:p>
    <w:p w14:paraId="1AA8CDA2">
      <w:pPr>
        <w:pStyle w:val="5"/>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甲　　方：____________________(采购人名称)</w:t>
      </w:r>
      <w:r>
        <w:rPr>
          <w:rFonts w:hint="eastAsia" w:ascii="宋体" w:hAnsi="宋体" w:eastAsia="宋体" w:cs="宋体"/>
          <w:color w:val="auto"/>
          <w:sz w:val="28"/>
          <w:szCs w:val="28"/>
          <w:highlight w:val="none"/>
        </w:rPr>
        <w:tab/>
      </w:r>
    </w:p>
    <w:p w14:paraId="48FDBAD0">
      <w:pPr>
        <w:pStyle w:val="5"/>
        <w:ind w:firstLine="560" w:firstLineChars="200"/>
        <w:jc w:val="center"/>
        <w:rPr>
          <w:rFonts w:hint="eastAsia" w:ascii="宋体" w:hAnsi="宋体" w:eastAsia="宋体" w:cs="宋体"/>
          <w:color w:val="auto"/>
          <w:sz w:val="28"/>
          <w:szCs w:val="28"/>
          <w:highlight w:val="none"/>
        </w:rPr>
      </w:pPr>
    </w:p>
    <w:p w14:paraId="46D9D74C">
      <w:pPr>
        <w:pStyle w:val="5"/>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乙　　方：____________________(成交供应商名称)</w:t>
      </w:r>
    </w:p>
    <w:p w14:paraId="5D42F27D">
      <w:pPr>
        <w:pStyle w:val="5"/>
        <w:spacing w:line="336" w:lineRule="auto"/>
        <w:ind w:firstLine="960" w:firstLineChars="300"/>
        <w:rPr>
          <w:rFonts w:hint="eastAsia" w:ascii="宋体" w:hAnsi="宋体" w:eastAsia="宋体" w:cs="宋体"/>
          <w:color w:val="auto"/>
          <w:sz w:val="28"/>
          <w:szCs w:val="28"/>
          <w:highlight w:val="none"/>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1.合同文件</w:t>
      </w:r>
    </w:p>
    <w:p w14:paraId="635322D0">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下列文件是构成本合同不可分割的部分：</w:t>
      </w:r>
    </w:p>
    <w:p w14:paraId="57B8353E">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(1)合同条款；</w:t>
      </w:r>
    </w:p>
    <w:p w14:paraId="7704DB6E">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(2)成交通知书；</w:t>
      </w:r>
    </w:p>
    <w:p w14:paraId="5FE95D11">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单一来源</w:t>
      </w:r>
      <w:r>
        <w:rPr>
          <w:rFonts w:hint="eastAsia" w:ascii="宋体" w:hAnsi="宋体" w:eastAsia="宋体" w:cs="宋体"/>
          <w:color w:val="auto"/>
          <w:sz w:val="28"/>
          <w:szCs w:val="28"/>
          <w:highlight w:val="none"/>
        </w:rPr>
        <w:t>文件；</w:t>
      </w:r>
    </w:p>
    <w:p w14:paraId="2823D438">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(4)响应文件；</w:t>
      </w:r>
    </w:p>
    <w:p w14:paraId="584E1160">
      <w:pPr>
        <w:pStyle w:val="5"/>
        <w:spacing w:line="336" w:lineRule="auto"/>
        <w:ind w:firstLine="420" w:firstLineChars="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（5）其他(根据实际情况需要增加的内容)。</w:t>
      </w:r>
    </w:p>
    <w:p w14:paraId="5FF32379">
      <w:pPr>
        <w:pStyle w:val="5"/>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2.合同标的(根据实际情况填写)</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816" w:type="dxa"/>
            <w:vAlign w:val="center"/>
          </w:tcPr>
          <w:p w14:paraId="77B3B1E6">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16" w:type="dxa"/>
            <w:vAlign w:val="center"/>
          </w:tcPr>
          <w:p w14:paraId="1D000307">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5164" w:type="dxa"/>
            <w:vAlign w:val="center"/>
          </w:tcPr>
          <w:p w14:paraId="54FF3EDA">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5"/>
              <w:jc w:val="center"/>
              <w:rPr>
                <w:rFonts w:hint="eastAsia" w:ascii="宋体" w:hAnsi="宋体" w:eastAsia="宋体" w:cs="宋体"/>
                <w:color w:val="auto"/>
                <w:sz w:val="24"/>
                <w:szCs w:val="24"/>
                <w:highlight w:val="none"/>
              </w:rPr>
            </w:pPr>
          </w:p>
        </w:tc>
        <w:tc>
          <w:tcPr>
            <w:tcW w:w="816" w:type="dxa"/>
            <w:vAlign w:val="center"/>
          </w:tcPr>
          <w:p w14:paraId="284786C3">
            <w:pPr>
              <w:pStyle w:val="5"/>
              <w:jc w:val="center"/>
              <w:rPr>
                <w:rFonts w:hint="eastAsia" w:ascii="宋体" w:hAnsi="宋体" w:eastAsia="宋体" w:cs="宋体"/>
                <w:color w:val="auto"/>
                <w:sz w:val="24"/>
                <w:szCs w:val="24"/>
                <w:highlight w:val="none"/>
              </w:rPr>
            </w:pPr>
          </w:p>
        </w:tc>
        <w:tc>
          <w:tcPr>
            <w:tcW w:w="816" w:type="dxa"/>
            <w:vAlign w:val="center"/>
          </w:tcPr>
          <w:p w14:paraId="1A4EDF61">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w:t>
            </w:r>
          </w:p>
        </w:tc>
        <w:tc>
          <w:tcPr>
            <w:tcW w:w="5164" w:type="dxa"/>
            <w:vAlign w:val="center"/>
          </w:tcPr>
          <w:p w14:paraId="36FC584C">
            <w:pPr>
              <w:pStyle w:val="5"/>
              <w:jc w:val="center"/>
              <w:rPr>
                <w:rFonts w:hint="eastAsia" w:ascii="宋体" w:hAnsi="宋体" w:eastAsia="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816" w:type="dxa"/>
            <w:vAlign w:val="center"/>
          </w:tcPr>
          <w:p w14:paraId="76DB46F5">
            <w:pPr>
              <w:pStyle w:val="5"/>
              <w:jc w:val="center"/>
              <w:rPr>
                <w:rFonts w:hint="eastAsia" w:ascii="宋体" w:hAnsi="宋体" w:eastAsia="宋体" w:cs="宋体"/>
                <w:color w:val="auto"/>
                <w:sz w:val="24"/>
                <w:szCs w:val="24"/>
                <w:highlight w:val="none"/>
              </w:rPr>
            </w:pPr>
          </w:p>
        </w:tc>
        <w:tc>
          <w:tcPr>
            <w:tcW w:w="816" w:type="dxa"/>
            <w:vAlign w:val="center"/>
          </w:tcPr>
          <w:p w14:paraId="679F250C">
            <w:pPr>
              <w:pStyle w:val="5"/>
              <w:jc w:val="center"/>
              <w:rPr>
                <w:rFonts w:hint="eastAsia" w:ascii="宋体" w:hAnsi="宋体" w:eastAsia="宋体" w:cs="宋体"/>
                <w:color w:val="auto"/>
                <w:sz w:val="24"/>
                <w:szCs w:val="24"/>
                <w:highlight w:val="none"/>
              </w:rPr>
            </w:pPr>
          </w:p>
        </w:tc>
        <w:tc>
          <w:tcPr>
            <w:tcW w:w="5164" w:type="dxa"/>
            <w:vAlign w:val="center"/>
          </w:tcPr>
          <w:p w14:paraId="3B406883">
            <w:pPr>
              <w:pStyle w:val="5"/>
              <w:jc w:val="center"/>
              <w:rPr>
                <w:rFonts w:hint="eastAsia" w:ascii="宋体" w:hAnsi="宋体" w:eastAsia="宋体" w:cs="宋体"/>
                <w:color w:val="auto"/>
                <w:sz w:val="24"/>
                <w:szCs w:val="24"/>
                <w:highlight w:val="none"/>
              </w:rPr>
            </w:pPr>
          </w:p>
        </w:tc>
      </w:tr>
    </w:tbl>
    <w:p w14:paraId="7E3BCBCB">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3.合同金额及付款方式</w:t>
      </w:r>
    </w:p>
    <w:p w14:paraId="19A5CF03">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3.1合同金额</w:t>
      </w:r>
    </w:p>
    <w:p w14:paraId="612746C3">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3.2付款方式</w:t>
      </w:r>
    </w:p>
    <w:p w14:paraId="5093D7A8">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4.合同签订地：</w:t>
      </w:r>
      <w:r>
        <w:rPr>
          <w:rFonts w:hint="eastAsia" w:ascii="宋体" w:hAnsi="宋体" w:eastAsia="宋体" w:cs="宋体"/>
          <w:color w:val="auto"/>
          <w:sz w:val="28"/>
          <w:szCs w:val="28"/>
          <w:highlight w:val="none"/>
          <w:u w:val="single"/>
        </w:rPr>
        <w:t xml:space="preserve">         </w:t>
      </w:r>
    </w:p>
    <w:p w14:paraId="06629EC9">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根据实际情况填写</w:t>
      </w:r>
    </w:p>
    <w:p w14:paraId="1C265097">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5.合同生效</w:t>
      </w:r>
    </w:p>
    <w:p w14:paraId="09EDF26A">
      <w:pPr>
        <w:pStyle w:val="5"/>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本合同一式肆份，甲方执贰份、乙方执贰份。在甲、乙</w:t>
      </w:r>
      <w:r>
        <w:rPr>
          <w:rFonts w:hint="eastAsia" w:ascii="宋体" w:hAnsi="宋体" w:eastAsia="宋体" w:cs="宋体"/>
          <w:color w:val="auto"/>
          <w:sz w:val="28"/>
          <w:szCs w:val="28"/>
          <w:highlight w:val="none"/>
          <w:lang w:val="en-US" w:eastAsia="zh-CN"/>
        </w:rPr>
        <w:t>双</w:t>
      </w:r>
      <w:r>
        <w:rPr>
          <w:rFonts w:hint="eastAsia" w:ascii="宋体" w:hAnsi="宋体" w:eastAsia="宋体" w:cs="宋体"/>
          <w:color w:val="auto"/>
          <w:sz w:val="28"/>
          <w:szCs w:val="28"/>
          <w:highlight w:val="none"/>
        </w:rPr>
        <w:t>方签字盖章后生效。</w:t>
      </w:r>
    </w:p>
    <w:tbl>
      <w:tblPr>
        <w:tblStyle w:val="7"/>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hint="eastAsia" w:ascii="宋体" w:hAnsi="宋体" w:eastAsia="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     年   月   日</w:t>
            </w:r>
          </w:p>
        </w:tc>
      </w:tr>
    </w:tbl>
    <w:p w14:paraId="6BE31C2F">
      <w:pPr>
        <w:pStyle w:val="5"/>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w:t>
      </w:r>
    </w:p>
    <w:p w14:paraId="24989CD6">
      <w:pPr>
        <w:pStyle w:val="5"/>
        <w:rPr>
          <w:rFonts w:hint="eastAsia" w:ascii="宋体" w:hAnsi="宋体" w:eastAsia="宋体" w:cs="宋体"/>
          <w:color w:val="auto"/>
          <w:sz w:val="32"/>
          <w:szCs w:val="32"/>
          <w:highlight w:val="none"/>
        </w:rPr>
      </w:pPr>
    </w:p>
    <w:p w14:paraId="0D1E2767">
      <w:pPr>
        <w:pStyle w:val="5"/>
        <w:rPr>
          <w:rFonts w:hint="eastAsia" w:ascii="宋体" w:hAnsi="宋体" w:eastAsia="宋体" w:cs="宋体"/>
          <w:color w:val="auto"/>
          <w:sz w:val="32"/>
          <w:szCs w:val="32"/>
          <w:highlight w:val="none"/>
        </w:rPr>
      </w:pPr>
    </w:p>
    <w:p w14:paraId="40289BE4">
      <w:pPr>
        <w:pStyle w:val="5"/>
        <w:rPr>
          <w:rFonts w:hint="eastAsia" w:ascii="宋体" w:hAnsi="宋体" w:eastAsia="宋体" w:cs="宋体"/>
          <w:color w:val="auto"/>
          <w:sz w:val="32"/>
          <w:szCs w:val="32"/>
          <w:highlight w:val="none"/>
        </w:rPr>
      </w:pPr>
    </w:p>
    <w:p w14:paraId="42818A80">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77062B92">
      <w:pPr>
        <w:pStyle w:val="5"/>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一、合同条款</w:t>
      </w:r>
    </w:p>
    <w:p w14:paraId="40ABEEBF">
      <w:pPr>
        <w:pStyle w:val="5"/>
        <w:ind w:firstLine="64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合同条款前附表</w:t>
      </w:r>
    </w:p>
    <w:tbl>
      <w:tblPr>
        <w:tblStyle w:val="7"/>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7646" w:type="dxa"/>
            <w:vAlign w:val="center"/>
          </w:tcPr>
          <w:p w14:paraId="20B43E79">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646" w:type="dxa"/>
            <w:vAlign w:val="center"/>
          </w:tcPr>
          <w:p w14:paraId="195FEF87">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合同名称：</w:t>
            </w:r>
          </w:p>
          <w:p w14:paraId="3EEF6559">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7646" w:type="dxa"/>
            <w:vAlign w:val="center"/>
          </w:tcPr>
          <w:p w14:paraId="3CF82FD3">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5"/>
              <w:jc w:val="center"/>
              <w:rPr>
                <w:rFonts w:hint="eastAsia" w:ascii="宋体" w:hAnsi="宋体" w:eastAsia="宋体" w:cs="宋体"/>
                <w:color w:val="auto"/>
                <w:sz w:val="24"/>
                <w:szCs w:val="24"/>
                <w:highlight w:val="none"/>
              </w:rPr>
            </w:pPr>
          </w:p>
        </w:tc>
        <w:tc>
          <w:tcPr>
            <w:tcW w:w="7646" w:type="dxa"/>
            <w:vAlign w:val="center"/>
          </w:tcPr>
          <w:p w14:paraId="0973870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5"/>
              <w:jc w:val="center"/>
              <w:rPr>
                <w:rFonts w:hint="eastAsia" w:ascii="宋体" w:hAnsi="宋体" w:eastAsia="宋体" w:cs="宋体"/>
                <w:color w:val="auto"/>
                <w:sz w:val="24"/>
                <w:szCs w:val="24"/>
                <w:highlight w:val="none"/>
              </w:rPr>
            </w:pPr>
          </w:p>
        </w:tc>
        <w:tc>
          <w:tcPr>
            <w:tcW w:w="7646" w:type="dxa"/>
            <w:vAlign w:val="center"/>
          </w:tcPr>
          <w:p w14:paraId="16F806E1">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5"/>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646" w:type="dxa"/>
            <w:vAlign w:val="center"/>
          </w:tcPr>
          <w:p w14:paraId="2A8012F8">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5"/>
              <w:jc w:val="center"/>
              <w:rPr>
                <w:rFonts w:hint="eastAsia" w:ascii="宋体" w:hAnsi="宋体" w:eastAsia="宋体" w:cs="宋体"/>
                <w:color w:val="auto"/>
                <w:sz w:val="24"/>
                <w:szCs w:val="24"/>
                <w:highlight w:val="none"/>
              </w:rPr>
            </w:pPr>
          </w:p>
        </w:tc>
        <w:tc>
          <w:tcPr>
            <w:tcW w:w="7646" w:type="dxa"/>
            <w:vAlign w:val="center"/>
          </w:tcPr>
          <w:p w14:paraId="5812BC59">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5"/>
              <w:jc w:val="center"/>
              <w:rPr>
                <w:rFonts w:hint="eastAsia" w:ascii="宋体" w:hAnsi="宋体" w:eastAsia="宋体" w:cs="宋体"/>
                <w:color w:val="auto"/>
                <w:sz w:val="24"/>
                <w:szCs w:val="24"/>
                <w:highlight w:val="none"/>
              </w:rPr>
            </w:pPr>
          </w:p>
        </w:tc>
        <w:tc>
          <w:tcPr>
            <w:tcW w:w="7646" w:type="dxa"/>
            <w:vAlign w:val="center"/>
          </w:tcPr>
          <w:p w14:paraId="64E80B93">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5"/>
              <w:jc w:val="center"/>
              <w:rPr>
                <w:rFonts w:hint="eastAsia" w:ascii="宋体" w:hAnsi="宋体" w:eastAsia="宋体" w:cs="宋体"/>
                <w:color w:val="auto"/>
                <w:sz w:val="24"/>
                <w:szCs w:val="24"/>
                <w:highlight w:val="none"/>
              </w:rPr>
            </w:pPr>
          </w:p>
        </w:tc>
        <w:tc>
          <w:tcPr>
            <w:tcW w:w="7646" w:type="dxa"/>
            <w:vAlign w:val="center"/>
          </w:tcPr>
          <w:p w14:paraId="58C73FF5">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乙方开户银行名称：</w:t>
            </w:r>
          </w:p>
          <w:p w14:paraId="461D6D92">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p>
        </w:tc>
        <w:tc>
          <w:tcPr>
            <w:tcW w:w="7646" w:type="dxa"/>
            <w:vAlign w:val="center"/>
          </w:tcPr>
          <w:p w14:paraId="6A2B79FD">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7646" w:type="dxa"/>
            <w:vAlign w:val="center"/>
          </w:tcPr>
          <w:p w14:paraId="206484A8">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7646" w:type="dxa"/>
            <w:vAlign w:val="center"/>
          </w:tcPr>
          <w:p w14:paraId="68FA3F0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7646" w:type="dxa"/>
            <w:vAlign w:val="center"/>
          </w:tcPr>
          <w:p w14:paraId="40F74959">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p>
        </w:tc>
        <w:tc>
          <w:tcPr>
            <w:tcW w:w="7646" w:type="dxa"/>
            <w:vAlign w:val="center"/>
          </w:tcPr>
          <w:p w14:paraId="4B9F66CD">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p>
        </w:tc>
        <w:tc>
          <w:tcPr>
            <w:tcW w:w="7646" w:type="dxa"/>
            <w:vAlign w:val="center"/>
          </w:tcPr>
          <w:p w14:paraId="56CDD84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5"/>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p>
        </w:tc>
        <w:tc>
          <w:tcPr>
            <w:tcW w:w="7646" w:type="dxa"/>
            <w:vAlign w:val="center"/>
          </w:tcPr>
          <w:p w14:paraId="06A5B89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□违约金约定：</w:t>
            </w:r>
          </w:p>
          <w:p w14:paraId="1775989D">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5"/>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7646" w:type="dxa"/>
            <w:vAlign w:val="center"/>
          </w:tcPr>
          <w:p w14:paraId="236C6A8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5"/>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7646" w:type="dxa"/>
            <w:vAlign w:val="center"/>
          </w:tcPr>
          <w:p w14:paraId="08BB4BA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5"/>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7646" w:type="dxa"/>
            <w:vAlign w:val="center"/>
          </w:tcPr>
          <w:p w14:paraId="76F95002">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合同纠纷的解决方式：</w:t>
            </w:r>
          </w:p>
          <w:p w14:paraId="6B10D72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首先通过双方协商解决，协商解决不成，则通过以下途径之一解决纠纷(请在方框内画“√”选择)：</w:t>
            </w:r>
          </w:p>
          <w:p w14:paraId="11FC17A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□提请______仲裁委员会按照仲裁程序在______(仲裁地)仲裁</w:t>
            </w:r>
          </w:p>
          <w:p w14:paraId="4B9F7EB7">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□向甲方住所地人民法院提起诉讼</w:t>
            </w:r>
          </w:p>
        </w:tc>
      </w:tr>
    </w:tbl>
    <w:p w14:paraId="63C9EF4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1.定义</w:t>
      </w:r>
    </w:p>
    <w:p w14:paraId="3883843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本合同下列术语应解释为：</w:t>
      </w:r>
    </w:p>
    <w:p w14:paraId="3808A738">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　“甲方”是指采购人。</w:t>
      </w:r>
    </w:p>
    <w:p w14:paraId="7246BF0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　“乙方”是指成交供应商。</w:t>
      </w:r>
    </w:p>
    <w:p w14:paraId="06B777C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　“服务”是指乙方按照招标(采购)、投标(响应)文件要求，向采购人提供的技术支持服务。</w:t>
      </w:r>
    </w:p>
    <w:p w14:paraId="4754815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　“项目现场”是指甲方指定的最终服务地点。</w:t>
      </w:r>
    </w:p>
    <w:p w14:paraId="3229404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“天”除非特别指出，“天”均为自然天。</w:t>
      </w:r>
    </w:p>
    <w:p w14:paraId="0BFCB22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2.服务标准</w:t>
      </w:r>
    </w:p>
    <w:p w14:paraId="325FD32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016ADB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　除非技术要求中另有规定，计量单位均采用中华人民共和国法定计量单位。</w:t>
      </w:r>
    </w:p>
    <w:p w14:paraId="7C3237E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3.服务</w:t>
      </w:r>
    </w:p>
    <w:p w14:paraId="56A3E64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3.1　乙方应按照合同的规定，提供下列服务甲方提供符合要求的服务。</w:t>
      </w:r>
    </w:p>
    <w:p w14:paraId="4E92A3A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4.知识产权</w:t>
      </w:r>
    </w:p>
    <w:p w14:paraId="7D24FA3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8762CCB">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　甲方委托乙方开发的产品，甲方享有知识产权，未经甲方许可不得转让任何第三人。</w:t>
      </w:r>
    </w:p>
    <w:p w14:paraId="6BE15104">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5.保密条款</w:t>
      </w:r>
    </w:p>
    <w:p w14:paraId="5486BC2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(1)应以审慎态度避免泄露、公开或传播甲方的信息；</w:t>
      </w:r>
    </w:p>
    <w:p w14:paraId="582C1AB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(2)未经甲方书面许可，不得对有关信息进行修改、补充、复制；</w:t>
      </w:r>
    </w:p>
    <w:p w14:paraId="07E9A0DD">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(3)未经甲方书面许可，不得将信息以任何方式(如E－mail)携带出甲方场所；</w:t>
      </w:r>
    </w:p>
    <w:p w14:paraId="733017A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(4)未经甲方书面许可，不得将信息透露给任何其他人；</w:t>
      </w:r>
    </w:p>
    <w:p w14:paraId="26130D9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(5)甲方以书面形式提出的其他保密措施。</w:t>
      </w:r>
    </w:p>
    <w:p w14:paraId="7CCA481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5.3　保密期限不受合同有效期的限制，在合同有效期结束后，信息接受方仍应承担保密义务，直至该等信息成为公开信息。</w:t>
      </w:r>
    </w:p>
    <w:p w14:paraId="387B3CE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5.4　甲乙双方如出现泄密行为，泄密方应承担相关的法律责任，包括但是不限于对由此给对方造成的经济损失进行赔偿。</w:t>
      </w:r>
    </w:p>
    <w:p w14:paraId="31CE2A4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6.服务质量保证</w:t>
      </w:r>
    </w:p>
    <w:p w14:paraId="4951E6B2">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7.履约保证金：本项目不涉及</w:t>
      </w:r>
    </w:p>
    <w:p w14:paraId="2AF99F1B">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8.服务时间、地点与验收</w:t>
      </w:r>
    </w:p>
    <w:p w14:paraId="1479CCE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8.1　服务地点：合同条款前附表指定地点。</w:t>
      </w:r>
    </w:p>
    <w:p w14:paraId="7BDB409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8.2　服务时间：合同条款前附表指定时间。</w:t>
      </w:r>
    </w:p>
    <w:p w14:paraId="0E152AD6">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8.3　甲方应在乙方完成相关服务工作后及时对服务质量、技术指标、服务成果进行验收。</w:t>
      </w:r>
    </w:p>
    <w:p w14:paraId="175497E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9.违约责任</w:t>
      </w:r>
    </w:p>
    <w:p w14:paraId="65B2E0B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9.1　服务缺陷的补救措施和索赔</w:t>
      </w:r>
    </w:p>
    <w:p w14:paraId="03596BF8">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(1)如果乙方提供的服务不符合本合同约定以及</w:t>
      </w:r>
      <w:r>
        <w:rPr>
          <w:rFonts w:hint="eastAsia" w:ascii="宋体" w:hAnsi="宋体" w:eastAsia="宋体" w:cs="宋体"/>
          <w:color w:val="auto"/>
          <w:sz w:val="28"/>
          <w:szCs w:val="28"/>
          <w:highlight w:val="none"/>
          <w:lang w:eastAsia="zh-CN"/>
        </w:rPr>
        <w:t>单一来源</w:t>
      </w:r>
      <w:r>
        <w:rPr>
          <w:rFonts w:hint="eastAsia" w:ascii="宋体" w:hAnsi="宋体" w:eastAsia="宋体" w:cs="宋体"/>
          <w:color w:val="auto"/>
          <w:sz w:val="28"/>
          <w:szCs w:val="28"/>
          <w:highlight w:val="none"/>
        </w:rPr>
        <w:t>文件、响应文件关于服务的要求和承诺，乙方应按照甲方同意的下列一种或几种方式结合起来解决索赔事宜：</w:t>
      </w:r>
    </w:p>
    <w:p w14:paraId="3BD9D580">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②根据服务的质量状况以及甲方所遭受的损失，经过甲乙双方商定降低服务的价格。</w:t>
      </w:r>
    </w:p>
    <w:p w14:paraId="0DA2461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9.2　迟延履约的违约责任</w:t>
      </w:r>
    </w:p>
    <w:p w14:paraId="7D038994">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(1)乙方应按照本合同规定的时间、地点提供服务。</w:t>
      </w:r>
    </w:p>
    <w:p w14:paraId="55D3410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9.3　未履行合同义务的违约责任</w:t>
      </w:r>
    </w:p>
    <w:p w14:paraId="313DA76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(1)守约方有权终止全部或部分合同。</w:t>
      </w:r>
    </w:p>
    <w:p w14:paraId="0C516AB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 由违约一方支付违约金，违约金标准见合同条款前附表(各单位可根据实际情况自行约定)。</w:t>
      </w:r>
    </w:p>
    <w:p w14:paraId="0A694AF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 违约金不足以弥补守约方实际损失、可预见或者应当预见的损失，由违约方全额予以赔偿。</w:t>
      </w:r>
    </w:p>
    <w:p w14:paraId="50B89DE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10.不可抗力</w:t>
      </w:r>
    </w:p>
    <w:p w14:paraId="7AE90580">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10.1　如果合同双方因不可抗力而导致合同实施延误或合同无法实施，不应该承担误期赔偿或不能履行合同义务的责任。</w:t>
      </w:r>
    </w:p>
    <w:p w14:paraId="3466368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11.合同纠纷的解决方式</w:t>
      </w:r>
    </w:p>
    <w:p w14:paraId="76D4255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　仲裁裁决应为最终裁决，对双方均具有约束力。</w:t>
      </w:r>
    </w:p>
    <w:p w14:paraId="204CA6D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11.3　仲裁费除仲裁机关另有裁决外应由败诉方负担。</w:t>
      </w:r>
    </w:p>
    <w:p w14:paraId="071971FB">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12.合同修改或变更</w:t>
      </w:r>
    </w:p>
    <w:p w14:paraId="59CDD39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12.1　如无重大变故，甲方双方不得擅自变更合同。</w:t>
      </w:r>
    </w:p>
    <w:p w14:paraId="7FFE55B2">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12.2　如确需变更合同，甲乙双方应签署书面变更协议。变更协议为本合同不可分割的一部分。</w:t>
      </w:r>
    </w:p>
    <w:p w14:paraId="0D9E7C67">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13.合同中止</w:t>
      </w:r>
    </w:p>
    <w:p w14:paraId="178ED15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14.违约终止合同</w:t>
      </w:r>
    </w:p>
    <w:p w14:paraId="0D568BD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14.1.1　如果乙方未能在合同规定的期限或甲方同意延长的期限内提供服务；</w:t>
      </w:r>
    </w:p>
    <w:p w14:paraId="6A133884">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14.1.4　不能满足本项目技术需求的管理要求和规范，且经多次整改无明显改进的；</w:t>
      </w:r>
    </w:p>
    <w:p w14:paraId="167B7456">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14.1.5　在合同规定的每个服务年度(12个自然月)内，在运行维护支持服务过程中，出现2次经甲乙双方确认的违规操作的。</w:t>
      </w:r>
    </w:p>
    <w:p w14:paraId="4D24B27E">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15.破产终止合同</w:t>
      </w:r>
    </w:p>
    <w:p w14:paraId="37D6C05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15.1　如果乙方破产或无清偿能力，甲方可在任何时候以书面形式通知乙方终止合同而不给乙方补偿。</w:t>
      </w:r>
    </w:p>
    <w:p w14:paraId="796B2A91">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15.2　该终止行为将不损害或影响甲方已经采取或将要采取的任何行动或补救措施的权利。</w:t>
      </w:r>
    </w:p>
    <w:p w14:paraId="13AC6C0F">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16.其他情况的终止合同</w:t>
      </w:r>
    </w:p>
    <w:p w14:paraId="628319E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16.1　若合同继续履行将给甲方造成重大损失的，甲方可以终止合同而不给予乙方任何补偿。</w:t>
      </w:r>
    </w:p>
    <w:p w14:paraId="2901F36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16.2　乙方在执行合同的过程中发生重大事故，对履行合同有直接影响的，甲方可以终止合同而不给予乙方任何补偿。</w:t>
      </w:r>
    </w:p>
    <w:p w14:paraId="33EF35F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17.合同转让和分包</w:t>
      </w:r>
    </w:p>
    <w:p w14:paraId="6C0ABC34">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17.1　乙方不得以任何形式将合同转包，或部分或全部转让其应履行的合同义务。</w:t>
      </w:r>
    </w:p>
    <w:p w14:paraId="13B5AE2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17.2　除经甲方事先书面同意外，乙方不得以任何形式将合同分包。</w:t>
      </w:r>
    </w:p>
    <w:p w14:paraId="1FBB91EC">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18.适用法律</w:t>
      </w:r>
    </w:p>
    <w:p w14:paraId="19D6DA95">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19.合同语言</w:t>
      </w:r>
    </w:p>
    <w:p w14:paraId="67F0F70F">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19.1　本合同语言为中文。</w:t>
      </w:r>
    </w:p>
    <w:p w14:paraId="6A76A310">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19.2　双方交换的与合同有关的信件和其他文件应用合同语言书写。</w:t>
      </w:r>
    </w:p>
    <w:p w14:paraId="33AEAA4D">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20.合同生效</w:t>
      </w:r>
    </w:p>
    <w:p w14:paraId="68704F33">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20.1　本合同应在双方签字盖章后生效。</w:t>
      </w:r>
    </w:p>
    <w:p w14:paraId="454E31B0">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21.合同效力</w:t>
      </w:r>
    </w:p>
    <w:p w14:paraId="6AC60D7A">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22.检查和审计</w:t>
      </w:r>
    </w:p>
    <w:p w14:paraId="46D113D9">
      <w:pPr>
        <w:pStyle w:val="5"/>
        <w:spacing w:line="54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22.1在本合同的履行过程中，甲方有权对乙方的合同履约情况进行阶段性检查，并对乙方</w:t>
      </w:r>
      <w:r>
        <w:rPr>
          <w:rFonts w:hint="eastAsia" w:ascii="宋体" w:hAnsi="宋体" w:eastAsia="宋体" w:cs="宋体"/>
          <w:color w:val="auto"/>
          <w:sz w:val="28"/>
          <w:szCs w:val="28"/>
          <w:highlight w:val="none"/>
          <w:lang w:val="en-US" w:eastAsia="zh-CN"/>
        </w:rPr>
        <w:t>协商</w:t>
      </w:r>
      <w:r>
        <w:rPr>
          <w:rFonts w:hint="eastAsia" w:ascii="宋体" w:hAnsi="宋体" w:eastAsia="宋体" w:cs="宋体"/>
          <w:color w:val="auto"/>
          <w:sz w:val="28"/>
          <w:szCs w:val="28"/>
          <w:highlight w:val="none"/>
        </w:rPr>
        <w:t>时提供的相关资料进行复核。</w:t>
      </w:r>
    </w:p>
    <w:p w14:paraId="04BF90F5">
      <w:pPr>
        <w:pStyle w:val="5"/>
        <w:spacing w:line="540" w:lineRule="exact"/>
        <w:ind w:firstLine="560" w:firstLineChars="200"/>
        <w:rPr>
          <w:rFonts w:hint="eastAsia" w:ascii="宋体" w:hAnsi="宋体" w:eastAsia="宋体" w:cs="宋体"/>
          <w:color w:val="auto"/>
          <w:sz w:val="28"/>
          <w:szCs w:val="28"/>
          <w:highlight w:val="none"/>
          <w:lang w:eastAsia="zh-Hans"/>
        </w:rPr>
      </w:pPr>
      <w:r>
        <w:rPr>
          <w:rFonts w:hint="eastAsia" w:ascii="宋体" w:hAnsi="宋体" w:eastAsia="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3EA0D8AC">
      <w:pPr>
        <w:pStyle w:val="10"/>
      </w:pPr>
      <w:r>
        <w:rPr>
          <w:rFonts w:hint="eastAsia" w:ascii="宋体" w:hAnsi="宋体" w:eastAsia="宋体" w:cs="宋体"/>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955D7"/>
    <w:rsid w:val="03A02E2C"/>
    <w:rsid w:val="06360D73"/>
    <w:rsid w:val="12775C33"/>
    <w:rsid w:val="194702D9"/>
    <w:rsid w:val="19AF5431"/>
    <w:rsid w:val="1FF817D7"/>
    <w:rsid w:val="20353FDE"/>
    <w:rsid w:val="26093577"/>
    <w:rsid w:val="280E316D"/>
    <w:rsid w:val="372F00FC"/>
    <w:rsid w:val="37AD46D3"/>
    <w:rsid w:val="4B010D46"/>
    <w:rsid w:val="56116B96"/>
    <w:rsid w:val="65D955D7"/>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9">
    <w:name w:val="标题 1 字符"/>
    <w:link w:val="2"/>
    <w:qFormat/>
    <w:uiPriority w:val="99"/>
    <w:rPr>
      <w:rFonts w:ascii="Times New Roman" w:hAnsi="Times New Roman" w:eastAsia="宋体" w:cs="Times New Roman"/>
      <w:b/>
      <w:bCs/>
      <w:kern w:val="44"/>
      <w:sz w:val="32"/>
      <w:szCs w:val="4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2025-07-25T06:46:00Z</dcterms:created>
  <dc:creator>H</dc:creator>
  <cp:lastModifiedBy>H</cp:lastModifiedBy>
  <dcterms:modified xsi:type="dcterms:W3CDTF">2025-07-25T06:50:54Z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25AB6999958C49DA8AE915365A9ED7FD_11</vt:lpwstr>
  </property>
  <property fmtid="{D5CDD505-2E9C-101B-9397-08002B2CF9AE}" pid="4" name="KSOTemplateDocerSaveRecord">
    <vt:lpwstr>eyJoZGlkIjoiNWVlZWQ2MGQxNmE1ODQyMmRiYjA3Yzk4MTMyMWVjOGQiLCJ1c2VySWQiOiI1MjUwOTc0MjQifQ==</vt:lpwstr>
  </property>
</Properties>
</file>