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D0286">
      <w:pPr>
        <w:jc w:val="left"/>
        <w:rPr>
          <w:rFonts w:ascii="仿宋" w:hAnsi="仿宋" w:eastAsia="仿宋" w:cs="仿宋"/>
          <w:b/>
          <w:bCs/>
          <w:sz w:val="30"/>
          <w:szCs w:val="30"/>
        </w:rPr>
      </w:pPr>
      <w:r>
        <w:rPr>
          <w:rFonts w:hint="eastAsia" w:ascii="仿宋" w:hAnsi="仿宋" w:eastAsia="仿宋" w:cs="仿宋"/>
          <w:b/>
          <w:bCs/>
          <w:sz w:val="30"/>
          <w:szCs w:val="30"/>
        </w:rPr>
        <w:t>政府采购合同                        合同编号：</w:t>
      </w:r>
    </w:p>
    <w:p w14:paraId="382021B4">
      <w:pPr>
        <w:pStyle w:val="2"/>
        <w:rPr>
          <w:b/>
          <w:bCs/>
          <w:sz w:val="30"/>
          <w:szCs w:val="30"/>
          <w:lang w:eastAsia="zh-CN"/>
        </w:rPr>
      </w:pPr>
    </w:p>
    <w:p w14:paraId="151014D0">
      <w:pPr>
        <w:pStyle w:val="2"/>
        <w:rPr>
          <w:b/>
          <w:bCs/>
          <w:sz w:val="30"/>
          <w:szCs w:val="30"/>
          <w:lang w:eastAsia="zh-CN"/>
        </w:rPr>
      </w:pPr>
    </w:p>
    <w:p w14:paraId="2C379D87">
      <w:pPr>
        <w:pStyle w:val="2"/>
        <w:rPr>
          <w:lang w:eastAsia="zh-CN"/>
        </w:rPr>
      </w:pPr>
    </w:p>
    <w:p w14:paraId="3EB4A135">
      <w:pPr>
        <w:jc w:val="center"/>
        <w:rPr>
          <w:rFonts w:ascii="仿宋" w:hAnsi="仿宋" w:eastAsia="仿宋" w:cs="仿宋"/>
          <w:b/>
          <w:bCs/>
          <w:sz w:val="44"/>
          <w:szCs w:val="44"/>
        </w:rPr>
      </w:pPr>
      <w:r>
        <w:rPr>
          <w:rFonts w:hint="eastAsia" w:ascii="仿宋" w:hAnsi="仿宋" w:eastAsia="仿宋" w:cs="仿宋"/>
          <w:b/>
          <w:bCs/>
          <w:sz w:val="44"/>
          <w:szCs w:val="44"/>
          <w:u w:val="single"/>
        </w:rPr>
        <w:t xml:space="preserve">                           </w:t>
      </w:r>
      <w:r>
        <w:rPr>
          <w:rFonts w:hint="eastAsia" w:ascii="仿宋" w:hAnsi="仿宋" w:eastAsia="仿宋" w:cs="仿宋"/>
          <w:b/>
          <w:bCs/>
          <w:sz w:val="44"/>
          <w:szCs w:val="44"/>
        </w:rPr>
        <w:t>采购项目</w:t>
      </w:r>
    </w:p>
    <w:p w14:paraId="3DBD3088">
      <w:pPr>
        <w:rPr>
          <w:rFonts w:ascii="仿宋" w:hAnsi="仿宋" w:eastAsia="仿宋" w:cs="仿宋"/>
        </w:rPr>
      </w:pPr>
    </w:p>
    <w:p w14:paraId="36F3A85A">
      <w:pPr>
        <w:pStyle w:val="2"/>
        <w:rPr>
          <w:lang w:eastAsia="zh-CN"/>
        </w:rPr>
      </w:pPr>
    </w:p>
    <w:p w14:paraId="6F22F300">
      <w:pPr>
        <w:pStyle w:val="2"/>
        <w:rPr>
          <w:lang w:eastAsia="zh-CN"/>
        </w:rPr>
      </w:pPr>
    </w:p>
    <w:p w14:paraId="36B7B3F2">
      <w:pPr>
        <w:rPr>
          <w:rFonts w:ascii="仿宋" w:hAnsi="仿宋" w:eastAsia="仿宋" w:cs="仿宋"/>
        </w:rPr>
      </w:pPr>
    </w:p>
    <w:p w14:paraId="18501778">
      <w:pPr>
        <w:rPr>
          <w:rFonts w:ascii="仿宋" w:hAnsi="仿宋" w:eastAsia="仿宋" w:cs="仿宋"/>
        </w:rPr>
      </w:pPr>
    </w:p>
    <w:p w14:paraId="5B7DE657">
      <w:pPr>
        <w:jc w:val="center"/>
        <w:rPr>
          <w:rFonts w:ascii="仿宋" w:hAnsi="仿宋" w:eastAsia="仿宋" w:cs="仿宋"/>
          <w:b/>
          <w:sz w:val="36"/>
          <w:szCs w:val="36"/>
        </w:rPr>
      </w:pPr>
      <w:r>
        <w:rPr>
          <w:rFonts w:hint="eastAsia" w:ascii="仿宋" w:hAnsi="仿宋" w:eastAsia="仿宋" w:cs="仿宋"/>
          <w:b/>
          <w:sz w:val="36"/>
          <w:szCs w:val="36"/>
        </w:rPr>
        <w:t>（示范文本仅供参考）</w:t>
      </w:r>
    </w:p>
    <w:p w14:paraId="0098962F">
      <w:pPr>
        <w:jc w:val="center"/>
        <w:rPr>
          <w:rFonts w:ascii="仿宋" w:hAnsi="仿宋" w:eastAsia="仿宋" w:cs="仿宋"/>
          <w:b/>
          <w:sz w:val="36"/>
          <w:szCs w:val="36"/>
        </w:rPr>
      </w:pPr>
    </w:p>
    <w:p w14:paraId="25386A89">
      <w:pPr>
        <w:rPr>
          <w:rFonts w:ascii="仿宋" w:hAnsi="仿宋" w:eastAsia="仿宋" w:cs="仿宋"/>
          <w:b/>
          <w:sz w:val="36"/>
          <w:szCs w:val="36"/>
        </w:rPr>
      </w:pPr>
    </w:p>
    <w:p w14:paraId="2AC912F5">
      <w:pPr>
        <w:jc w:val="center"/>
        <w:rPr>
          <w:rFonts w:ascii="仿宋" w:hAnsi="仿宋" w:eastAsia="仿宋" w:cs="仿宋"/>
          <w:b/>
          <w:sz w:val="36"/>
          <w:szCs w:val="36"/>
        </w:rPr>
      </w:pPr>
    </w:p>
    <w:p w14:paraId="5880CA86">
      <w:pPr>
        <w:spacing w:before="156" w:beforeLines="50" w:line="360" w:lineRule="auto"/>
        <w:ind w:firstLine="1584" w:firstLineChars="493"/>
        <w:jc w:val="left"/>
        <w:rPr>
          <w:rFonts w:ascii="仿宋" w:hAnsi="仿宋" w:eastAsia="仿宋" w:cs="仿宋"/>
          <w:sz w:val="32"/>
          <w:szCs w:val="32"/>
          <w:u w:val="single"/>
        </w:rPr>
      </w:pPr>
      <w:r>
        <w:rPr>
          <w:rFonts w:hint="eastAsia" w:ascii="仿宋" w:hAnsi="仿宋" w:eastAsia="仿宋" w:cs="仿宋"/>
          <w:b/>
          <w:bCs/>
          <w:sz w:val="32"/>
          <w:szCs w:val="32"/>
        </w:rPr>
        <w:t>采购人：</w:t>
      </w:r>
      <w:r>
        <w:rPr>
          <w:rFonts w:hint="eastAsia" w:ascii="仿宋" w:hAnsi="仿宋" w:eastAsia="仿宋" w:cs="仿宋"/>
          <w:sz w:val="32"/>
          <w:szCs w:val="32"/>
          <w:u w:val="single"/>
        </w:rPr>
        <w:t xml:space="preserve">                     </w:t>
      </w:r>
    </w:p>
    <w:p w14:paraId="208AA833">
      <w:pPr>
        <w:spacing w:before="156" w:beforeLines="50" w:line="360" w:lineRule="auto"/>
        <w:ind w:firstLine="1584" w:firstLineChars="493"/>
        <w:jc w:val="left"/>
        <w:rPr>
          <w:rFonts w:ascii="仿宋" w:hAnsi="仿宋" w:eastAsia="仿宋" w:cs="仿宋"/>
          <w:b/>
          <w:bCs/>
          <w:sz w:val="32"/>
          <w:szCs w:val="32"/>
        </w:rPr>
      </w:pPr>
      <w:r>
        <w:rPr>
          <w:rFonts w:hint="eastAsia" w:ascii="仿宋" w:hAnsi="仿宋" w:eastAsia="仿宋" w:cs="仿宋"/>
          <w:b/>
          <w:bCs/>
          <w:sz w:val="32"/>
          <w:szCs w:val="32"/>
        </w:rPr>
        <w:t>供应商：</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hint="eastAsia" w:ascii="仿宋" w:hAnsi="仿宋" w:eastAsia="仿宋" w:cs="仿宋"/>
          <w:b/>
          <w:bCs/>
          <w:sz w:val="32"/>
          <w:szCs w:val="32"/>
        </w:rPr>
        <w:t xml:space="preserve">        </w:t>
      </w:r>
    </w:p>
    <w:p w14:paraId="4FB27C0E">
      <w:pPr>
        <w:pStyle w:val="2"/>
        <w:jc w:val="center"/>
        <w:rPr>
          <w:lang w:eastAsia="zh-CN"/>
        </w:rPr>
      </w:pPr>
      <w:r>
        <w:rPr>
          <w:rFonts w:hint="eastAsia"/>
          <w:b/>
          <w:bCs/>
          <w:sz w:val="32"/>
          <w:szCs w:val="32"/>
          <w:lang w:eastAsia="zh-CN"/>
        </w:rPr>
        <w:t>二〇二五年  月</w:t>
      </w:r>
    </w:p>
    <w:p w14:paraId="66E89D7A">
      <w:pPr>
        <w:pStyle w:val="2"/>
        <w:rPr>
          <w:lang w:eastAsia="zh-CN"/>
        </w:rPr>
      </w:pPr>
    </w:p>
    <w:p w14:paraId="3C762DCE">
      <w:pPr>
        <w:pStyle w:val="2"/>
        <w:rPr>
          <w:lang w:eastAsia="zh-CN"/>
        </w:rPr>
      </w:pPr>
    </w:p>
    <w:p w14:paraId="233FA207">
      <w:pPr>
        <w:rPr>
          <w:rFonts w:ascii="仿宋" w:hAnsi="仿宋" w:eastAsia="仿宋" w:cs="仿宋"/>
          <w:b/>
          <w:bCs/>
          <w:sz w:val="32"/>
          <w:szCs w:val="40"/>
        </w:rPr>
      </w:pPr>
      <w:r>
        <w:rPr>
          <w:rFonts w:hint="eastAsia" w:ascii="仿宋" w:hAnsi="仿宋" w:eastAsia="仿宋" w:cs="仿宋"/>
          <w:b/>
          <w:bCs/>
          <w:sz w:val="32"/>
          <w:szCs w:val="40"/>
        </w:rPr>
        <w:br w:type="page"/>
      </w:r>
    </w:p>
    <w:p w14:paraId="208A262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甲方：陕西省交通医院</w:t>
      </w:r>
    </w:p>
    <w:p w14:paraId="3436D13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住所地：西安市大学南路276号</w:t>
      </w:r>
    </w:p>
    <w:p w14:paraId="2F619DF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法定代表人：杜建革</w:t>
      </w:r>
    </w:p>
    <w:p w14:paraId="1C62B87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乙方：</w:t>
      </w:r>
    </w:p>
    <w:p w14:paraId="5345D4A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住所地：</w:t>
      </w:r>
    </w:p>
    <w:p w14:paraId="17D699F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rPr>
        <w:t>法定代表人：</w:t>
      </w:r>
    </w:p>
    <w:p w14:paraId="17948C47">
      <w:pPr>
        <w:keepNext w:val="0"/>
        <w:keepLines w:val="0"/>
        <w:pageBreakBefore w:val="0"/>
        <w:widowControl w:val="0"/>
        <w:tabs>
          <w:tab w:val="left" w:pos="90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为了保证甲方医院</w:t>
      </w:r>
      <w:r>
        <w:rPr>
          <w:rFonts w:hint="eastAsia" w:ascii="仿宋" w:hAnsi="仿宋" w:eastAsia="仿宋" w:cs="仿宋"/>
          <w:sz w:val="24"/>
          <w:szCs w:val="24"/>
          <w:lang w:val="en-US" w:eastAsia="zh-CN"/>
        </w:rPr>
        <w:t>XX</w:t>
      </w:r>
      <w:r>
        <w:rPr>
          <w:rFonts w:hint="eastAsia" w:ascii="仿宋" w:hAnsi="仿宋" w:eastAsia="仿宋" w:cs="仿宋"/>
          <w:sz w:val="24"/>
          <w:szCs w:val="24"/>
        </w:rPr>
        <w:t>软件系统稳定、可靠的运行,并能及时解决系统运行中可能出现的故障，甲乙双方依据国家有关法律规定，经过平等协商，就甲方医院</w:t>
      </w:r>
      <w:r>
        <w:rPr>
          <w:rFonts w:hint="eastAsia" w:ascii="仿宋" w:hAnsi="仿宋" w:eastAsia="仿宋" w:cs="仿宋"/>
          <w:sz w:val="24"/>
          <w:szCs w:val="24"/>
          <w:lang w:val="en-US" w:eastAsia="zh-CN"/>
        </w:rPr>
        <w:t>XX</w:t>
      </w:r>
      <w:r>
        <w:rPr>
          <w:rFonts w:hint="eastAsia" w:ascii="仿宋" w:hAnsi="仿宋" w:eastAsia="仿宋" w:cs="仿宋"/>
          <w:sz w:val="24"/>
          <w:szCs w:val="24"/>
        </w:rPr>
        <w:t>软件</w:t>
      </w:r>
      <w:r>
        <w:rPr>
          <w:rFonts w:hint="eastAsia" w:ascii="仿宋" w:hAnsi="仿宋" w:eastAsia="仿宋" w:cs="仿宋"/>
          <w:sz w:val="24"/>
          <w:szCs w:val="24"/>
          <w:lang w:val="en-US" w:eastAsia="zh-CN"/>
        </w:rPr>
        <w:t>售后服务</w:t>
      </w:r>
      <w:r>
        <w:rPr>
          <w:rFonts w:hint="eastAsia" w:ascii="仿宋" w:hAnsi="仿宋" w:eastAsia="仿宋" w:cs="仿宋"/>
          <w:sz w:val="24"/>
          <w:szCs w:val="24"/>
        </w:rPr>
        <w:t>达成如下协议。</w:t>
      </w:r>
    </w:p>
    <w:p w14:paraId="56DD550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第一条  </w:t>
      </w:r>
      <w:r>
        <w:rPr>
          <w:rFonts w:hint="eastAsia" w:ascii="仿宋" w:hAnsi="仿宋" w:eastAsia="仿宋" w:cs="仿宋"/>
          <w:b/>
          <w:bCs/>
          <w:sz w:val="24"/>
          <w:szCs w:val="24"/>
          <w:lang w:val="en-US" w:eastAsia="zh-CN"/>
        </w:rPr>
        <w:t>售后</w:t>
      </w:r>
      <w:r>
        <w:rPr>
          <w:rFonts w:hint="eastAsia" w:ascii="仿宋" w:hAnsi="仿宋" w:eastAsia="仿宋" w:cs="仿宋"/>
          <w:b/>
          <w:bCs/>
          <w:sz w:val="24"/>
          <w:szCs w:val="24"/>
        </w:rPr>
        <w:t>服务内容</w:t>
      </w:r>
    </w:p>
    <w:p w14:paraId="0388B3F6">
      <w:pPr>
        <w:keepNext w:val="0"/>
        <w:keepLines w:val="0"/>
        <w:pageBreakBefore w:val="0"/>
        <w:widowControl w:val="0"/>
        <w:tabs>
          <w:tab w:val="left" w:pos="90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乙方负责甲方在用的</w:t>
      </w:r>
      <w:r>
        <w:rPr>
          <w:rFonts w:hint="eastAsia" w:ascii="仿宋" w:hAnsi="仿宋" w:eastAsia="仿宋" w:cs="仿宋"/>
          <w:sz w:val="24"/>
          <w:szCs w:val="24"/>
          <w:lang w:val="en-US" w:eastAsia="zh-CN"/>
        </w:rPr>
        <w:t>XX</w:t>
      </w:r>
      <w:r>
        <w:rPr>
          <w:rFonts w:hint="eastAsia" w:ascii="仿宋" w:hAnsi="仿宋" w:eastAsia="仿宋" w:cs="仿宋"/>
          <w:sz w:val="24"/>
          <w:szCs w:val="24"/>
        </w:rPr>
        <w:t>软件系统（详见附件：</w:t>
      </w:r>
      <w:r>
        <w:rPr>
          <w:rFonts w:hint="eastAsia" w:ascii="仿宋" w:hAnsi="仿宋" w:eastAsia="仿宋" w:cs="仿宋"/>
          <w:sz w:val="24"/>
          <w:szCs w:val="24"/>
          <w:lang w:val="en-US" w:eastAsia="zh-CN"/>
        </w:rPr>
        <w:t>XX</w:t>
      </w:r>
      <w:r>
        <w:rPr>
          <w:rFonts w:hint="eastAsia" w:ascii="仿宋" w:hAnsi="仿宋" w:eastAsia="仿宋" w:cs="仿宋"/>
          <w:sz w:val="24"/>
          <w:szCs w:val="24"/>
        </w:rPr>
        <w:t>软件系统维护范围清单，以下简称：已有软件系统）的维护工作， 具体服务内容如下：</w:t>
      </w:r>
    </w:p>
    <w:tbl>
      <w:tblPr>
        <w:tblStyle w:val="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095"/>
        <w:gridCol w:w="4382"/>
        <w:gridCol w:w="1095"/>
        <w:gridCol w:w="1124"/>
      </w:tblGrid>
      <w:tr w14:paraId="0A608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79" w:type="pct"/>
            <w:vAlign w:val="center"/>
          </w:tcPr>
          <w:p w14:paraId="78DB168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序号</w:t>
            </w:r>
          </w:p>
        </w:tc>
        <w:tc>
          <w:tcPr>
            <w:tcW w:w="643" w:type="pct"/>
            <w:vAlign w:val="center"/>
          </w:tcPr>
          <w:p w14:paraId="082167E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服务</w:t>
            </w:r>
          </w:p>
          <w:p w14:paraId="2B33301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项目</w:t>
            </w:r>
          </w:p>
        </w:tc>
        <w:tc>
          <w:tcPr>
            <w:tcW w:w="2573" w:type="pct"/>
            <w:vAlign w:val="center"/>
          </w:tcPr>
          <w:p w14:paraId="51AC7EB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rPr>
              <w:t>服务内</w:t>
            </w:r>
            <w:r>
              <w:rPr>
                <w:rFonts w:hint="eastAsia" w:ascii="仿宋" w:hAnsi="仿宋" w:eastAsia="仿宋" w:cs="仿宋"/>
                <w:b/>
                <w:sz w:val="24"/>
                <w:szCs w:val="24"/>
                <w:lang w:val="en-US" w:eastAsia="zh-CN"/>
              </w:rPr>
              <w:t>容</w:t>
            </w:r>
          </w:p>
        </w:tc>
        <w:tc>
          <w:tcPr>
            <w:tcW w:w="643" w:type="pct"/>
            <w:vAlign w:val="center"/>
          </w:tcPr>
          <w:p w14:paraId="53E56C1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服务</w:t>
            </w:r>
          </w:p>
          <w:p w14:paraId="489AB2E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方式</w:t>
            </w:r>
          </w:p>
        </w:tc>
        <w:tc>
          <w:tcPr>
            <w:tcW w:w="660" w:type="pct"/>
            <w:vAlign w:val="center"/>
          </w:tcPr>
          <w:p w14:paraId="5DC27BA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24"/>
                <w:szCs w:val="24"/>
              </w:rPr>
            </w:pPr>
            <w:r>
              <w:rPr>
                <w:rFonts w:hint="eastAsia" w:ascii="仿宋" w:hAnsi="仿宋" w:eastAsia="仿宋" w:cs="仿宋"/>
                <w:b/>
                <w:sz w:val="24"/>
                <w:szCs w:val="24"/>
              </w:rPr>
              <w:t>服务次数/服务费用限价</w:t>
            </w:r>
          </w:p>
        </w:tc>
      </w:tr>
      <w:tr w14:paraId="34DC4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tc>
          <w:tcPr>
            <w:tcW w:w="479" w:type="pct"/>
            <w:vAlign w:val="center"/>
          </w:tcPr>
          <w:p w14:paraId="567D28E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rPr>
            </w:pPr>
          </w:p>
        </w:tc>
        <w:tc>
          <w:tcPr>
            <w:tcW w:w="643" w:type="pct"/>
            <w:vAlign w:val="center"/>
          </w:tcPr>
          <w:p w14:paraId="3C1F150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rPr>
            </w:pPr>
          </w:p>
        </w:tc>
        <w:tc>
          <w:tcPr>
            <w:tcW w:w="2573" w:type="pct"/>
          </w:tcPr>
          <w:p w14:paraId="64C51B9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rPr>
            </w:pPr>
          </w:p>
        </w:tc>
        <w:tc>
          <w:tcPr>
            <w:tcW w:w="643" w:type="pct"/>
            <w:vAlign w:val="center"/>
          </w:tcPr>
          <w:p w14:paraId="3249C5B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rPr>
            </w:pPr>
          </w:p>
        </w:tc>
        <w:tc>
          <w:tcPr>
            <w:tcW w:w="660" w:type="pct"/>
            <w:vAlign w:val="center"/>
          </w:tcPr>
          <w:p w14:paraId="5705DCE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rPr>
            </w:pPr>
          </w:p>
        </w:tc>
      </w:tr>
    </w:tbl>
    <w:p w14:paraId="7B7860A3">
      <w:pPr>
        <w:pStyle w:val="2"/>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rPr>
      </w:pPr>
    </w:p>
    <w:p w14:paraId="42CD01E9">
      <w:pPr>
        <w:keepNext w:val="0"/>
        <w:keepLines w:val="0"/>
        <w:pageBreakBefore w:val="0"/>
        <w:widowControl w:val="0"/>
        <w:kinsoku/>
        <w:wordWrap/>
        <w:overflowPunct/>
        <w:topLinePunct w:val="0"/>
        <w:autoSpaceDE/>
        <w:autoSpaceDN/>
        <w:bidi w:val="0"/>
        <w:adjustRightInd/>
        <w:snapToGrid w:val="0"/>
        <w:spacing w:line="360" w:lineRule="auto"/>
        <w:ind w:left="723" w:hanging="723" w:hangingChars="300"/>
        <w:textAlignment w:val="auto"/>
        <w:rPr>
          <w:rFonts w:hint="eastAsia" w:ascii="仿宋" w:hAnsi="仿宋" w:eastAsia="仿宋" w:cs="仿宋"/>
          <w:b/>
          <w:bCs/>
          <w:sz w:val="24"/>
          <w:szCs w:val="24"/>
        </w:rPr>
      </w:pPr>
      <w:r>
        <w:rPr>
          <w:rFonts w:hint="eastAsia" w:ascii="仿宋" w:hAnsi="仿宋" w:eastAsia="仿宋" w:cs="仿宋"/>
          <w:b/>
          <w:bCs/>
          <w:sz w:val="24"/>
          <w:szCs w:val="24"/>
        </w:rPr>
        <w:t>第二条  甲方责任及义务</w:t>
      </w:r>
    </w:p>
    <w:p w14:paraId="3FAC228C">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1.甲方应按本合同约定及时向乙方支付维护费。</w:t>
      </w:r>
    </w:p>
    <w:p w14:paraId="7B7C3D2C">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2.甲方应发现故障后及时向乙方发出维护服务要求。</w:t>
      </w:r>
    </w:p>
    <w:p w14:paraId="3A3D319E">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3.甲方应向乙方提供相关软件系统正常使用和维护的环境。</w:t>
      </w:r>
    </w:p>
    <w:p w14:paraId="1E5C4496">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4.甲方所提维护服务需求内容应符合</w:t>
      </w:r>
      <w:r>
        <w:rPr>
          <w:rFonts w:hint="eastAsia" w:ascii="仿宋" w:hAnsi="仿宋" w:eastAsia="仿宋" w:cs="仿宋"/>
          <w:sz w:val="24"/>
          <w:szCs w:val="24"/>
          <w:lang w:val="en-US" w:eastAsia="zh-CN"/>
        </w:rPr>
        <w:t>甲方</w:t>
      </w:r>
      <w:r>
        <w:rPr>
          <w:rFonts w:hint="eastAsia" w:ascii="仿宋" w:hAnsi="仿宋" w:eastAsia="仿宋" w:cs="仿宋"/>
          <w:sz w:val="24"/>
          <w:szCs w:val="24"/>
        </w:rPr>
        <w:t>实际业务需求，符合国家相关规定。</w:t>
      </w:r>
    </w:p>
    <w:p w14:paraId="15AF8ECF">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b/>
          <w:bCs/>
          <w:sz w:val="24"/>
          <w:szCs w:val="24"/>
        </w:rPr>
      </w:pPr>
      <w:r>
        <w:rPr>
          <w:rFonts w:hint="eastAsia" w:ascii="仿宋" w:hAnsi="仿宋" w:eastAsia="仿宋" w:cs="仿宋"/>
          <w:sz w:val="24"/>
          <w:szCs w:val="24"/>
        </w:rPr>
        <w:t>5.甲方应安排专人配合乙方运维工程师的维护工作，协助乙方进行需求调研及分析，向乙方提供维护服务所需的必要支持，并对乙方的维护服务过程、结果进行监督、检查、确认、评价。</w:t>
      </w:r>
    </w:p>
    <w:p w14:paraId="0DAF808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第三条  乙方责任及义务</w:t>
      </w:r>
    </w:p>
    <w:p w14:paraId="2512AFE2">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1.专人负责：乙方应指派经验丰富的运维工程师来承担甲方医院信息管理系统的具体维护工作，在本合同约定的维护期限内每周季度驻场服务时间不少于【</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】天；乙方服务人员应保证相对固定。</w:t>
      </w:r>
    </w:p>
    <w:p w14:paraId="3970DF3F">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指定联系人：乙方指定【</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】为联系人，全权负责日常服务合作事宜，乙方指定联系人发生变化时，应提前【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】个工作日内书面通知甲方。</w:t>
      </w:r>
    </w:p>
    <w:p w14:paraId="77D3A09D">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2.运维响应：乙方应为甲方提供全年7*24小时的电话技术支持、远程网络协助及现场服务；电话服务专线：【</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】。乙方在合同服务期内按附件2：《医院信息系统故障分级标准及响应时间明细表》为甲方信息系统提供维护或故障维修，直至系统恢复正常运营。</w:t>
      </w:r>
    </w:p>
    <w:p w14:paraId="395EB0A2">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3.维护记录：在本合同约定的维护期限内，乙方应建立完善的维护记录管理体系，对于任何维护任务，乙方服务人员应严格填写维护记录单并交由甲方相关负责人审批，每次服务还应由甲方进行评价；服务产生的相关文件应及时归档且双方同时备案。</w:t>
      </w:r>
    </w:p>
    <w:p w14:paraId="66EAE192">
      <w:pPr>
        <w:pStyle w:val="9"/>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4.巡检：乙方应每季度至少【</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次到达甲方现场对相关软件系统进行检查，优化软件系统运行，同时做好相关软件系统运行使用情况的记录；对可能存在的隐患及出现的故障提出解决方案，在征得甲方同意后现场进行软件系统优化；另外，乙方应根据实际需要，现场对甲方信息中心工作人员进行维护方案的培训及实际操作的指导。</w:t>
      </w:r>
    </w:p>
    <w:p w14:paraId="14C4032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5.数据安全及保密：乙方在软件系统维护过程中，应协助甲方提前做好相关数据的备份工作，保证数据安全，并且做好相关数据及资料的保密工作；未经甲方允许，乙方不得将相关数据及资料带走、传播或它用。</w:t>
      </w:r>
    </w:p>
    <w:p w14:paraId="023BDB4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第四条  不可抗力条款</w:t>
      </w:r>
    </w:p>
    <w:p w14:paraId="2849CE8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对甲方在使用相关软件系统的过程中，因设备故障、病毒等造成的系统故障、数据丢失，以及因相关软件系统误用、毁损、遗失、被盗或其他不可抗力造成的损失双方均不承担责任，乙方积极协助甲方处理此类问题。</w:t>
      </w:r>
    </w:p>
    <w:p w14:paraId="11450C11">
      <w:pPr>
        <w:pStyle w:val="9"/>
        <w:keepNext w:val="0"/>
        <w:keepLines w:val="0"/>
        <w:pageBreakBefore w:val="0"/>
        <w:widowControl w:val="0"/>
        <w:kinsoku/>
        <w:wordWrap/>
        <w:overflowPunct/>
        <w:topLinePunct w:val="0"/>
        <w:autoSpaceDE/>
        <w:autoSpaceDN/>
        <w:bidi w:val="0"/>
        <w:adjustRightInd/>
        <w:snapToGrid w:val="0"/>
        <w:spacing w:line="360" w:lineRule="auto"/>
        <w:ind w:firstLine="480" w:firstLineChars="0"/>
        <w:textAlignment w:val="auto"/>
        <w:rPr>
          <w:rFonts w:hint="eastAsia" w:ascii="仿宋" w:hAnsi="仿宋" w:eastAsia="仿宋" w:cs="仿宋"/>
          <w:sz w:val="24"/>
          <w:szCs w:val="24"/>
        </w:rPr>
      </w:pPr>
      <w:r>
        <w:rPr>
          <w:rFonts w:hint="eastAsia" w:ascii="仿宋" w:hAnsi="仿宋" w:eastAsia="仿宋" w:cs="仿宋"/>
          <w:bCs/>
          <w:sz w:val="24"/>
          <w:szCs w:val="24"/>
        </w:rPr>
        <w:t>2.由于特殊情况（非乙方原因所致）及不可抗力造成维护服务拖延或不能正常进行，甲乙双方应按实际情况重新调整维护服务时间和内容，双方同意后执行。</w:t>
      </w:r>
    </w:p>
    <w:p w14:paraId="0AF220F5">
      <w:pPr>
        <w:keepNext w:val="0"/>
        <w:keepLines w:val="0"/>
        <w:pageBreakBefore w:val="0"/>
        <w:widowControl w:val="0"/>
        <w:tabs>
          <w:tab w:val="left" w:pos="900"/>
        </w:tabs>
        <w:kinsoku/>
        <w:wordWrap/>
        <w:overflowPunct/>
        <w:topLinePunct w:val="0"/>
        <w:autoSpaceDE/>
        <w:autoSpaceDN/>
        <w:bidi w:val="0"/>
        <w:adjustRightInd/>
        <w:snapToGrid w:val="0"/>
        <w:spacing w:line="360" w:lineRule="auto"/>
        <w:ind w:left="723" w:hanging="723" w:hangingChars="300"/>
        <w:textAlignment w:val="auto"/>
        <w:rPr>
          <w:rFonts w:hint="eastAsia" w:ascii="仿宋" w:hAnsi="仿宋" w:eastAsia="仿宋" w:cs="仿宋"/>
          <w:b/>
          <w:bCs/>
          <w:sz w:val="24"/>
          <w:szCs w:val="24"/>
        </w:rPr>
      </w:pPr>
      <w:r>
        <w:rPr>
          <w:rFonts w:hint="eastAsia" w:ascii="仿宋" w:hAnsi="仿宋" w:eastAsia="仿宋" w:cs="仿宋"/>
          <w:b/>
          <w:bCs/>
          <w:sz w:val="24"/>
          <w:szCs w:val="24"/>
        </w:rPr>
        <w:t>第五条  保密条款</w:t>
      </w:r>
    </w:p>
    <w:p w14:paraId="5964EC46">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1.乙方负责对甲方的所有业务及软件系统数据进行保密，不得以任何形式泄露给第三方；保密时效和机密性质认定应参照同行业有关规定。</w:t>
      </w:r>
    </w:p>
    <w:p w14:paraId="52E07B09">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本协议所述之保密信息系指本协议条款的全部内容，本协议签订及履行情况，以及甲、乙双方通过签订及履行本协议而获知的对方或对方关联公司尚未公开的任何信息，包括但不限于：甲方医疗信息、经营信息、患者信息、相关知识产权内容、业务规划与计划、生产经营业绩与财务数据、现有及预期的客户和供应商信息、财务信息、人力资源资料、业务运作文件，技术资料与创意、设计、处理流程、技术与集成方案、实施计划、咨询报告、计算机程序（包括源程序与目标代码），以及其他类似的信息。如乙方泄露甲方以上信息，需承担全部法律责任。</w:t>
      </w:r>
    </w:p>
    <w:p w14:paraId="24A37443">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甲、乙双方均有义务对上述保密信息履行保密义务，未经对方同意，另一方不得向任何第三方披露或者透露任何保密信息，以及将任何保密信息用于与本协议无关的其他任何用途，亦不得依据披露方提供的任何保密信息向本协议以外的任何第三方做出任何建议，但双方向各自的外部顾问，如律师事务所、会计事务所、审计事务所或公司披露以及根据各级有管辖权的立法、司法、行政机关或证券市场主管机构的要求披露除外。</w:t>
      </w:r>
    </w:p>
    <w:p w14:paraId="2AE7407C">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4.任何一方违反保密义务，应向守约方赔偿由此造成的一切损失，并承担相应法律责任。</w:t>
      </w:r>
    </w:p>
    <w:p w14:paraId="277AF4EA">
      <w:pPr>
        <w:keepNext w:val="0"/>
        <w:keepLines w:val="0"/>
        <w:pageBreakBefore w:val="0"/>
        <w:widowControl w:val="0"/>
        <w:tabs>
          <w:tab w:val="left" w:pos="36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5.本条款不因本协议的无效、解除、终止而失效。</w:t>
      </w:r>
    </w:p>
    <w:p w14:paraId="44B9CCA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第六条  维保期限及地点</w:t>
      </w:r>
    </w:p>
    <w:p w14:paraId="66CC831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日至</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月 </w:t>
      </w:r>
      <w:r>
        <w:rPr>
          <w:rFonts w:hint="eastAsia" w:ascii="仿宋" w:hAnsi="仿宋" w:eastAsia="仿宋" w:cs="仿宋"/>
          <w:sz w:val="24"/>
          <w:szCs w:val="24"/>
          <w:u w:val="single"/>
        </w:rPr>
        <w:t xml:space="preserve"> </w:t>
      </w:r>
      <w:r>
        <w:rPr>
          <w:rFonts w:hint="eastAsia" w:ascii="仿宋" w:hAnsi="仿宋" w:eastAsia="仿宋" w:cs="仿宋"/>
          <w:sz w:val="24"/>
          <w:szCs w:val="24"/>
        </w:rPr>
        <w:t>日，为期【1】年。（本合同约定的维护期）</w:t>
      </w:r>
    </w:p>
    <w:p w14:paraId="6E175C1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2.合同部履行地点：陕西省交通医院指定地点。</w:t>
      </w:r>
    </w:p>
    <w:p w14:paraId="766CACBE">
      <w:pPr>
        <w:keepNext w:val="0"/>
        <w:keepLines w:val="0"/>
        <w:pageBreakBefore w:val="0"/>
        <w:widowControl w:val="0"/>
        <w:tabs>
          <w:tab w:val="left" w:pos="2910"/>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第七条  </w:t>
      </w:r>
      <w:r>
        <w:rPr>
          <w:rFonts w:hint="eastAsia" w:ascii="仿宋" w:hAnsi="仿宋" w:eastAsia="仿宋" w:cs="仿宋"/>
          <w:b/>
          <w:bCs/>
          <w:sz w:val="24"/>
          <w:szCs w:val="24"/>
          <w:lang w:val="en-US" w:eastAsia="zh-CN"/>
        </w:rPr>
        <w:t>服务</w:t>
      </w:r>
      <w:r>
        <w:rPr>
          <w:rFonts w:hint="eastAsia" w:ascii="仿宋" w:hAnsi="仿宋" w:eastAsia="仿宋" w:cs="仿宋"/>
          <w:b/>
          <w:bCs/>
          <w:sz w:val="24"/>
          <w:szCs w:val="24"/>
        </w:rPr>
        <w:t>费及付款方式</w:t>
      </w:r>
    </w:p>
    <w:p w14:paraId="2BACF769">
      <w:pPr>
        <w:pStyle w:val="10"/>
        <w:keepNext w:val="0"/>
        <w:keepLines w:val="0"/>
        <w:pageBreakBefore w:val="0"/>
        <w:widowControl w:val="0"/>
        <w:kinsoku/>
        <w:wordWrap/>
        <w:overflowPunct/>
        <w:topLinePunct w:val="0"/>
        <w:autoSpaceDE/>
        <w:autoSpaceDN/>
        <w:bidi w:val="0"/>
        <w:adjustRightInd/>
        <w:snapToGrid w:val="0"/>
        <w:spacing w:line="360" w:lineRule="auto"/>
        <w:ind w:firstLine="720" w:firstLineChars="300"/>
        <w:textAlignment w:val="auto"/>
        <w:rPr>
          <w:rFonts w:hint="eastAsia" w:ascii="仿宋" w:hAnsi="仿宋" w:eastAsia="仿宋" w:cs="仿宋"/>
          <w:b/>
          <w:sz w:val="24"/>
          <w:szCs w:val="24"/>
        </w:rPr>
      </w:pPr>
      <w:r>
        <w:rPr>
          <w:rFonts w:hint="eastAsia" w:ascii="仿宋" w:hAnsi="仿宋" w:eastAsia="仿宋" w:cs="仿宋"/>
          <w:sz w:val="24"/>
          <w:szCs w:val="24"/>
          <w:lang w:val="en-US" w:eastAsia="zh-CN"/>
        </w:rPr>
        <w:t>服务</w:t>
      </w:r>
      <w:r>
        <w:rPr>
          <w:rFonts w:hint="eastAsia" w:ascii="仿宋" w:hAnsi="仿宋" w:eastAsia="仿宋" w:cs="仿宋"/>
          <w:sz w:val="24"/>
          <w:szCs w:val="24"/>
        </w:rPr>
        <w:t>费（每年）：</w:t>
      </w:r>
      <w:r>
        <w:rPr>
          <w:rFonts w:hint="eastAsia" w:ascii="仿宋" w:hAnsi="仿宋" w:eastAsia="仿宋" w:cs="仿宋"/>
          <w:sz w:val="24"/>
          <w:szCs w:val="24"/>
          <w:u w:val="single"/>
        </w:rPr>
        <w:t>（大写）:</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rPr>
        <w:t>（小写:</w:t>
      </w:r>
      <w:r>
        <w:rPr>
          <w:rFonts w:hint="eastAsia" w:ascii="仿宋" w:hAnsi="仿宋" w:eastAsia="仿宋" w:cs="仿宋"/>
          <w:sz w:val="24"/>
          <w:szCs w:val="24"/>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元）</w:t>
      </w:r>
      <w:r>
        <w:rPr>
          <w:rFonts w:hint="eastAsia" w:ascii="仿宋" w:hAnsi="仿宋" w:eastAsia="仿宋" w:cs="仿宋"/>
          <w:sz w:val="24"/>
          <w:szCs w:val="24"/>
        </w:rPr>
        <w:t>。合同签订生效后，共计分为以下两次进行付款：</w:t>
      </w:r>
    </w:p>
    <w:p w14:paraId="634829D4">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1.第一次付款：合同签订且收到发票后 ，达到付款条件起 10 日内，支付合同总金额的50.00%。</w:t>
      </w:r>
    </w:p>
    <w:p w14:paraId="0012171B">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2.第二次付款：项目按合同验收标准合格且收到发票后 ，达到合同约定付款条件起 10 日内，支付合同总金额的 50.00%。</w:t>
      </w:r>
    </w:p>
    <w:p w14:paraId="0DF5AD2E">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3.若乙方在甲方付款前未能提供全额合规发票的，甲方有权拒付合同款项，且不承担任何责任，乙方亦不得以此为由拒绝履行任意合同义务。</w:t>
      </w:r>
    </w:p>
    <w:p w14:paraId="3AF37202">
      <w:pPr>
        <w:keepNext w:val="0"/>
        <w:keepLines w:val="0"/>
        <w:pageBreakBefore w:val="0"/>
        <w:widowControl w:val="0"/>
        <w:kinsoku/>
        <w:wordWrap/>
        <w:overflowPunct/>
        <w:topLinePunct w:val="0"/>
        <w:autoSpaceDE/>
        <w:autoSpaceDN/>
        <w:bidi w:val="0"/>
        <w:adjustRightInd/>
        <w:snapToGrid w:val="0"/>
        <w:spacing w:line="360" w:lineRule="auto"/>
        <w:ind w:left="1"/>
        <w:textAlignment w:val="auto"/>
        <w:rPr>
          <w:rFonts w:hint="eastAsia" w:ascii="仿宋" w:hAnsi="仿宋" w:eastAsia="仿宋" w:cs="仿宋"/>
          <w:b/>
          <w:bCs/>
          <w:sz w:val="24"/>
          <w:szCs w:val="24"/>
        </w:rPr>
      </w:pPr>
      <w:r>
        <w:rPr>
          <w:rFonts w:hint="eastAsia" w:ascii="仿宋" w:hAnsi="仿宋" w:eastAsia="仿宋" w:cs="仿宋"/>
          <w:b/>
          <w:bCs/>
          <w:sz w:val="24"/>
          <w:szCs w:val="24"/>
        </w:rPr>
        <w:t>第八条 违约责任</w:t>
      </w:r>
    </w:p>
    <w:p w14:paraId="1C218712">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1.除不可抗力因素外，因乙方原因造成无法在本合同第三条第2款约定的时限内及时响应并排除故障的，逾期责任由乙方承担，每逾期一天乙方按合同总价的【0.5】%向甲方支付违约金，累计逾期超过【</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】天或合同期内逾期情形累计出现【</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】次的，视为乙方根本违约，甲方有权单方解除本协议，乙方应按合同总价的【30】%向甲方支付违约金，并承担因此造成的甲方损失。</w:t>
      </w:r>
    </w:p>
    <w:p w14:paraId="327656B1">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2.在合同期限内，由于乙方服务人员工作而导致甲方数据库受损、数据错误、丢失等，视为乙方严重违约，乙方应按合同总价的【30】%向甲方支付违约金，并承担因此造成的甲方损失。</w:t>
      </w:r>
    </w:p>
    <w:p w14:paraId="7B34A9D2">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 xml:space="preserve">3.在合同期限内，未经甲方同意，乙方不得转包、分包本合同项下的合同义务，否则甲方有权解除本协议，乙方需按合同总价的【30】%向甲方支付违约金。 </w:t>
      </w:r>
    </w:p>
    <w:p w14:paraId="7BD47452">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4.乙方在上门维护期间发生任何人身事故或造成甲方设备损坏的，由乙方承担全部赔偿责任，给甲方造成其他损失的，甲方有权向乙方追偿。</w:t>
      </w:r>
    </w:p>
    <w:p w14:paraId="16EB644E">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5.乙方对系统维护或升级期间，应保证甲方的正常使用，因乙方原因中断服务的，最长不得超过【5】天，否则甲方有权单方解除合同，合同自甲方书面解除通知送达乙方之日解除，乙方应按合同总价的【30】%支付违约金，违约金不足以弥补甲方损失的，乙方另行承担。</w:t>
      </w:r>
    </w:p>
    <w:p w14:paraId="6680BF7C">
      <w:pPr>
        <w:pStyle w:val="10"/>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6.对于本合同中需乙方支付的违约金，甲方均有权从服未付合同款中直接扣除。</w:t>
      </w:r>
    </w:p>
    <w:p w14:paraId="6155E39D">
      <w:pPr>
        <w:keepNext w:val="0"/>
        <w:keepLines w:val="0"/>
        <w:pageBreakBefore w:val="0"/>
        <w:widowControl w:val="0"/>
        <w:kinsoku/>
        <w:wordWrap/>
        <w:overflowPunct/>
        <w:topLinePunct w:val="0"/>
        <w:autoSpaceDE/>
        <w:autoSpaceDN/>
        <w:bidi w:val="0"/>
        <w:adjustRightInd/>
        <w:snapToGrid w:val="0"/>
        <w:spacing w:line="360" w:lineRule="auto"/>
        <w:ind w:left="1"/>
        <w:textAlignment w:val="auto"/>
        <w:rPr>
          <w:rFonts w:hint="eastAsia" w:ascii="仿宋" w:hAnsi="仿宋" w:eastAsia="仿宋" w:cs="仿宋"/>
          <w:b/>
          <w:bCs/>
          <w:sz w:val="24"/>
          <w:szCs w:val="24"/>
        </w:rPr>
      </w:pPr>
      <w:r>
        <w:rPr>
          <w:rFonts w:hint="eastAsia" w:ascii="仿宋" w:hAnsi="仿宋" w:eastAsia="仿宋" w:cs="仿宋"/>
          <w:b/>
          <w:bCs/>
          <w:sz w:val="24"/>
          <w:szCs w:val="24"/>
        </w:rPr>
        <w:t>第九条  争议解决</w:t>
      </w:r>
    </w:p>
    <w:p w14:paraId="2E354615">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甲乙双方在发生合同纠纷时，应本着互谅互让的原则友好协商解决。若协商不成，双方均可向甲方所在地有管辖权的人民法院提起诉讼。</w:t>
      </w:r>
    </w:p>
    <w:p w14:paraId="508E884C">
      <w:pPr>
        <w:keepNext w:val="0"/>
        <w:keepLines w:val="0"/>
        <w:pageBreakBefore w:val="0"/>
        <w:widowControl w:val="0"/>
        <w:kinsoku/>
        <w:wordWrap/>
        <w:overflowPunct/>
        <w:topLinePunct w:val="0"/>
        <w:autoSpaceDE/>
        <w:autoSpaceDN/>
        <w:bidi w:val="0"/>
        <w:adjustRightInd/>
        <w:snapToGrid w:val="0"/>
        <w:spacing w:line="360" w:lineRule="auto"/>
        <w:ind w:left="1"/>
        <w:textAlignment w:val="auto"/>
        <w:rPr>
          <w:rFonts w:hint="eastAsia" w:ascii="仿宋" w:hAnsi="仿宋" w:eastAsia="仿宋" w:cs="仿宋"/>
          <w:b/>
          <w:bCs/>
          <w:sz w:val="24"/>
          <w:szCs w:val="24"/>
        </w:rPr>
      </w:pPr>
      <w:r>
        <w:rPr>
          <w:rFonts w:hint="eastAsia" w:ascii="仿宋" w:hAnsi="仿宋" w:eastAsia="仿宋" w:cs="仿宋"/>
          <w:b/>
          <w:bCs/>
          <w:sz w:val="24"/>
          <w:szCs w:val="24"/>
        </w:rPr>
        <w:t>第十条 通知及送达</w:t>
      </w:r>
    </w:p>
    <w:p w14:paraId="502E2EDA">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1.甲乙双方因履行本协议而相互发出或者提供的所有通知、文件、资料，均应以本协议所列明的联系方式送达，当面交付文件的，在交付之时视为送达；以邮寄方式的，以实际收到日为送达，实际送达日超出7日或无法查询投递结果的，均将视为在将通知交寄之后的7日按期送达；以电子邮件发送的，邮件发出并到达对方服务器之时视为送达。有关本协议的通知，任何一方向双方在本协议所填写的地址、手机号码、电话号码、电子邮件、微信号等发送的通知，即视为送达。</w:t>
      </w:r>
    </w:p>
    <w:p w14:paraId="2D404173">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2.双方一致认可，在本协议签订后，双方之间的书面通知等文件通过递送、挂号、传真、特快专递等方式发送至协议记载的双方的通讯地址视为送达，且该通讯地址适用争议解决阶段；如果一方故意拒收、找他人代收、邮件被退回或以其他理由逃避接收文件的，所有书面文书自发出之日视为送达。</w:t>
      </w:r>
    </w:p>
    <w:p w14:paraId="5E4DDFF5">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szCs w:val="24"/>
        </w:rPr>
      </w:pPr>
      <w:r>
        <w:rPr>
          <w:rFonts w:hint="eastAsia" w:ascii="仿宋" w:hAnsi="仿宋" w:eastAsia="仿宋" w:cs="仿宋"/>
          <w:sz w:val="24"/>
          <w:szCs w:val="24"/>
        </w:rPr>
        <w:t>3.任何一方的联络方法发生变更的，应在变更之日起3个工作日内书面通知对方。在被通知方收到有关通知之前，被通知方根据变更前的联络方法所做出的联络和通讯应视为有效，未及时通知变更情况的一方自行承担由此产生的法律后果。</w:t>
      </w:r>
    </w:p>
    <w:p w14:paraId="62C3751D">
      <w:pPr>
        <w:keepNext w:val="0"/>
        <w:keepLines w:val="0"/>
        <w:pageBreakBefore w:val="0"/>
        <w:widowControl w:val="0"/>
        <w:kinsoku/>
        <w:wordWrap/>
        <w:overflowPunct/>
        <w:topLinePunct w:val="0"/>
        <w:autoSpaceDE/>
        <w:autoSpaceDN/>
        <w:bidi w:val="0"/>
        <w:adjustRightInd/>
        <w:snapToGrid w:val="0"/>
        <w:spacing w:line="360" w:lineRule="auto"/>
        <w:ind w:left="1"/>
        <w:textAlignment w:val="auto"/>
        <w:rPr>
          <w:rFonts w:hint="eastAsia" w:ascii="仿宋" w:hAnsi="仿宋" w:eastAsia="仿宋" w:cs="仿宋"/>
          <w:b/>
          <w:bCs/>
          <w:sz w:val="24"/>
          <w:szCs w:val="24"/>
        </w:rPr>
      </w:pPr>
      <w:r>
        <w:rPr>
          <w:rFonts w:hint="eastAsia" w:ascii="仿宋" w:hAnsi="仿宋" w:eastAsia="仿宋" w:cs="仿宋"/>
          <w:b/>
          <w:bCs/>
          <w:sz w:val="24"/>
          <w:szCs w:val="24"/>
        </w:rPr>
        <w:t>第十一条  附则</w:t>
      </w:r>
    </w:p>
    <w:p w14:paraId="69E5D7B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1.未经双方书面确认，任何一方不得变更或修改本合同。</w:t>
      </w:r>
    </w:p>
    <w:p w14:paraId="3B1CA2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2.对于本合同未尽事宜，双方可随时签订补充协议或以附件的形式对本合同中的有关问题作出补充、说明、解释。本合同的补充协议和附件为其不可分的部分，与本合同具有同等法律效力。</w:t>
      </w:r>
    </w:p>
    <w:p w14:paraId="4878BB8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3.本合同须加盖“骑缝章”，以确保合同的完整。</w:t>
      </w:r>
    </w:p>
    <w:p w14:paraId="1F0BB8A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4.服务期限满，甲方若需乙方继续提供日常运行维护服务，甲方需与乙方续签技术服务合同，并支付年服务费。</w:t>
      </w:r>
    </w:p>
    <w:p w14:paraId="2528232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4.本合同共</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页一式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份，双方各执</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份，甲、乙双方法定代表人或授权代表签字并加盖公章后，方可生效，均具有同等法律效力。</w:t>
      </w:r>
    </w:p>
    <w:p w14:paraId="342C096E">
      <w:pPr>
        <w:pStyle w:val="4"/>
        <w:keepNext w:val="0"/>
        <w:keepLines w:val="0"/>
        <w:pageBreakBefore w:val="0"/>
        <w:widowControl w:val="0"/>
        <w:kinsoku/>
        <w:wordWrap/>
        <w:overflowPunct/>
        <w:topLinePunct w:val="0"/>
        <w:autoSpaceDE/>
        <w:autoSpaceDN/>
        <w:bidi w:val="0"/>
        <w:adjustRightInd/>
        <w:snapToGrid w:val="0"/>
        <w:spacing w:line="360" w:lineRule="auto"/>
        <w:ind w:firstLine="200"/>
        <w:textAlignment w:val="auto"/>
        <w:rPr>
          <w:rFonts w:hint="eastAsia" w:ascii="仿宋" w:hAnsi="仿宋" w:eastAsia="仿宋" w:cs="仿宋"/>
          <w:sz w:val="24"/>
          <w:szCs w:val="24"/>
        </w:rPr>
      </w:pPr>
      <w:r>
        <w:rPr>
          <w:rFonts w:hint="eastAsia" w:ascii="仿宋" w:hAnsi="仿宋" w:eastAsia="仿宋" w:cs="仿宋"/>
          <w:sz w:val="24"/>
          <w:szCs w:val="24"/>
        </w:rPr>
        <w:t>（以下无正文）</w:t>
      </w:r>
    </w:p>
    <w:p w14:paraId="2A864774">
      <w:pPr>
        <w:rPr>
          <w:rFonts w:hint="eastAsia" w:ascii="仿宋" w:hAnsi="仿宋" w:eastAsia="仿宋" w:cs="仿宋"/>
          <w:sz w:val="24"/>
          <w:szCs w:val="24"/>
        </w:rPr>
      </w:pPr>
      <w:r>
        <w:rPr>
          <w:rFonts w:hint="eastAsia" w:ascii="仿宋" w:hAnsi="仿宋" w:eastAsia="仿宋" w:cs="仿宋"/>
          <w:sz w:val="24"/>
          <w:szCs w:val="24"/>
        </w:rPr>
        <w:br w:type="page"/>
      </w:r>
    </w:p>
    <w:tbl>
      <w:tblPr>
        <w:tblStyle w:val="6"/>
        <w:tblpPr w:leftFromText="180" w:rightFromText="180" w:vertAnchor="text" w:horzAnchor="page" w:tblpXSpec="center" w:tblpY="396"/>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1"/>
        <w:gridCol w:w="2594"/>
        <w:gridCol w:w="1335"/>
        <w:gridCol w:w="3279"/>
      </w:tblGrid>
      <w:tr w14:paraId="7C590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769" w:type="pct"/>
          </w:tcPr>
          <w:p w14:paraId="1790914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b/>
                <w:color w:val="000000"/>
                <w:sz w:val="24"/>
                <w:szCs w:val="24"/>
              </w:rPr>
              <w:t>甲    方：</w:t>
            </w:r>
            <w:r>
              <w:rPr>
                <w:rFonts w:hint="eastAsia" w:ascii="仿宋" w:hAnsi="仿宋" w:eastAsia="仿宋" w:cs="仿宋"/>
                <w:color w:val="000000"/>
                <w:sz w:val="24"/>
                <w:szCs w:val="24"/>
              </w:rPr>
              <w:t xml:space="preserve"> </w:t>
            </w:r>
          </w:p>
        </w:tc>
        <w:tc>
          <w:tcPr>
            <w:tcW w:w="1522" w:type="pct"/>
          </w:tcPr>
          <w:p w14:paraId="00458CB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rPr>
              <w:t>陕西省交通医院（章）</w:t>
            </w:r>
          </w:p>
        </w:tc>
        <w:tc>
          <w:tcPr>
            <w:tcW w:w="783" w:type="pct"/>
          </w:tcPr>
          <w:p w14:paraId="4B7743D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b/>
                <w:color w:val="000000"/>
                <w:sz w:val="24"/>
                <w:szCs w:val="24"/>
              </w:rPr>
              <w:t>乙    方：</w:t>
            </w:r>
            <w:r>
              <w:rPr>
                <w:rFonts w:hint="eastAsia" w:ascii="仿宋" w:hAnsi="仿宋" w:eastAsia="仿宋" w:cs="仿宋"/>
                <w:color w:val="000000"/>
                <w:sz w:val="24"/>
                <w:szCs w:val="24"/>
              </w:rPr>
              <w:t xml:space="preserve"> </w:t>
            </w:r>
          </w:p>
        </w:tc>
        <w:tc>
          <w:tcPr>
            <w:tcW w:w="1924" w:type="pct"/>
          </w:tcPr>
          <w:p w14:paraId="29A7606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6A8A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5804699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单位税号：</w:t>
            </w:r>
          </w:p>
        </w:tc>
        <w:tc>
          <w:tcPr>
            <w:tcW w:w="1522" w:type="pct"/>
          </w:tcPr>
          <w:p w14:paraId="11CEFDB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4EDAEAF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单位税号：</w:t>
            </w:r>
          </w:p>
        </w:tc>
        <w:tc>
          <w:tcPr>
            <w:tcW w:w="1924" w:type="pct"/>
          </w:tcPr>
          <w:p w14:paraId="36AC163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15E32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vAlign w:val="center"/>
          </w:tcPr>
          <w:p w14:paraId="0133C7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单位地址：</w:t>
            </w:r>
          </w:p>
        </w:tc>
        <w:tc>
          <w:tcPr>
            <w:tcW w:w="1522" w:type="pct"/>
            <w:vAlign w:val="center"/>
          </w:tcPr>
          <w:p w14:paraId="1ABC0E9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西安市大学南路276号</w:t>
            </w:r>
          </w:p>
        </w:tc>
        <w:tc>
          <w:tcPr>
            <w:tcW w:w="783" w:type="pct"/>
            <w:vAlign w:val="center"/>
          </w:tcPr>
          <w:p w14:paraId="1211DF1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单位地址：</w:t>
            </w:r>
          </w:p>
        </w:tc>
        <w:tc>
          <w:tcPr>
            <w:tcW w:w="1924" w:type="pct"/>
            <w:vAlign w:val="center"/>
          </w:tcPr>
          <w:p w14:paraId="1B514D9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5EDDA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1D23917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电    话：</w:t>
            </w:r>
          </w:p>
        </w:tc>
        <w:tc>
          <w:tcPr>
            <w:tcW w:w="1522" w:type="pct"/>
          </w:tcPr>
          <w:p w14:paraId="7D63296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468AD3C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电    话：</w:t>
            </w:r>
          </w:p>
        </w:tc>
        <w:tc>
          <w:tcPr>
            <w:tcW w:w="1924" w:type="pct"/>
          </w:tcPr>
          <w:p w14:paraId="50A9CD7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05BA9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79CE1F3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银    行：</w:t>
            </w:r>
          </w:p>
        </w:tc>
        <w:tc>
          <w:tcPr>
            <w:tcW w:w="1522" w:type="pct"/>
          </w:tcPr>
          <w:p w14:paraId="32A3A61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152C58C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开户银行： </w:t>
            </w:r>
          </w:p>
        </w:tc>
        <w:tc>
          <w:tcPr>
            <w:tcW w:w="1924" w:type="pct"/>
          </w:tcPr>
          <w:p w14:paraId="307DEB4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6A9B2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295AC02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账    号：</w:t>
            </w:r>
          </w:p>
        </w:tc>
        <w:tc>
          <w:tcPr>
            <w:tcW w:w="1522" w:type="pct"/>
          </w:tcPr>
          <w:p w14:paraId="5388196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3FEB118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账    号：</w:t>
            </w:r>
          </w:p>
        </w:tc>
        <w:tc>
          <w:tcPr>
            <w:tcW w:w="1924" w:type="pct"/>
          </w:tcPr>
          <w:p w14:paraId="00173C2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2A2EF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6AC8050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法定代表人或委托代理人：</w:t>
            </w:r>
          </w:p>
        </w:tc>
        <w:tc>
          <w:tcPr>
            <w:tcW w:w="1522" w:type="pct"/>
          </w:tcPr>
          <w:p w14:paraId="4EDE4E5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c>
          <w:tcPr>
            <w:tcW w:w="783" w:type="pct"/>
          </w:tcPr>
          <w:p w14:paraId="7D900DE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法定代表人或委托代理人：</w:t>
            </w:r>
          </w:p>
        </w:tc>
        <w:tc>
          <w:tcPr>
            <w:tcW w:w="1924" w:type="pct"/>
          </w:tcPr>
          <w:p w14:paraId="3142139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p w14:paraId="7682440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p>
        </w:tc>
      </w:tr>
      <w:tr w14:paraId="10408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69" w:type="pct"/>
          </w:tcPr>
          <w:p w14:paraId="596511E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签订日期：</w:t>
            </w:r>
          </w:p>
        </w:tc>
        <w:tc>
          <w:tcPr>
            <w:tcW w:w="1522" w:type="pct"/>
          </w:tcPr>
          <w:p w14:paraId="65E0AFD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sz w:val="24"/>
                <w:szCs w:val="24"/>
              </w:rPr>
              <w:t xml:space="preserve">      年  月  日</w:t>
            </w:r>
          </w:p>
        </w:tc>
        <w:tc>
          <w:tcPr>
            <w:tcW w:w="783" w:type="pct"/>
          </w:tcPr>
          <w:p w14:paraId="7AE8312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签订日期：</w:t>
            </w:r>
          </w:p>
        </w:tc>
        <w:tc>
          <w:tcPr>
            <w:tcW w:w="1924" w:type="pct"/>
          </w:tcPr>
          <w:p w14:paraId="146277C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sz w:val="24"/>
                <w:szCs w:val="24"/>
              </w:rPr>
              <w:t xml:space="preserve">      年  月  日</w:t>
            </w:r>
          </w:p>
        </w:tc>
      </w:tr>
    </w:tbl>
    <w:p w14:paraId="64FD6278">
      <w:pPr>
        <w:jc w:val="both"/>
        <w:rPr>
          <w:rFonts w:hint="default"/>
          <w:lang w:eastAsia="zh-Hans"/>
        </w:rPr>
      </w:pPr>
    </w:p>
    <w:p w14:paraId="526D2BE8">
      <w:pPr>
        <w:sectPr>
          <w:pgSz w:w="11906" w:h="16838"/>
          <w:pgMar w:top="1440" w:right="1800" w:bottom="1440" w:left="1800" w:header="851" w:footer="992" w:gutter="0"/>
          <w:cols w:space="425" w:num="1"/>
          <w:docGrid w:type="lines" w:linePitch="312" w:charSpace="0"/>
        </w:sectPr>
      </w:pPr>
    </w:p>
    <w:p w14:paraId="1790022D">
      <w:pPr>
        <w:pStyle w:val="2"/>
        <w:rPr>
          <w:rFonts w:hint="default"/>
          <w:sz w:val="24"/>
          <w:szCs w:val="24"/>
          <w:lang w:val="en-US" w:eastAsia="zh-CN"/>
        </w:rPr>
      </w:pPr>
      <w:r>
        <w:rPr>
          <w:rFonts w:hint="eastAsia"/>
          <w:b/>
          <w:bCs/>
          <w:sz w:val="24"/>
          <w:szCs w:val="24"/>
          <w:lang w:val="en-US" w:eastAsia="zh-CN"/>
        </w:rPr>
        <w:t>合同包3</w:t>
      </w:r>
    </w:p>
    <w:p w14:paraId="6EF60D5F">
      <w:pP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附件：信息系统售后运维服务质量评价标准</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426"/>
        <w:gridCol w:w="426"/>
        <w:gridCol w:w="2177"/>
        <w:gridCol w:w="549"/>
        <w:gridCol w:w="549"/>
        <w:gridCol w:w="3935"/>
      </w:tblGrid>
      <w:tr w14:paraId="3D0B6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60" w:type="pct"/>
            <w:vMerge w:val="restart"/>
            <w:noWrap w:val="0"/>
            <w:vAlign w:val="center"/>
          </w:tcPr>
          <w:p w14:paraId="373396B3">
            <w:pPr>
              <w:jc w:val="center"/>
              <w:rPr>
                <w:rFonts w:ascii="仿宋" w:hAnsi="仿宋" w:eastAsia="仿宋"/>
                <w:b/>
                <w:sz w:val="24"/>
              </w:rPr>
            </w:pPr>
            <w:r>
              <w:rPr>
                <w:rFonts w:hint="eastAsia" w:ascii="仿宋" w:hAnsi="仿宋" w:eastAsia="仿宋"/>
                <w:b/>
                <w:sz w:val="24"/>
              </w:rPr>
              <w:t>序号</w:t>
            </w:r>
          </w:p>
        </w:tc>
        <w:tc>
          <w:tcPr>
            <w:tcW w:w="1945" w:type="pct"/>
            <w:gridSpan w:val="3"/>
            <w:vMerge w:val="restart"/>
            <w:noWrap w:val="0"/>
            <w:vAlign w:val="center"/>
          </w:tcPr>
          <w:p w14:paraId="0EC82BA3">
            <w:pPr>
              <w:jc w:val="center"/>
              <w:rPr>
                <w:rFonts w:ascii="仿宋" w:hAnsi="仿宋" w:eastAsia="仿宋"/>
                <w:b/>
                <w:sz w:val="24"/>
              </w:rPr>
            </w:pPr>
            <w:r>
              <w:rPr>
                <w:rFonts w:hint="eastAsia" w:ascii="仿宋" w:hAnsi="仿宋" w:eastAsia="仿宋"/>
                <w:b/>
                <w:sz w:val="24"/>
              </w:rPr>
              <w:t>评价项目分类</w:t>
            </w:r>
          </w:p>
        </w:tc>
        <w:tc>
          <w:tcPr>
            <w:tcW w:w="500" w:type="pct"/>
            <w:gridSpan w:val="2"/>
            <w:noWrap w:val="0"/>
            <w:vAlign w:val="center"/>
          </w:tcPr>
          <w:p w14:paraId="3CD51D5B">
            <w:pPr>
              <w:jc w:val="center"/>
              <w:rPr>
                <w:rFonts w:ascii="仿宋" w:hAnsi="仿宋" w:eastAsia="仿宋"/>
                <w:b/>
                <w:sz w:val="24"/>
              </w:rPr>
            </w:pPr>
            <w:r>
              <w:rPr>
                <w:rFonts w:hint="eastAsia" w:ascii="仿宋" w:hAnsi="仿宋" w:eastAsia="仿宋"/>
                <w:b/>
                <w:sz w:val="24"/>
              </w:rPr>
              <w:t>评分分值</w:t>
            </w:r>
          </w:p>
        </w:tc>
        <w:tc>
          <w:tcPr>
            <w:tcW w:w="2394" w:type="pct"/>
            <w:vMerge w:val="restart"/>
            <w:noWrap w:val="0"/>
            <w:vAlign w:val="center"/>
          </w:tcPr>
          <w:p w14:paraId="3F8BCF3D">
            <w:pPr>
              <w:jc w:val="center"/>
              <w:rPr>
                <w:rFonts w:ascii="仿宋" w:hAnsi="仿宋" w:eastAsia="仿宋"/>
                <w:b/>
                <w:sz w:val="24"/>
              </w:rPr>
            </w:pPr>
            <w:r>
              <w:rPr>
                <w:rFonts w:hint="eastAsia" w:ascii="仿宋" w:hAnsi="仿宋" w:eastAsia="仿宋"/>
                <w:b/>
                <w:sz w:val="24"/>
              </w:rPr>
              <w:t>评分标准</w:t>
            </w:r>
          </w:p>
        </w:tc>
      </w:tr>
      <w:tr w14:paraId="01525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0BE6F154">
            <w:pPr>
              <w:rPr>
                <w:rFonts w:ascii="仿宋" w:hAnsi="仿宋" w:eastAsia="仿宋"/>
              </w:rPr>
            </w:pPr>
          </w:p>
        </w:tc>
        <w:tc>
          <w:tcPr>
            <w:tcW w:w="1945" w:type="pct"/>
            <w:gridSpan w:val="3"/>
            <w:vMerge w:val="continue"/>
            <w:noWrap w:val="0"/>
            <w:vAlign w:val="top"/>
          </w:tcPr>
          <w:p w14:paraId="00527DA6">
            <w:pPr>
              <w:rPr>
                <w:rFonts w:ascii="仿宋" w:hAnsi="仿宋" w:eastAsia="仿宋"/>
              </w:rPr>
            </w:pPr>
          </w:p>
        </w:tc>
        <w:tc>
          <w:tcPr>
            <w:tcW w:w="250" w:type="pct"/>
            <w:noWrap w:val="0"/>
            <w:vAlign w:val="center"/>
          </w:tcPr>
          <w:p w14:paraId="66E6FC17">
            <w:pPr>
              <w:jc w:val="center"/>
              <w:rPr>
                <w:rFonts w:ascii="仿宋" w:hAnsi="仿宋" w:eastAsia="仿宋"/>
                <w:b/>
                <w:sz w:val="22"/>
              </w:rPr>
            </w:pPr>
            <w:r>
              <w:rPr>
                <w:rFonts w:hint="eastAsia" w:ascii="仿宋" w:hAnsi="仿宋" w:eastAsia="仿宋"/>
                <w:b/>
                <w:sz w:val="22"/>
              </w:rPr>
              <w:t>分项分值</w:t>
            </w:r>
          </w:p>
        </w:tc>
        <w:tc>
          <w:tcPr>
            <w:tcW w:w="250" w:type="pct"/>
            <w:noWrap w:val="0"/>
            <w:vAlign w:val="center"/>
          </w:tcPr>
          <w:p w14:paraId="7ED40611">
            <w:pPr>
              <w:jc w:val="center"/>
              <w:rPr>
                <w:rFonts w:ascii="仿宋" w:hAnsi="仿宋" w:eastAsia="仿宋"/>
                <w:b/>
                <w:sz w:val="22"/>
              </w:rPr>
            </w:pPr>
            <w:r>
              <w:rPr>
                <w:rFonts w:hint="eastAsia" w:ascii="仿宋" w:hAnsi="仿宋" w:eastAsia="仿宋"/>
                <w:b/>
                <w:sz w:val="22"/>
              </w:rPr>
              <w:t>明细分值</w:t>
            </w:r>
          </w:p>
        </w:tc>
        <w:tc>
          <w:tcPr>
            <w:tcW w:w="2394" w:type="pct"/>
            <w:vMerge w:val="continue"/>
            <w:noWrap w:val="0"/>
            <w:vAlign w:val="top"/>
          </w:tcPr>
          <w:p w14:paraId="362325FC">
            <w:pPr>
              <w:rPr>
                <w:rFonts w:ascii="仿宋" w:hAnsi="仿宋" w:eastAsia="仿宋"/>
              </w:rPr>
            </w:pPr>
          </w:p>
        </w:tc>
      </w:tr>
      <w:tr w14:paraId="22417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17933890">
            <w:pPr>
              <w:jc w:val="center"/>
              <w:rPr>
                <w:rFonts w:ascii="仿宋" w:hAnsi="仿宋" w:eastAsia="仿宋"/>
                <w:szCs w:val="21"/>
              </w:rPr>
            </w:pPr>
            <w:r>
              <w:rPr>
                <w:rFonts w:hint="eastAsia" w:ascii="仿宋" w:hAnsi="仿宋" w:eastAsia="仿宋"/>
                <w:szCs w:val="21"/>
              </w:rPr>
              <w:t>1</w:t>
            </w:r>
          </w:p>
        </w:tc>
        <w:tc>
          <w:tcPr>
            <w:tcW w:w="247" w:type="pct"/>
            <w:vMerge w:val="restart"/>
            <w:noWrap w:val="0"/>
            <w:vAlign w:val="center"/>
          </w:tcPr>
          <w:p w14:paraId="78E49BE5">
            <w:pPr>
              <w:rPr>
                <w:rFonts w:ascii="仿宋" w:hAnsi="仿宋" w:eastAsia="仿宋"/>
                <w:szCs w:val="21"/>
              </w:rPr>
            </w:pPr>
            <w:r>
              <w:rPr>
                <w:rFonts w:hint="eastAsia" w:ascii="仿宋" w:hAnsi="仿宋" w:eastAsia="仿宋"/>
                <w:szCs w:val="21"/>
              </w:rPr>
              <w:t>日常售后运维服务</w:t>
            </w:r>
          </w:p>
        </w:tc>
        <w:tc>
          <w:tcPr>
            <w:tcW w:w="296" w:type="pct"/>
            <w:vMerge w:val="restart"/>
            <w:noWrap w:val="0"/>
            <w:vAlign w:val="center"/>
          </w:tcPr>
          <w:p w14:paraId="6CDAB8C5">
            <w:pPr>
              <w:jc w:val="center"/>
              <w:rPr>
                <w:rFonts w:ascii="仿宋" w:hAnsi="仿宋" w:eastAsia="仿宋"/>
                <w:szCs w:val="21"/>
              </w:rPr>
            </w:pPr>
            <w:r>
              <w:rPr>
                <w:rFonts w:hint="eastAsia" w:ascii="仿宋" w:hAnsi="仿宋" w:eastAsia="仿宋"/>
                <w:szCs w:val="21"/>
              </w:rPr>
              <w:t>信息系统故障问题解决的及时性</w:t>
            </w:r>
          </w:p>
        </w:tc>
        <w:tc>
          <w:tcPr>
            <w:tcW w:w="1401" w:type="pct"/>
            <w:vMerge w:val="restart"/>
            <w:noWrap w:val="0"/>
            <w:vAlign w:val="center"/>
          </w:tcPr>
          <w:p w14:paraId="3BA4949C">
            <w:pPr>
              <w:rPr>
                <w:rFonts w:ascii="仿宋" w:hAnsi="仿宋" w:eastAsia="仿宋"/>
                <w:szCs w:val="21"/>
              </w:rPr>
            </w:pPr>
            <w:r>
              <w:rPr>
                <w:rFonts w:hint="eastAsia" w:ascii="仿宋" w:hAnsi="仿宋" w:eastAsia="仿宋"/>
                <w:szCs w:val="21"/>
              </w:rPr>
              <w:t>依据服务商在服务期内处理相应故障等级的响应时间与招标文件、投标文件与合同中相关内容完成情况进行评价。</w:t>
            </w:r>
          </w:p>
        </w:tc>
        <w:tc>
          <w:tcPr>
            <w:tcW w:w="250" w:type="pct"/>
            <w:vMerge w:val="restart"/>
            <w:noWrap w:val="0"/>
            <w:vAlign w:val="center"/>
          </w:tcPr>
          <w:p w14:paraId="05D67757">
            <w:pPr>
              <w:jc w:val="center"/>
              <w:rPr>
                <w:rFonts w:ascii="仿宋" w:hAnsi="仿宋" w:eastAsia="仿宋"/>
                <w:szCs w:val="21"/>
              </w:rPr>
            </w:pPr>
            <w:r>
              <w:rPr>
                <w:rFonts w:ascii="仿宋" w:hAnsi="仿宋" w:eastAsia="仿宋"/>
                <w:szCs w:val="21"/>
              </w:rPr>
              <w:t>5</w:t>
            </w:r>
          </w:p>
        </w:tc>
        <w:tc>
          <w:tcPr>
            <w:tcW w:w="250" w:type="pct"/>
            <w:noWrap w:val="0"/>
            <w:vAlign w:val="center"/>
          </w:tcPr>
          <w:p w14:paraId="0CB6B4B3">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6DF9FF19">
            <w:pPr>
              <w:jc w:val="both"/>
              <w:rPr>
                <w:rFonts w:ascii="仿宋" w:hAnsi="仿宋" w:eastAsia="仿宋"/>
                <w:szCs w:val="21"/>
              </w:rPr>
            </w:pPr>
            <w:r>
              <w:rPr>
                <w:rFonts w:hint="eastAsia" w:ascii="仿宋" w:hAnsi="仿宋" w:eastAsia="仿宋"/>
                <w:szCs w:val="21"/>
              </w:rPr>
              <w:t>1、服务期内出现一级故障响应时间超时大于1</w:t>
            </w:r>
            <w:r>
              <w:rPr>
                <w:rFonts w:ascii="仿宋" w:hAnsi="仿宋" w:eastAsia="仿宋"/>
                <w:szCs w:val="21"/>
              </w:rPr>
              <w:t>0</w:t>
            </w:r>
            <w:r>
              <w:rPr>
                <w:rFonts w:hint="eastAsia" w:ascii="仿宋" w:hAnsi="仿宋" w:eastAsia="仿宋"/>
                <w:szCs w:val="21"/>
              </w:rPr>
              <w:t>分钟以上扣【2】分/次；</w:t>
            </w:r>
          </w:p>
        </w:tc>
      </w:tr>
      <w:tr w14:paraId="6CE7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268C46F0">
            <w:pPr>
              <w:rPr>
                <w:rFonts w:ascii="仿宋" w:hAnsi="仿宋" w:eastAsia="仿宋"/>
                <w:szCs w:val="21"/>
              </w:rPr>
            </w:pPr>
          </w:p>
        </w:tc>
        <w:tc>
          <w:tcPr>
            <w:tcW w:w="247" w:type="pct"/>
            <w:vMerge w:val="continue"/>
            <w:noWrap w:val="0"/>
            <w:vAlign w:val="top"/>
          </w:tcPr>
          <w:p w14:paraId="58C7560A">
            <w:pPr>
              <w:rPr>
                <w:rFonts w:ascii="仿宋" w:hAnsi="仿宋" w:eastAsia="仿宋"/>
                <w:szCs w:val="21"/>
              </w:rPr>
            </w:pPr>
          </w:p>
        </w:tc>
        <w:tc>
          <w:tcPr>
            <w:tcW w:w="296" w:type="pct"/>
            <w:vMerge w:val="continue"/>
            <w:noWrap w:val="0"/>
            <w:vAlign w:val="top"/>
          </w:tcPr>
          <w:p w14:paraId="109E2C67">
            <w:pPr>
              <w:rPr>
                <w:rFonts w:ascii="仿宋" w:hAnsi="仿宋" w:eastAsia="仿宋"/>
                <w:szCs w:val="21"/>
              </w:rPr>
            </w:pPr>
          </w:p>
        </w:tc>
        <w:tc>
          <w:tcPr>
            <w:tcW w:w="1401" w:type="pct"/>
            <w:vMerge w:val="continue"/>
            <w:noWrap w:val="0"/>
            <w:vAlign w:val="top"/>
          </w:tcPr>
          <w:p w14:paraId="693E75FE">
            <w:pPr>
              <w:rPr>
                <w:rFonts w:ascii="仿宋" w:hAnsi="仿宋" w:eastAsia="仿宋"/>
                <w:szCs w:val="21"/>
              </w:rPr>
            </w:pPr>
          </w:p>
        </w:tc>
        <w:tc>
          <w:tcPr>
            <w:tcW w:w="250" w:type="pct"/>
            <w:vMerge w:val="continue"/>
            <w:noWrap w:val="0"/>
            <w:vAlign w:val="top"/>
          </w:tcPr>
          <w:p w14:paraId="19FC8131">
            <w:pPr>
              <w:rPr>
                <w:rFonts w:ascii="仿宋" w:hAnsi="仿宋" w:eastAsia="仿宋"/>
                <w:szCs w:val="21"/>
              </w:rPr>
            </w:pPr>
          </w:p>
        </w:tc>
        <w:tc>
          <w:tcPr>
            <w:tcW w:w="250" w:type="pct"/>
            <w:noWrap w:val="0"/>
            <w:vAlign w:val="center"/>
          </w:tcPr>
          <w:p w14:paraId="4203A13A">
            <w:pPr>
              <w:jc w:val="center"/>
              <w:rPr>
                <w:rFonts w:ascii="仿宋" w:hAnsi="仿宋" w:eastAsia="仿宋"/>
                <w:szCs w:val="21"/>
              </w:rPr>
            </w:pPr>
            <w:r>
              <w:rPr>
                <w:rFonts w:ascii="仿宋" w:hAnsi="仿宋" w:eastAsia="仿宋"/>
                <w:szCs w:val="21"/>
              </w:rPr>
              <w:t>1.5</w:t>
            </w:r>
          </w:p>
        </w:tc>
        <w:tc>
          <w:tcPr>
            <w:tcW w:w="2394" w:type="pct"/>
            <w:noWrap w:val="0"/>
            <w:vAlign w:val="center"/>
          </w:tcPr>
          <w:p w14:paraId="427012F1">
            <w:pPr>
              <w:jc w:val="both"/>
              <w:rPr>
                <w:rFonts w:ascii="仿宋" w:hAnsi="仿宋" w:eastAsia="仿宋"/>
                <w:szCs w:val="21"/>
              </w:rPr>
            </w:pPr>
            <w:r>
              <w:rPr>
                <w:rFonts w:hint="eastAsia" w:ascii="仿宋" w:hAnsi="仿宋" w:eastAsia="仿宋"/>
                <w:szCs w:val="21"/>
              </w:rPr>
              <w:t>2、服务期内出现二级故障响应时间超时大于</w:t>
            </w:r>
            <w:r>
              <w:rPr>
                <w:rFonts w:ascii="仿宋" w:hAnsi="仿宋" w:eastAsia="仿宋"/>
                <w:szCs w:val="21"/>
              </w:rPr>
              <w:t>30</w:t>
            </w:r>
            <w:r>
              <w:rPr>
                <w:rFonts w:hint="eastAsia" w:ascii="仿宋" w:hAnsi="仿宋" w:eastAsia="仿宋"/>
                <w:szCs w:val="21"/>
              </w:rPr>
              <w:t>分钟以上扣【1】分/次；</w:t>
            </w:r>
          </w:p>
        </w:tc>
      </w:tr>
      <w:tr w14:paraId="35493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0A441B0A">
            <w:pPr>
              <w:rPr>
                <w:rFonts w:ascii="仿宋" w:hAnsi="仿宋" w:eastAsia="仿宋"/>
                <w:szCs w:val="21"/>
              </w:rPr>
            </w:pPr>
          </w:p>
        </w:tc>
        <w:tc>
          <w:tcPr>
            <w:tcW w:w="247" w:type="pct"/>
            <w:vMerge w:val="continue"/>
            <w:noWrap w:val="0"/>
            <w:vAlign w:val="top"/>
          </w:tcPr>
          <w:p w14:paraId="419F3B59">
            <w:pPr>
              <w:rPr>
                <w:rFonts w:ascii="仿宋" w:hAnsi="仿宋" w:eastAsia="仿宋"/>
                <w:szCs w:val="21"/>
              </w:rPr>
            </w:pPr>
          </w:p>
        </w:tc>
        <w:tc>
          <w:tcPr>
            <w:tcW w:w="296" w:type="pct"/>
            <w:vMerge w:val="continue"/>
            <w:noWrap w:val="0"/>
            <w:vAlign w:val="top"/>
          </w:tcPr>
          <w:p w14:paraId="750559DF">
            <w:pPr>
              <w:rPr>
                <w:rFonts w:ascii="仿宋" w:hAnsi="仿宋" w:eastAsia="仿宋"/>
                <w:szCs w:val="21"/>
              </w:rPr>
            </w:pPr>
          </w:p>
        </w:tc>
        <w:tc>
          <w:tcPr>
            <w:tcW w:w="1401" w:type="pct"/>
            <w:vMerge w:val="continue"/>
            <w:noWrap w:val="0"/>
            <w:vAlign w:val="top"/>
          </w:tcPr>
          <w:p w14:paraId="0A216829">
            <w:pPr>
              <w:rPr>
                <w:rFonts w:ascii="仿宋" w:hAnsi="仿宋" w:eastAsia="仿宋"/>
                <w:szCs w:val="21"/>
              </w:rPr>
            </w:pPr>
          </w:p>
        </w:tc>
        <w:tc>
          <w:tcPr>
            <w:tcW w:w="250" w:type="pct"/>
            <w:vMerge w:val="continue"/>
            <w:noWrap w:val="0"/>
            <w:vAlign w:val="top"/>
          </w:tcPr>
          <w:p w14:paraId="78F2E884">
            <w:pPr>
              <w:rPr>
                <w:rFonts w:ascii="仿宋" w:hAnsi="仿宋" w:eastAsia="仿宋"/>
                <w:szCs w:val="21"/>
              </w:rPr>
            </w:pPr>
          </w:p>
        </w:tc>
        <w:tc>
          <w:tcPr>
            <w:tcW w:w="250" w:type="pct"/>
            <w:noWrap w:val="0"/>
            <w:vAlign w:val="center"/>
          </w:tcPr>
          <w:p w14:paraId="533A8817">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2A20308B">
            <w:pPr>
              <w:jc w:val="both"/>
              <w:rPr>
                <w:rFonts w:ascii="仿宋" w:hAnsi="仿宋" w:eastAsia="仿宋"/>
                <w:szCs w:val="21"/>
              </w:rPr>
            </w:pPr>
            <w:r>
              <w:rPr>
                <w:rFonts w:hint="eastAsia" w:ascii="仿宋" w:hAnsi="仿宋" w:eastAsia="仿宋"/>
                <w:szCs w:val="21"/>
              </w:rPr>
              <w:t>3、服务期内出现三级故障响应时间超时大于</w:t>
            </w:r>
            <w:r>
              <w:rPr>
                <w:rFonts w:ascii="仿宋" w:hAnsi="仿宋" w:eastAsia="仿宋"/>
                <w:szCs w:val="21"/>
              </w:rPr>
              <w:t>30</w:t>
            </w:r>
            <w:r>
              <w:rPr>
                <w:rFonts w:hint="eastAsia" w:ascii="仿宋" w:hAnsi="仿宋" w:eastAsia="仿宋"/>
                <w:szCs w:val="21"/>
              </w:rPr>
              <w:t>分钟以上扣【0</w:t>
            </w:r>
            <w:r>
              <w:rPr>
                <w:rFonts w:ascii="仿宋" w:hAnsi="仿宋" w:eastAsia="仿宋"/>
                <w:szCs w:val="21"/>
              </w:rPr>
              <w:t>.5</w:t>
            </w:r>
            <w:r>
              <w:rPr>
                <w:rFonts w:hint="eastAsia" w:ascii="仿宋" w:hAnsi="仿宋" w:eastAsia="仿宋"/>
                <w:szCs w:val="21"/>
              </w:rPr>
              <w:t>】分/次；</w:t>
            </w:r>
          </w:p>
        </w:tc>
      </w:tr>
      <w:tr w14:paraId="4D5CE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20884C49">
            <w:pPr>
              <w:rPr>
                <w:rFonts w:ascii="仿宋" w:hAnsi="仿宋" w:eastAsia="仿宋"/>
                <w:szCs w:val="21"/>
              </w:rPr>
            </w:pPr>
          </w:p>
        </w:tc>
        <w:tc>
          <w:tcPr>
            <w:tcW w:w="247" w:type="pct"/>
            <w:vMerge w:val="continue"/>
            <w:noWrap w:val="0"/>
            <w:vAlign w:val="top"/>
          </w:tcPr>
          <w:p w14:paraId="3A9041F9">
            <w:pPr>
              <w:rPr>
                <w:rFonts w:ascii="仿宋" w:hAnsi="仿宋" w:eastAsia="仿宋"/>
                <w:szCs w:val="21"/>
              </w:rPr>
            </w:pPr>
          </w:p>
        </w:tc>
        <w:tc>
          <w:tcPr>
            <w:tcW w:w="296" w:type="pct"/>
            <w:vMerge w:val="continue"/>
            <w:noWrap w:val="0"/>
            <w:vAlign w:val="top"/>
          </w:tcPr>
          <w:p w14:paraId="12A743B0">
            <w:pPr>
              <w:rPr>
                <w:rFonts w:ascii="仿宋" w:hAnsi="仿宋" w:eastAsia="仿宋"/>
                <w:szCs w:val="21"/>
              </w:rPr>
            </w:pPr>
          </w:p>
        </w:tc>
        <w:tc>
          <w:tcPr>
            <w:tcW w:w="1401" w:type="pct"/>
            <w:vMerge w:val="continue"/>
            <w:noWrap w:val="0"/>
            <w:vAlign w:val="top"/>
          </w:tcPr>
          <w:p w14:paraId="35C1EBE4">
            <w:pPr>
              <w:rPr>
                <w:rFonts w:ascii="仿宋" w:hAnsi="仿宋" w:eastAsia="仿宋"/>
                <w:szCs w:val="21"/>
              </w:rPr>
            </w:pPr>
          </w:p>
        </w:tc>
        <w:tc>
          <w:tcPr>
            <w:tcW w:w="250" w:type="pct"/>
            <w:vMerge w:val="continue"/>
            <w:noWrap w:val="0"/>
            <w:vAlign w:val="top"/>
          </w:tcPr>
          <w:p w14:paraId="2C9A1E78">
            <w:pPr>
              <w:rPr>
                <w:rFonts w:ascii="仿宋" w:hAnsi="仿宋" w:eastAsia="仿宋"/>
                <w:szCs w:val="21"/>
              </w:rPr>
            </w:pPr>
          </w:p>
        </w:tc>
        <w:tc>
          <w:tcPr>
            <w:tcW w:w="250" w:type="pct"/>
            <w:noWrap w:val="0"/>
            <w:vAlign w:val="center"/>
          </w:tcPr>
          <w:p w14:paraId="6EDD998D">
            <w:pPr>
              <w:jc w:val="center"/>
              <w:rPr>
                <w:rFonts w:ascii="仿宋" w:hAnsi="仿宋" w:eastAsia="仿宋"/>
                <w:szCs w:val="21"/>
              </w:rPr>
            </w:pPr>
            <w:r>
              <w:rPr>
                <w:rFonts w:ascii="仿宋" w:hAnsi="仿宋" w:eastAsia="仿宋"/>
                <w:szCs w:val="21"/>
              </w:rPr>
              <w:t>0.5</w:t>
            </w:r>
          </w:p>
        </w:tc>
        <w:tc>
          <w:tcPr>
            <w:tcW w:w="2394" w:type="pct"/>
            <w:noWrap w:val="0"/>
            <w:vAlign w:val="center"/>
          </w:tcPr>
          <w:p w14:paraId="16F651F3">
            <w:pPr>
              <w:jc w:val="both"/>
              <w:rPr>
                <w:rFonts w:ascii="仿宋" w:hAnsi="仿宋" w:eastAsia="仿宋"/>
                <w:szCs w:val="21"/>
              </w:rPr>
            </w:pPr>
            <w:r>
              <w:rPr>
                <w:rFonts w:hint="eastAsia" w:ascii="仿宋" w:hAnsi="仿宋" w:eastAsia="仿宋"/>
                <w:szCs w:val="21"/>
              </w:rPr>
              <w:t>4、服务期内出现四级故障响应时间超时大于</w:t>
            </w:r>
            <w:r>
              <w:rPr>
                <w:rFonts w:ascii="仿宋" w:hAnsi="仿宋" w:eastAsia="仿宋"/>
                <w:szCs w:val="21"/>
              </w:rPr>
              <w:t>30</w:t>
            </w:r>
            <w:r>
              <w:rPr>
                <w:rFonts w:hint="eastAsia" w:ascii="仿宋" w:hAnsi="仿宋" w:eastAsia="仿宋"/>
                <w:szCs w:val="21"/>
              </w:rPr>
              <w:t>分钟以上扣【0</w:t>
            </w:r>
            <w:r>
              <w:rPr>
                <w:rFonts w:ascii="仿宋" w:hAnsi="仿宋" w:eastAsia="仿宋"/>
                <w:szCs w:val="21"/>
              </w:rPr>
              <w:t>.1</w:t>
            </w:r>
            <w:r>
              <w:rPr>
                <w:rFonts w:hint="eastAsia" w:ascii="仿宋" w:hAnsi="仿宋" w:eastAsia="仿宋"/>
                <w:szCs w:val="21"/>
              </w:rPr>
              <w:t>】分/次；</w:t>
            </w:r>
          </w:p>
        </w:tc>
      </w:tr>
      <w:tr w14:paraId="2AF0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3A11D6E">
            <w:pPr>
              <w:rPr>
                <w:rFonts w:ascii="仿宋" w:hAnsi="仿宋" w:eastAsia="仿宋"/>
                <w:szCs w:val="21"/>
              </w:rPr>
            </w:pPr>
          </w:p>
        </w:tc>
        <w:tc>
          <w:tcPr>
            <w:tcW w:w="247" w:type="pct"/>
            <w:vMerge w:val="continue"/>
            <w:noWrap w:val="0"/>
            <w:vAlign w:val="top"/>
          </w:tcPr>
          <w:p w14:paraId="574F956F">
            <w:pPr>
              <w:rPr>
                <w:rFonts w:ascii="仿宋" w:hAnsi="仿宋" w:eastAsia="仿宋"/>
                <w:szCs w:val="21"/>
              </w:rPr>
            </w:pPr>
          </w:p>
        </w:tc>
        <w:tc>
          <w:tcPr>
            <w:tcW w:w="296" w:type="pct"/>
            <w:vMerge w:val="continue"/>
            <w:noWrap w:val="0"/>
            <w:vAlign w:val="top"/>
          </w:tcPr>
          <w:p w14:paraId="3C9DE64C">
            <w:pPr>
              <w:rPr>
                <w:rFonts w:ascii="仿宋" w:hAnsi="仿宋" w:eastAsia="仿宋"/>
                <w:szCs w:val="21"/>
              </w:rPr>
            </w:pPr>
          </w:p>
        </w:tc>
        <w:tc>
          <w:tcPr>
            <w:tcW w:w="1401" w:type="pct"/>
            <w:vMerge w:val="restart"/>
            <w:noWrap w:val="0"/>
            <w:vAlign w:val="center"/>
          </w:tcPr>
          <w:p w14:paraId="645B0D9B">
            <w:pPr>
              <w:rPr>
                <w:rFonts w:ascii="仿宋" w:hAnsi="仿宋" w:eastAsia="仿宋"/>
                <w:szCs w:val="21"/>
              </w:rPr>
            </w:pPr>
            <w:r>
              <w:rPr>
                <w:rFonts w:hint="eastAsia" w:ascii="仿宋" w:hAnsi="仿宋" w:eastAsia="仿宋"/>
                <w:szCs w:val="21"/>
              </w:rPr>
              <w:t>依据服务商在服务期内处理相应故障等级的解决时间与招标文件、投标文件与合同中相关内容完成情况进行评价。</w:t>
            </w:r>
          </w:p>
        </w:tc>
        <w:tc>
          <w:tcPr>
            <w:tcW w:w="250" w:type="pct"/>
            <w:vMerge w:val="restart"/>
            <w:noWrap w:val="0"/>
            <w:vAlign w:val="center"/>
          </w:tcPr>
          <w:p w14:paraId="0618D454">
            <w:pPr>
              <w:jc w:val="center"/>
              <w:rPr>
                <w:rFonts w:ascii="仿宋" w:hAnsi="仿宋" w:eastAsia="仿宋"/>
                <w:szCs w:val="21"/>
              </w:rPr>
            </w:pPr>
            <w:r>
              <w:rPr>
                <w:rFonts w:ascii="仿宋" w:hAnsi="仿宋" w:eastAsia="仿宋"/>
                <w:szCs w:val="21"/>
              </w:rPr>
              <w:t>15</w:t>
            </w:r>
          </w:p>
        </w:tc>
        <w:tc>
          <w:tcPr>
            <w:tcW w:w="250" w:type="pct"/>
            <w:noWrap w:val="0"/>
            <w:vAlign w:val="center"/>
          </w:tcPr>
          <w:p w14:paraId="5C1C1365">
            <w:pPr>
              <w:jc w:val="center"/>
              <w:rPr>
                <w:rFonts w:ascii="仿宋" w:hAnsi="仿宋" w:eastAsia="仿宋"/>
                <w:szCs w:val="21"/>
              </w:rPr>
            </w:pPr>
            <w:r>
              <w:rPr>
                <w:rFonts w:ascii="仿宋" w:hAnsi="仿宋" w:eastAsia="仿宋"/>
                <w:szCs w:val="21"/>
              </w:rPr>
              <w:t>6</w:t>
            </w:r>
          </w:p>
        </w:tc>
        <w:tc>
          <w:tcPr>
            <w:tcW w:w="2394" w:type="pct"/>
            <w:noWrap w:val="0"/>
            <w:vAlign w:val="center"/>
          </w:tcPr>
          <w:p w14:paraId="44A765D3">
            <w:pPr>
              <w:jc w:val="both"/>
              <w:rPr>
                <w:rFonts w:ascii="仿宋" w:hAnsi="仿宋" w:eastAsia="仿宋"/>
                <w:szCs w:val="21"/>
              </w:rPr>
            </w:pPr>
            <w:r>
              <w:rPr>
                <w:rFonts w:hint="eastAsia" w:ascii="仿宋" w:hAnsi="仿宋" w:eastAsia="仿宋"/>
                <w:szCs w:val="21"/>
              </w:rPr>
              <w:t>1、服务期内出现一级故障解决时间超时或未按要求时限解决问题大于</w:t>
            </w:r>
            <w:r>
              <w:rPr>
                <w:rFonts w:ascii="仿宋" w:hAnsi="仿宋" w:eastAsia="仿宋"/>
                <w:szCs w:val="21"/>
              </w:rPr>
              <w:t>6</w:t>
            </w:r>
            <w:r>
              <w:rPr>
                <w:rFonts w:hint="eastAsia" w:ascii="仿宋" w:hAnsi="仿宋" w:eastAsia="仿宋"/>
                <w:szCs w:val="21"/>
              </w:rPr>
              <w:t>小时以上扣【</w:t>
            </w:r>
            <w:r>
              <w:rPr>
                <w:rFonts w:ascii="仿宋" w:hAnsi="仿宋" w:eastAsia="仿宋"/>
                <w:szCs w:val="21"/>
              </w:rPr>
              <w:t>6</w:t>
            </w:r>
            <w:r>
              <w:rPr>
                <w:rFonts w:hint="eastAsia" w:ascii="仿宋" w:hAnsi="仿宋" w:eastAsia="仿宋"/>
                <w:szCs w:val="21"/>
              </w:rPr>
              <w:t>】分/次；</w:t>
            </w:r>
          </w:p>
        </w:tc>
      </w:tr>
      <w:tr w14:paraId="57A20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4224ECC0">
            <w:pPr>
              <w:rPr>
                <w:rFonts w:ascii="仿宋" w:hAnsi="仿宋" w:eastAsia="仿宋"/>
                <w:szCs w:val="21"/>
              </w:rPr>
            </w:pPr>
          </w:p>
        </w:tc>
        <w:tc>
          <w:tcPr>
            <w:tcW w:w="247" w:type="pct"/>
            <w:vMerge w:val="continue"/>
            <w:noWrap w:val="0"/>
            <w:vAlign w:val="top"/>
          </w:tcPr>
          <w:p w14:paraId="2770AA87">
            <w:pPr>
              <w:rPr>
                <w:rFonts w:ascii="仿宋" w:hAnsi="仿宋" w:eastAsia="仿宋"/>
                <w:szCs w:val="21"/>
              </w:rPr>
            </w:pPr>
          </w:p>
        </w:tc>
        <w:tc>
          <w:tcPr>
            <w:tcW w:w="296" w:type="pct"/>
            <w:vMerge w:val="continue"/>
            <w:noWrap w:val="0"/>
            <w:vAlign w:val="top"/>
          </w:tcPr>
          <w:p w14:paraId="32740DBF">
            <w:pPr>
              <w:rPr>
                <w:rFonts w:ascii="仿宋" w:hAnsi="仿宋" w:eastAsia="仿宋"/>
                <w:szCs w:val="21"/>
              </w:rPr>
            </w:pPr>
          </w:p>
        </w:tc>
        <w:tc>
          <w:tcPr>
            <w:tcW w:w="1401" w:type="pct"/>
            <w:vMerge w:val="continue"/>
            <w:noWrap w:val="0"/>
            <w:vAlign w:val="top"/>
          </w:tcPr>
          <w:p w14:paraId="0D7E2A0F">
            <w:pPr>
              <w:rPr>
                <w:rFonts w:ascii="仿宋" w:hAnsi="仿宋" w:eastAsia="仿宋"/>
                <w:szCs w:val="21"/>
              </w:rPr>
            </w:pPr>
          </w:p>
        </w:tc>
        <w:tc>
          <w:tcPr>
            <w:tcW w:w="250" w:type="pct"/>
            <w:vMerge w:val="continue"/>
            <w:noWrap w:val="0"/>
            <w:vAlign w:val="top"/>
          </w:tcPr>
          <w:p w14:paraId="73D6D7AA">
            <w:pPr>
              <w:rPr>
                <w:rFonts w:ascii="仿宋" w:hAnsi="仿宋" w:eastAsia="仿宋"/>
                <w:szCs w:val="21"/>
              </w:rPr>
            </w:pPr>
          </w:p>
        </w:tc>
        <w:tc>
          <w:tcPr>
            <w:tcW w:w="250" w:type="pct"/>
            <w:noWrap w:val="0"/>
            <w:vAlign w:val="center"/>
          </w:tcPr>
          <w:p w14:paraId="7D875485">
            <w:pPr>
              <w:jc w:val="center"/>
              <w:rPr>
                <w:rFonts w:ascii="仿宋" w:hAnsi="仿宋" w:eastAsia="仿宋"/>
                <w:szCs w:val="21"/>
              </w:rPr>
            </w:pPr>
            <w:r>
              <w:rPr>
                <w:rFonts w:ascii="仿宋" w:hAnsi="仿宋" w:eastAsia="仿宋"/>
                <w:szCs w:val="21"/>
              </w:rPr>
              <w:t>4</w:t>
            </w:r>
          </w:p>
        </w:tc>
        <w:tc>
          <w:tcPr>
            <w:tcW w:w="2394" w:type="pct"/>
            <w:noWrap w:val="0"/>
            <w:vAlign w:val="center"/>
          </w:tcPr>
          <w:p w14:paraId="5718D93A">
            <w:pPr>
              <w:jc w:val="both"/>
              <w:rPr>
                <w:rFonts w:ascii="仿宋" w:hAnsi="仿宋" w:eastAsia="仿宋"/>
                <w:szCs w:val="21"/>
              </w:rPr>
            </w:pPr>
            <w:r>
              <w:rPr>
                <w:rFonts w:hint="eastAsia" w:ascii="仿宋" w:hAnsi="仿宋" w:eastAsia="仿宋"/>
                <w:szCs w:val="21"/>
              </w:rPr>
              <w:t>2、服务期内出现二级故障解决时间超时或未按要求时限解决问题大于1</w:t>
            </w:r>
            <w:r>
              <w:rPr>
                <w:rFonts w:ascii="仿宋" w:hAnsi="仿宋" w:eastAsia="仿宋"/>
                <w:szCs w:val="21"/>
              </w:rPr>
              <w:t>2</w:t>
            </w:r>
            <w:r>
              <w:rPr>
                <w:rFonts w:hint="eastAsia" w:ascii="仿宋" w:hAnsi="仿宋" w:eastAsia="仿宋"/>
                <w:szCs w:val="21"/>
              </w:rPr>
              <w:t>小时以上扣【</w:t>
            </w:r>
            <w:r>
              <w:rPr>
                <w:rFonts w:ascii="仿宋" w:hAnsi="仿宋" w:eastAsia="仿宋"/>
                <w:szCs w:val="21"/>
              </w:rPr>
              <w:t>2</w:t>
            </w:r>
            <w:r>
              <w:rPr>
                <w:rFonts w:hint="eastAsia" w:ascii="仿宋" w:hAnsi="仿宋" w:eastAsia="仿宋"/>
                <w:szCs w:val="21"/>
              </w:rPr>
              <w:t>】分/次；</w:t>
            </w:r>
          </w:p>
        </w:tc>
      </w:tr>
      <w:tr w14:paraId="74AAB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D1E28C5">
            <w:pPr>
              <w:rPr>
                <w:rFonts w:ascii="仿宋" w:hAnsi="仿宋" w:eastAsia="仿宋"/>
                <w:szCs w:val="21"/>
              </w:rPr>
            </w:pPr>
          </w:p>
        </w:tc>
        <w:tc>
          <w:tcPr>
            <w:tcW w:w="247" w:type="pct"/>
            <w:vMerge w:val="continue"/>
            <w:noWrap w:val="0"/>
            <w:vAlign w:val="top"/>
          </w:tcPr>
          <w:p w14:paraId="7650043C">
            <w:pPr>
              <w:rPr>
                <w:rFonts w:ascii="仿宋" w:hAnsi="仿宋" w:eastAsia="仿宋"/>
                <w:szCs w:val="21"/>
              </w:rPr>
            </w:pPr>
          </w:p>
        </w:tc>
        <w:tc>
          <w:tcPr>
            <w:tcW w:w="296" w:type="pct"/>
            <w:vMerge w:val="continue"/>
            <w:noWrap w:val="0"/>
            <w:vAlign w:val="top"/>
          </w:tcPr>
          <w:p w14:paraId="17134355">
            <w:pPr>
              <w:rPr>
                <w:rFonts w:ascii="仿宋" w:hAnsi="仿宋" w:eastAsia="仿宋"/>
                <w:szCs w:val="21"/>
              </w:rPr>
            </w:pPr>
          </w:p>
        </w:tc>
        <w:tc>
          <w:tcPr>
            <w:tcW w:w="1401" w:type="pct"/>
            <w:vMerge w:val="continue"/>
            <w:noWrap w:val="0"/>
            <w:vAlign w:val="top"/>
          </w:tcPr>
          <w:p w14:paraId="4ABBB310">
            <w:pPr>
              <w:rPr>
                <w:rFonts w:ascii="仿宋" w:hAnsi="仿宋" w:eastAsia="仿宋"/>
                <w:szCs w:val="21"/>
              </w:rPr>
            </w:pPr>
          </w:p>
        </w:tc>
        <w:tc>
          <w:tcPr>
            <w:tcW w:w="250" w:type="pct"/>
            <w:vMerge w:val="continue"/>
            <w:noWrap w:val="0"/>
            <w:vAlign w:val="top"/>
          </w:tcPr>
          <w:p w14:paraId="47A447C1">
            <w:pPr>
              <w:rPr>
                <w:rFonts w:ascii="仿宋" w:hAnsi="仿宋" w:eastAsia="仿宋"/>
                <w:szCs w:val="21"/>
              </w:rPr>
            </w:pPr>
          </w:p>
        </w:tc>
        <w:tc>
          <w:tcPr>
            <w:tcW w:w="250" w:type="pct"/>
            <w:noWrap w:val="0"/>
            <w:vAlign w:val="center"/>
          </w:tcPr>
          <w:p w14:paraId="024F078C">
            <w:pPr>
              <w:jc w:val="center"/>
              <w:rPr>
                <w:rFonts w:ascii="仿宋" w:hAnsi="仿宋" w:eastAsia="仿宋"/>
                <w:szCs w:val="21"/>
              </w:rPr>
            </w:pPr>
            <w:r>
              <w:rPr>
                <w:rFonts w:ascii="仿宋" w:hAnsi="仿宋" w:eastAsia="仿宋"/>
                <w:szCs w:val="21"/>
              </w:rPr>
              <w:t>3</w:t>
            </w:r>
          </w:p>
        </w:tc>
        <w:tc>
          <w:tcPr>
            <w:tcW w:w="2394" w:type="pct"/>
            <w:noWrap w:val="0"/>
            <w:vAlign w:val="center"/>
          </w:tcPr>
          <w:p w14:paraId="59A578F8">
            <w:pPr>
              <w:jc w:val="both"/>
              <w:rPr>
                <w:rFonts w:ascii="仿宋" w:hAnsi="仿宋" w:eastAsia="仿宋"/>
                <w:szCs w:val="21"/>
              </w:rPr>
            </w:pPr>
            <w:r>
              <w:rPr>
                <w:rFonts w:ascii="仿宋" w:hAnsi="仿宋" w:eastAsia="仿宋"/>
                <w:szCs w:val="21"/>
              </w:rPr>
              <w:t>3</w:t>
            </w:r>
            <w:r>
              <w:rPr>
                <w:rFonts w:hint="eastAsia" w:ascii="仿宋" w:hAnsi="仿宋" w:eastAsia="仿宋"/>
                <w:szCs w:val="21"/>
              </w:rPr>
              <w:t>、服务期内出现三级故障解决时间超时或未按要求时限解决问题大于</w:t>
            </w:r>
            <w:r>
              <w:rPr>
                <w:rFonts w:ascii="仿宋" w:hAnsi="仿宋" w:eastAsia="仿宋"/>
                <w:szCs w:val="21"/>
              </w:rPr>
              <w:t>24</w:t>
            </w:r>
            <w:r>
              <w:rPr>
                <w:rFonts w:hint="eastAsia" w:ascii="仿宋" w:hAnsi="仿宋" w:eastAsia="仿宋"/>
                <w:szCs w:val="21"/>
              </w:rPr>
              <w:t>小时以上扣【</w:t>
            </w:r>
            <w:r>
              <w:rPr>
                <w:rFonts w:ascii="仿宋" w:hAnsi="仿宋" w:eastAsia="仿宋"/>
                <w:szCs w:val="21"/>
              </w:rPr>
              <w:t>1</w:t>
            </w:r>
            <w:r>
              <w:rPr>
                <w:rFonts w:hint="eastAsia" w:ascii="仿宋" w:hAnsi="仿宋" w:eastAsia="仿宋"/>
                <w:szCs w:val="21"/>
              </w:rPr>
              <w:t>】分/次；</w:t>
            </w:r>
          </w:p>
        </w:tc>
      </w:tr>
      <w:tr w14:paraId="4DA64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D42A952">
            <w:pPr>
              <w:rPr>
                <w:rFonts w:ascii="仿宋" w:hAnsi="仿宋" w:eastAsia="仿宋"/>
                <w:szCs w:val="21"/>
              </w:rPr>
            </w:pPr>
          </w:p>
        </w:tc>
        <w:tc>
          <w:tcPr>
            <w:tcW w:w="247" w:type="pct"/>
            <w:vMerge w:val="continue"/>
            <w:noWrap w:val="0"/>
            <w:vAlign w:val="top"/>
          </w:tcPr>
          <w:p w14:paraId="00805AF8">
            <w:pPr>
              <w:rPr>
                <w:rFonts w:ascii="仿宋" w:hAnsi="仿宋" w:eastAsia="仿宋"/>
                <w:szCs w:val="21"/>
              </w:rPr>
            </w:pPr>
          </w:p>
        </w:tc>
        <w:tc>
          <w:tcPr>
            <w:tcW w:w="296" w:type="pct"/>
            <w:vMerge w:val="continue"/>
            <w:noWrap w:val="0"/>
            <w:vAlign w:val="top"/>
          </w:tcPr>
          <w:p w14:paraId="38B9FFC8">
            <w:pPr>
              <w:rPr>
                <w:rFonts w:ascii="仿宋" w:hAnsi="仿宋" w:eastAsia="仿宋"/>
                <w:szCs w:val="21"/>
              </w:rPr>
            </w:pPr>
          </w:p>
        </w:tc>
        <w:tc>
          <w:tcPr>
            <w:tcW w:w="1401" w:type="pct"/>
            <w:vMerge w:val="continue"/>
            <w:noWrap w:val="0"/>
            <w:vAlign w:val="top"/>
          </w:tcPr>
          <w:p w14:paraId="46CCFE74">
            <w:pPr>
              <w:rPr>
                <w:rFonts w:ascii="仿宋" w:hAnsi="仿宋" w:eastAsia="仿宋"/>
                <w:szCs w:val="21"/>
              </w:rPr>
            </w:pPr>
          </w:p>
        </w:tc>
        <w:tc>
          <w:tcPr>
            <w:tcW w:w="250" w:type="pct"/>
            <w:vMerge w:val="continue"/>
            <w:noWrap w:val="0"/>
            <w:vAlign w:val="top"/>
          </w:tcPr>
          <w:p w14:paraId="4F98B6EC">
            <w:pPr>
              <w:rPr>
                <w:rFonts w:ascii="仿宋" w:hAnsi="仿宋" w:eastAsia="仿宋"/>
                <w:szCs w:val="21"/>
              </w:rPr>
            </w:pPr>
          </w:p>
        </w:tc>
        <w:tc>
          <w:tcPr>
            <w:tcW w:w="250" w:type="pct"/>
            <w:noWrap w:val="0"/>
            <w:vAlign w:val="center"/>
          </w:tcPr>
          <w:p w14:paraId="4713882B">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76C22F02">
            <w:pPr>
              <w:jc w:val="both"/>
              <w:rPr>
                <w:rFonts w:ascii="仿宋" w:hAnsi="仿宋" w:eastAsia="仿宋"/>
                <w:szCs w:val="21"/>
              </w:rPr>
            </w:pPr>
            <w:r>
              <w:rPr>
                <w:rFonts w:hint="eastAsia" w:ascii="仿宋" w:hAnsi="仿宋" w:eastAsia="仿宋"/>
                <w:szCs w:val="21"/>
              </w:rPr>
              <w:t>4、服务期内出现四级故障解决时间超时或未按要求时限解决问题大于4</w:t>
            </w:r>
            <w:r>
              <w:rPr>
                <w:rFonts w:ascii="仿宋" w:hAnsi="仿宋" w:eastAsia="仿宋"/>
                <w:szCs w:val="21"/>
              </w:rPr>
              <w:t>8</w:t>
            </w:r>
            <w:r>
              <w:rPr>
                <w:rFonts w:hint="eastAsia" w:ascii="仿宋" w:hAnsi="仿宋" w:eastAsia="仿宋"/>
                <w:szCs w:val="21"/>
              </w:rPr>
              <w:t>小时以上扣【0</w:t>
            </w:r>
            <w:r>
              <w:rPr>
                <w:rFonts w:ascii="仿宋" w:hAnsi="仿宋" w:eastAsia="仿宋"/>
                <w:szCs w:val="21"/>
              </w:rPr>
              <w:t>.2</w:t>
            </w:r>
            <w:r>
              <w:rPr>
                <w:rFonts w:hint="eastAsia" w:ascii="仿宋" w:hAnsi="仿宋" w:eastAsia="仿宋"/>
                <w:szCs w:val="21"/>
              </w:rPr>
              <w:t>】分/次；</w:t>
            </w:r>
          </w:p>
        </w:tc>
      </w:tr>
      <w:tr w14:paraId="499F5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60" w:type="pct"/>
            <w:vMerge w:val="continue"/>
            <w:noWrap w:val="0"/>
            <w:vAlign w:val="top"/>
          </w:tcPr>
          <w:p w14:paraId="6F9DB32D">
            <w:pPr>
              <w:rPr>
                <w:rFonts w:ascii="仿宋" w:hAnsi="仿宋" w:eastAsia="仿宋"/>
                <w:szCs w:val="21"/>
              </w:rPr>
            </w:pPr>
          </w:p>
        </w:tc>
        <w:tc>
          <w:tcPr>
            <w:tcW w:w="247" w:type="pct"/>
            <w:vMerge w:val="continue"/>
            <w:noWrap w:val="0"/>
            <w:vAlign w:val="top"/>
          </w:tcPr>
          <w:p w14:paraId="6FD10F83">
            <w:pPr>
              <w:rPr>
                <w:rFonts w:ascii="仿宋" w:hAnsi="仿宋" w:eastAsia="仿宋"/>
                <w:szCs w:val="21"/>
              </w:rPr>
            </w:pPr>
          </w:p>
        </w:tc>
        <w:tc>
          <w:tcPr>
            <w:tcW w:w="296" w:type="pct"/>
            <w:vMerge w:val="restart"/>
            <w:noWrap w:val="0"/>
            <w:vAlign w:val="center"/>
          </w:tcPr>
          <w:p w14:paraId="4FC8F01F">
            <w:pPr>
              <w:jc w:val="center"/>
              <w:rPr>
                <w:rFonts w:ascii="仿宋" w:hAnsi="仿宋" w:eastAsia="仿宋"/>
                <w:szCs w:val="21"/>
              </w:rPr>
            </w:pPr>
            <w:r>
              <w:rPr>
                <w:rFonts w:hint="eastAsia" w:ascii="仿宋" w:hAnsi="仿宋" w:eastAsia="仿宋"/>
                <w:szCs w:val="21"/>
              </w:rPr>
              <w:t>信息系统运维服务质量评价</w:t>
            </w:r>
          </w:p>
        </w:tc>
        <w:tc>
          <w:tcPr>
            <w:tcW w:w="1401" w:type="pct"/>
            <w:vMerge w:val="restart"/>
            <w:noWrap w:val="0"/>
            <w:vAlign w:val="center"/>
          </w:tcPr>
          <w:p w14:paraId="5E96C1BE">
            <w:pPr>
              <w:rPr>
                <w:rFonts w:ascii="仿宋" w:hAnsi="仿宋" w:eastAsia="仿宋"/>
                <w:szCs w:val="21"/>
              </w:rPr>
            </w:pPr>
            <w:r>
              <w:rPr>
                <w:rFonts w:hint="eastAsia" w:ascii="仿宋" w:hAnsi="仿宋" w:eastAsia="仿宋"/>
                <w:szCs w:val="21"/>
              </w:rPr>
              <w:t>依据招标文件、投标文件与合同中信息系统运维服务约定内容，对服务商在服务期内完成情况进行评价。</w:t>
            </w:r>
          </w:p>
        </w:tc>
        <w:tc>
          <w:tcPr>
            <w:tcW w:w="250" w:type="pct"/>
            <w:vMerge w:val="restart"/>
            <w:noWrap w:val="0"/>
            <w:vAlign w:val="center"/>
          </w:tcPr>
          <w:p w14:paraId="0E2E473F">
            <w:pPr>
              <w:jc w:val="center"/>
              <w:rPr>
                <w:rFonts w:ascii="仿宋" w:hAnsi="仿宋" w:eastAsia="仿宋"/>
                <w:szCs w:val="21"/>
              </w:rPr>
            </w:pPr>
            <w:r>
              <w:rPr>
                <w:rFonts w:hint="eastAsia" w:ascii="仿宋" w:hAnsi="仿宋" w:eastAsia="仿宋"/>
                <w:szCs w:val="21"/>
              </w:rPr>
              <w:t>1</w:t>
            </w:r>
            <w:r>
              <w:rPr>
                <w:rFonts w:ascii="仿宋" w:hAnsi="仿宋" w:eastAsia="仿宋"/>
                <w:szCs w:val="21"/>
              </w:rPr>
              <w:t>5</w:t>
            </w:r>
          </w:p>
        </w:tc>
        <w:tc>
          <w:tcPr>
            <w:tcW w:w="250" w:type="pct"/>
            <w:noWrap w:val="0"/>
            <w:vAlign w:val="center"/>
          </w:tcPr>
          <w:p w14:paraId="7CAB0D26">
            <w:pPr>
              <w:jc w:val="center"/>
              <w:rPr>
                <w:rFonts w:ascii="仿宋" w:hAnsi="仿宋" w:eastAsia="仿宋"/>
                <w:szCs w:val="21"/>
              </w:rPr>
            </w:pPr>
            <w:r>
              <w:rPr>
                <w:rFonts w:ascii="仿宋" w:hAnsi="仿宋" w:eastAsia="仿宋"/>
                <w:szCs w:val="21"/>
              </w:rPr>
              <w:t>3</w:t>
            </w:r>
          </w:p>
        </w:tc>
        <w:tc>
          <w:tcPr>
            <w:tcW w:w="2394" w:type="pct"/>
            <w:noWrap w:val="0"/>
            <w:vAlign w:val="center"/>
          </w:tcPr>
          <w:p w14:paraId="1595967A">
            <w:pPr>
              <w:jc w:val="both"/>
              <w:rPr>
                <w:rFonts w:ascii="仿宋" w:hAnsi="仿宋" w:eastAsia="仿宋"/>
                <w:szCs w:val="21"/>
              </w:rPr>
            </w:pPr>
            <w:r>
              <w:rPr>
                <w:rFonts w:hint="eastAsia" w:ascii="仿宋" w:hAnsi="仿宋" w:eastAsia="仿宋"/>
                <w:szCs w:val="21"/>
              </w:rPr>
              <w:t>1、服务期内服务商是否按相关文件约定项目提供售后运维服务，依据日常工作记录评价。</w:t>
            </w:r>
          </w:p>
        </w:tc>
      </w:tr>
      <w:tr w14:paraId="3248B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60" w:type="pct"/>
            <w:vMerge w:val="continue"/>
            <w:noWrap w:val="0"/>
            <w:vAlign w:val="top"/>
          </w:tcPr>
          <w:p w14:paraId="147ED197">
            <w:pPr>
              <w:rPr>
                <w:rFonts w:ascii="仿宋" w:hAnsi="仿宋" w:eastAsia="仿宋"/>
                <w:szCs w:val="21"/>
              </w:rPr>
            </w:pPr>
          </w:p>
        </w:tc>
        <w:tc>
          <w:tcPr>
            <w:tcW w:w="247" w:type="pct"/>
            <w:vMerge w:val="continue"/>
            <w:noWrap w:val="0"/>
            <w:vAlign w:val="top"/>
          </w:tcPr>
          <w:p w14:paraId="25633D26">
            <w:pPr>
              <w:rPr>
                <w:rFonts w:ascii="仿宋" w:hAnsi="仿宋" w:eastAsia="仿宋"/>
                <w:szCs w:val="21"/>
              </w:rPr>
            </w:pPr>
          </w:p>
        </w:tc>
        <w:tc>
          <w:tcPr>
            <w:tcW w:w="296" w:type="pct"/>
            <w:vMerge w:val="continue"/>
            <w:noWrap w:val="0"/>
            <w:vAlign w:val="top"/>
          </w:tcPr>
          <w:p w14:paraId="147B5127">
            <w:pPr>
              <w:rPr>
                <w:rFonts w:ascii="仿宋" w:hAnsi="仿宋" w:eastAsia="仿宋"/>
                <w:szCs w:val="21"/>
              </w:rPr>
            </w:pPr>
          </w:p>
        </w:tc>
        <w:tc>
          <w:tcPr>
            <w:tcW w:w="1401" w:type="pct"/>
            <w:vMerge w:val="continue"/>
            <w:noWrap w:val="0"/>
            <w:vAlign w:val="top"/>
          </w:tcPr>
          <w:p w14:paraId="6B858135">
            <w:pPr>
              <w:rPr>
                <w:rFonts w:ascii="仿宋" w:hAnsi="仿宋" w:eastAsia="仿宋"/>
                <w:szCs w:val="21"/>
              </w:rPr>
            </w:pPr>
          </w:p>
        </w:tc>
        <w:tc>
          <w:tcPr>
            <w:tcW w:w="250" w:type="pct"/>
            <w:vMerge w:val="continue"/>
            <w:noWrap w:val="0"/>
            <w:vAlign w:val="top"/>
          </w:tcPr>
          <w:p w14:paraId="3D76BFAC">
            <w:pPr>
              <w:rPr>
                <w:rFonts w:ascii="仿宋" w:hAnsi="仿宋" w:eastAsia="仿宋"/>
                <w:szCs w:val="21"/>
              </w:rPr>
            </w:pPr>
          </w:p>
        </w:tc>
        <w:tc>
          <w:tcPr>
            <w:tcW w:w="250" w:type="pct"/>
            <w:noWrap w:val="0"/>
            <w:vAlign w:val="center"/>
          </w:tcPr>
          <w:p w14:paraId="3EEDA226">
            <w:pPr>
              <w:jc w:val="center"/>
              <w:rPr>
                <w:rFonts w:ascii="仿宋" w:hAnsi="仿宋" w:eastAsia="仿宋"/>
                <w:szCs w:val="21"/>
              </w:rPr>
            </w:pPr>
            <w:r>
              <w:rPr>
                <w:rFonts w:hint="eastAsia" w:ascii="仿宋" w:hAnsi="仿宋" w:eastAsia="仿宋"/>
                <w:szCs w:val="21"/>
              </w:rPr>
              <w:t>1</w:t>
            </w:r>
            <w:r>
              <w:rPr>
                <w:rFonts w:ascii="仿宋" w:hAnsi="仿宋" w:eastAsia="仿宋"/>
                <w:szCs w:val="21"/>
              </w:rPr>
              <w:t>0</w:t>
            </w:r>
          </w:p>
        </w:tc>
        <w:tc>
          <w:tcPr>
            <w:tcW w:w="2394" w:type="pct"/>
            <w:noWrap w:val="0"/>
            <w:vAlign w:val="center"/>
          </w:tcPr>
          <w:p w14:paraId="2232E363">
            <w:pPr>
              <w:jc w:val="both"/>
              <w:rPr>
                <w:rFonts w:ascii="仿宋" w:hAnsi="仿宋" w:eastAsia="仿宋"/>
                <w:szCs w:val="21"/>
              </w:rPr>
            </w:pPr>
            <w:r>
              <w:rPr>
                <w:rFonts w:hint="eastAsia" w:ascii="仿宋" w:hAnsi="仿宋" w:eastAsia="仿宋"/>
                <w:szCs w:val="21"/>
              </w:rPr>
              <w:t>2、服务商对采购人日常登记或提出的售后问题解决情况，有无推诿、拖延等现象。</w:t>
            </w:r>
          </w:p>
        </w:tc>
      </w:tr>
      <w:tr w14:paraId="446E0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4E8BE9D">
            <w:pPr>
              <w:rPr>
                <w:rFonts w:ascii="仿宋" w:hAnsi="仿宋" w:eastAsia="仿宋"/>
                <w:szCs w:val="21"/>
              </w:rPr>
            </w:pPr>
          </w:p>
        </w:tc>
        <w:tc>
          <w:tcPr>
            <w:tcW w:w="247" w:type="pct"/>
            <w:vMerge w:val="continue"/>
            <w:noWrap w:val="0"/>
            <w:vAlign w:val="top"/>
          </w:tcPr>
          <w:p w14:paraId="0D194191">
            <w:pPr>
              <w:rPr>
                <w:rFonts w:ascii="仿宋" w:hAnsi="仿宋" w:eastAsia="仿宋"/>
                <w:szCs w:val="21"/>
              </w:rPr>
            </w:pPr>
          </w:p>
        </w:tc>
        <w:tc>
          <w:tcPr>
            <w:tcW w:w="296" w:type="pct"/>
            <w:vMerge w:val="continue"/>
            <w:noWrap w:val="0"/>
            <w:vAlign w:val="top"/>
          </w:tcPr>
          <w:p w14:paraId="1E955BE5">
            <w:pPr>
              <w:rPr>
                <w:rFonts w:ascii="仿宋" w:hAnsi="仿宋" w:eastAsia="仿宋"/>
                <w:szCs w:val="21"/>
              </w:rPr>
            </w:pPr>
          </w:p>
        </w:tc>
        <w:tc>
          <w:tcPr>
            <w:tcW w:w="1401" w:type="pct"/>
            <w:vMerge w:val="continue"/>
            <w:noWrap w:val="0"/>
            <w:vAlign w:val="top"/>
          </w:tcPr>
          <w:p w14:paraId="7DE2D8CD">
            <w:pPr>
              <w:rPr>
                <w:rFonts w:ascii="仿宋" w:hAnsi="仿宋" w:eastAsia="仿宋"/>
                <w:szCs w:val="21"/>
              </w:rPr>
            </w:pPr>
          </w:p>
        </w:tc>
        <w:tc>
          <w:tcPr>
            <w:tcW w:w="250" w:type="pct"/>
            <w:vMerge w:val="continue"/>
            <w:noWrap w:val="0"/>
            <w:vAlign w:val="top"/>
          </w:tcPr>
          <w:p w14:paraId="6EDCDD87">
            <w:pPr>
              <w:rPr>
                <w:rFonts w:ascii="仿宋" w:hAnsi="仿宋" w:eastAsia="仿宋"/>
                <w:szCs w:val="21"/>
              </w:rPr>
            </w:pPr>
          </w:p>
        </w:tc>
        <w:tc>
          <w:tcPr>
            <w:tcW w:w="250" w:type="pct"/>
            <w:noWrap w:val="0"/>
            <w:vAlign w:val="center"/>
          </w:tcPr>
          <w:p w14:paraId="07B7E6E7">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57F14341">
            <w:pPr>
              <w:jc w:val="both"/>
              <w:rPr>
                <w:rFonts w:ascii="仿宋" w:hAnsi="仿宋" w:eastAsia="仿宋"/>
                <w:szCs w:val="21"/>
              </w:rPr>
            </w:pPr>
            <w:r>
              <w:rPr>
                <w:rFonts w:hint="eastAsia" w:ascii="仿宋" w:hAnsi="仿宋" w:eastAsia="仿宋"/>
                <w:szCs w:val="21"/>
              </w:rPr>
              <w:t>3、售后运维服务工作记录完整情况。有无存在篡改、虚报工作记录等现象。</w:t>
            </w:r>
          </w:p>
        </w:tc>
      </w:tr>
      <w:tr w14:paraId="3D90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26B3570">
            <w:pPr>
              <w:rPr>
                <w:rFonts w:ascii="仿宋" w:hAnsi="仿宋" w:eastAsia="仿宋"/>
                <w:szCs w:val="21"/>
              </w:rPr>
            </w:pPr>
          </w:p>
        </w:tc>
        <w:tc>
          <w:tcPr>
            <w:tcW w:w="247" w:type="pct"/>
            <w:vMerge w:val="continue"/>
            <w:noWrap w:val="0"/>
            <w:vAlign w:val="top"/>
          </w:tcPr>
          <w:p w14:paraId="53921BE0">
            <w:pPr>
              <w:rPr>
                <w:rFonts w:ascii="仿宋" w:hAnsi="仿宋" w:eastAsia="仿宋"/>
                <w:szCs w:val="21"/>
              </w:rPr>
            </w:pPr>
          </w:p>
        </w:tc>
        <w:tc>
          <w:tcPr>
            <w:tcW w:w="296" w:type="pct"/>
            <w:vMerge w:val="restart"/>
            <w:noWrap w:val="0"/>
            <w:vAlign w:val="center"/>
          </w:tcPr>
          <w:p w14:paraId="59DECE20">
            <w:pPr>
              <w:jc w:val="center"/>
              <w:rPr>
                <w:rFonts w:ascii="仿宋" w:hAnsi="仿宋" w:eastAsia="仿宋"/>
                <w:szCs w:val="21"/>
              </w:rPr>
            </w:pPr>
            <w:r>
              <w:rPr>
                <w:rFonts w:hint="eastAsia" w:ascii="仿宋" w:hAnsi="仿宋" w:eastAsia="仿宋"/>
                <w:szCs w:val="21"/>
              </w:rPr>
              <w:t>数据库运维服务质量</w:t>
            </w:r>
          </w:p>
        </w:tc>
        <w:tc>
          <w:tcPr>
            <w:tcW w:w="1401" w:type="pct"/>
            <w:vMerge w:val="restart"/>
            <w:noWrap w:val="0"/>
            <w:vAlign w:val="center"/>
          </w:tcPr>
          <w:p w14:paraId="5A5CD482">
            <w:pPr>
              <w:jc w:val="both"/>
              <w:rPr>
                <w:rFonts w:ascii="仿宋" w:hAnsi="仿宋" w:eastAsia="仿宋"/>
                <w:szCs w:val="21"/>
              </w:rPr>
            </w:pPr>
            <w:r>
              <w:rPr>
                <w:rFonts w:hint="eastAsia" w:ascii="仿宋" w:hAnsi="仿宋" w:eastAsia="仿宋"/>
                <w:szCs w:val="21"/>
              </w:rPr>
              <w:t>依据招标文件、投标文件与合同中约定的相关服务内容，服务商运维人员工作完成情况进行评价。</w:t>
            </w:r>
          </w:p>
        </w:tc>
        <w:tc>
          <w:tcPr>
            <w:tcW w:w="250" w:type="pct"/>
            <w:vMerge w:val="restart"/>
            <w:noWrap w:val="0"/>
            <w:vAlign w:val="center"/>
          </w:tcPr>
          <w:p w14:paraId="6E5FD87E">
            <w:pPr>
              <w:jc w:val="center"/>
              <w:rPr>
                <w:rFonts w:ascii="仿宋" w:hAnsi="仿宋" w:eastAsia="仿宋"/>
                <w:szCs w:val="21"/>
              </w:rPr>
            </w:pPr>
            <w:r>
              <w:rPr>
                <w:rFonts w:hint="eastAsia" w:ascii="仿宋" w:hAnsi="仿宋" w:eastAsia="仿宋"/>
                <w:szCs w:val="21"/>
              </w:rPr>
              <w:t>5</w:t>
            </w:r>
          </w:p>
        </w:tc>
        <w:tc>
          <w:tcPr>
            <w:tcW w:w="250" w:type="pct"/>
            <w:noWrap w:val="0"/>
            <w:vAlign w:val="center"/>
          </w:tcPr>
          <w:p w14:paraId="39725DA8">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26611E69">
            <w:pPr>
              <w:jc w:val="both"/>
              <w:rPr>
                <w:rFonts w:ascii="仿宋" w:hAnsi="仿宋" w:eastAsia="仿宋"/>
                <w:szCs w:val="21"/>
              </w:rPr>
            </w:pPr>
            <w:r>
              <w:rPr>
                <w:rFonts w:hint="eastAsia" w:ascii="仿宋" w:hAnsi="仿宋" w:eastAsia="仿宋"/>
                <w:szCs w:val="21"/>
              </w:rPr>
              <w:t>1、服务期内定期巡检完成情况，巡检次数不少于2次。</w:t>
            </w:r>
          </w:p>
        </w:tc>
      </w:tr>
      <w:tr w14:paraId="130EE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05EBE851">
            <w:pPr>
              <w:rPr>
                <w:rFonts w:ascii="仿宋" w:hAnsi="仿宋" w:eastAsia="仿宋"/>
                <w:szCs w:val="21"/>
              </w:rPr>
            </w:pPr>
          </w:p>
        </w:tc>
        <w:tc>
          <w:tcPr>
            <w:tcW w:w="247" w:type="pct"/>
            <w:vMerge w:val="continue"/>
            <w:noWrap w:val="0"/>
            <w:vAlign w:val="top"/>
          </w:tcPr>
          <w:p w14:paraId="6A19AA34">
            <w:pPr>
              <w:rPr>
                <w:rFonts w:ascii="仿宋" w:hAnsi="仿宋" w:eastAsia="仿宋"/>
                <w:szCs w:val="21"/>
              </w:rPr>
            </w:pPr>
          </w:p>
        </w:tc>
        <w:tc>
          <w:tcPr>
            <w:tcW w:w="296" w:type="pct"/>
            <w:vMerge w:val="continue"/>
            <w:noWrap w:val="0"/>
            <w:vAlign w:val="top"/>
          </w:tcPr>
          <w:p w14:paraId="663285F1">
            <w:pPr>
              <w:rPr>
                <w:rFonts w:ascii="仿宋" w:hAnsi="仿宋" w:eastAsia="仿宋"/>
                <w:szCs w:val="21"/>
              </w:rPr>
            </w:pPr>
          </w:p>
        </w:tc>
        <w:tc>
          <w:tcPr>
            <w:tcW w:w="1401" w:type="pct"/>
            <w:vMerge w:val="continue"/>
            <w:noWrap w:val="0"/>
            <w:vAlign w:val="top"/>
          </w:tcPr>
          <w:p w14:paraId="7C5874EA">
            <w:pPr>
              <w:rPr>
                <w:rFonts w:ascii="仿宋" w:hAnsi="仿宋" w:eastAsia="仿宋"/>
                <w:szCs w:val="21"/>
              </w:rPr>
            </w:pPr>
          </w:p>
        </w:tc>
        <w:tc>
          <w:tcPr>
            <w:tcW w:w="250" w:type="pct"/>
            <w:vMerge w:val="continue"/>
            <w:noWrap w:val="0"/>
            <w:vAlign w:val="top"/>
          </w:tcPr>
          <w:p w14:paraId="3E442C41">
            <w:pPr>
              <w:rPr>
                <w:rFonts w:ascii="仿宋" w:hAnsi="仿宋" w:eastAsia="仿宋"/>
                <w:szCs w:val="21"/>
              </w:rPr>
            </w:pPr>
          </w:p>
        </w:tc>
        <w:tc>
          <w:tcPr>
            <w:tcW w:w="250" w:type="pct"/>
            <w:noWrap w:val="0"/>
            <w:vAlign w:val="center"/>
          </w:tcPr>
          <w:p w14:paraId="3B2B020F">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48D0D292">
            <w:pPr>
              <w:jc w:val="both"/>
              <w:rPr>
                <w:rFonts w:ascii="仿宋" w:hAnsi="仿宋" w:eastAsia="仿宋"/>
                <w:szCs w:val="21"/>
              </w:rPr>
            </w:pPr>
            <w:r>
              <w:rPr>
                <w:rFonts w:hint="eastAsia" w:ascii="仿宋" w:hAnsi="仿宋" w:eastAsia="仿宋"/>
                <w:szCs w:val="21"/>
              </w:rPr>
              <w:t>2、服务期内依据巡检情况为采购人提供合理化建议，或提供建设与整改方案。</w:t>
            </w:r>
          </w:p>
        </w:tc>
      </w:tr>
      <w:tr w14:paraId="46C5F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3335B96E">
            <w:pPr>
              <w:rPr>
                <w:rFonts w:ascii="仿宋" w:hAnsi="仿宋" w:eastAsia="仿宋"/>
                <w:szCs w:val="21"/>
              </w:rPr>
            </w:pPr>
          </w:p>
        </w:tc>
        <w:tc>
          <w:tcPr>
            <w:tcW w:w="247" w:type="pct"/>
            <w:vMerge w:val="continue"/>
            <w:noWrap w:val="0"/>
            <w:vAlign w:val="top"/>
          </w:tcPr>
          <w:p w14:paraId="6AC28F65">
            <w:pPr>
              <w:rPr>
                <w:rFonts w:ascii="仿宋" w:hAnsi="仿宋" w:eastAsia="仿宋"/>
                <w:szCs w:val="21"/>
              </w:rPr>
            </w:pPr>
          </w:p>
        </w:tc>
        <w:tc>
          <w:tcPr>
            <w:tcW w:w="296" w:type="pct"/>
            <w:vMerge w:val="continue"/>
            <w:noWrap w:val="0"/>
            <w:vAlign w:val="top"/>
          </w:tcPr>
          <w:p w14:paraId="738C7200">
            <w:pPr>
              <w:rPr>
                <w:rFonts w:ascii="仿宋" w:hAnsi="仿宋" w:eastAsia="仿宋"/>
                <w:szCs w:val="21"/>
              </w:rPr>
            </w:pPr>
          </w:p>
        </w:tc>
        <w:tc>
          <w:tcPr>
            <w:tcW w:w="1401" w:type="pct"/>
            <w:vMerge w:val="continue"/>
            <w:noWrap w:val="0"/>
            <w:vAlign w:val="top"/>
          </w:tcPr>
          <w:p w14:paraId="274D0215">
            <w:pPr>
              <w:rPr>
                <w:rFonts w:ascii="仿宋" w:hAnsi="仿宋" w:eastAsia="仿宋"/>
                <w:szCs w:val="21"/>
              </w:rPr>
            </w:pPr>
          </w:p>
        </w:tc>
        <w:tc>
          <w:tcPr>
            <w:tcW w:w="250" w:type="pct"/>
            <w:vMerge w:val="continue"/>
            <w:noWrap w:val="0"/>
            <w:vAlign w:val="top"/>
          </w:tcPr>
          <w:p w14:paraId="41609647">
            <w:pPr>
              <w:rPr>
                <w:rFonts w:ascii="仿宋" w:hAnsi="仿宋" w:eastAsia="仿宋"/>
                <w:szCs w:val="21"/>
              </w:rPr>
            </w:pPr>
          </w:p>
        </w:tc>
        <w:tc>
          <w:tcPr>
            <w:tcW w:w="250" w:type="pct"/>
            <w:noWrap w:val="0"/>
            <w:vAlign w:val="center"/>
          </w:tcPr>
          <w:p w14:paraId="2E298298">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03C35AD0">
            <w:pPr>
              <w:jc w:val="both"/>
              <w:rPr>
                <w:rFonts w:ascii="仿宋" w:hAnsi="仿宋" w:eastAsia="仿宋"/>
                <w:szCs w:val="21"/>
              </w:rPr>
            </w:pPr>
            <w:r>
              <w:rPr>
                <w:rFonts w:hint="eastAsia" w:ascii="仿宋" w:hAnsi="仿宋" w:eastAsia="仿宋"/>
                <w:szCs w:val="21"/>
              </w:rPr>
              <w:t>3、服务期内为采购人提供数据库优化服务的完成情况，次数不少于1次。</w:t>
            </w:r>
          </w:p>
        </w:tc>
      </w:tr>
      <w:tr w14:paraId="2270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2F78EF6">
            <w:pPr>
              <w:rPr>
                <w:rFonts w:ascii="仿宋" w:hAnsi="仿宋" w:eastAsia="仿宋"/>
                <w:szCs w:val="21"/>
              </w:rPr>
            </w:pPr>
          </w:p>
        </w:tc>
        <w:tc>
          <w:tcPr>
            <w:tcW w:w="247" w:type="pct"/>
            <w:vMerge w:val="continue"/>
            <w:noWrap w:val="0"/>
            <w:vAlign w:val="top"/>
          </w:tcPr>
          <w:p w14:paraId="529536CA">
            <w:pPr>
              <w:rPr>
                <w:rFonts w:ascii="仿宋" w:hAnsi="仿宋" w:eastAsia="仿宋"/>
                <w:szCs w:val="21"/>
              </w:rPr>
            </w:pPr>
          </w:p>
        </w:tc>
        <w:tc>
          <w:tcPr>
            <w:tcW w:w="296" w:type="pct"/>
            <w:vMerge w:val="continue"/>
            <w:noWrap w:val="0"/>
            <w:vAlign w:val="top"/>
          </w:tcPr>
          <w:p w14:paraId="733AF391">
            <w:pPr>
              <w:rPr>
                <w:rFonts w:ascii="仿宋" w:hAnsi="仿宋" w:eastAsia="仿宋"/>
                <w:szCs w:val="21"/>
              </w:rPr>
            </w:pPr>
          </w:p>
        </w:tc>
        <w:tc>
          <w:tcPr>
            <w:tcW w:w="1401" w:type="pct"/>
            <w:vMerge w:val="continue"/>
            <w:noWrap w:val="0"/>
            <w:vAlign w:val="top"/>
          </w:tcPr>
          <w:p w14:paraId="588A4CE8">
            <w:pPr>
              <w:rPr>
                <w:rFonts w:ascii="仿宋" w:hAnsi="仿宋" w:eastAsia="仿宋"/>
                <w:szCs w:val="21"/>
              </w:rPr>
            </w:pPr>
          </w:p>
        </w:tc>
        <w:tc>
          <w:tcPr>
            <w:tcW w:w="250" w:type="pct"/>
            <w:vMerge w:val="continue"/>
            <w:noWrap w:val="0"/>
            <w:vAlign w:val="top"/>
          </w:tcPr>
          <w:p w14:paraId="00562103">
            <w:pPr>
              <w:rPr>
                <w:rFonts w:ascii="仿宋" w:hAnsi="仿宋" w:eastAsia="仿宋"/>
                <w:szCs w:val="21"/>
              </w:rPr>
            </w:pPr>
          </w:p>
        </w:tc>
        <w:tc>
          <w:tcPr>
            <w:tcW w:w="250" w:type="pct"/>
            <w:noWrap w:val="0"/>
            <w:vAlign w:val="center"/>
          </w:tcPr>
          <w:p w14:paraId="46D991BD">
            <w:pPr>
              <w:jc w:val="center"/>
              <w:rPr>
                <w:rFonts w:ascii="仿宋" w:hAnsi="仿宋" w:eastAsia="仿宋"/>
                <w:szCs w:val="21"/>
              </w:rPr>
            </w:pPr>
            <w:r>
              <w:rPr>
                <w:rFonts w:ascii="仿宋" w:hAnsi="仿宋" w:eastAsia="仿宋"/>
                <w:szCs w:val="21"/>
              </w:rPr>
              <w:t>0.5</w:t>
            </w:r>
          </w:p>
        </w:tc>
        <w:tc>
          <w:tcPr>
            <w:tcW w:w="2394" w:type="pct"/>
            <w:noWrap w:val="0"/>
            <w:vAlign w:val="center"/>
          </w:tcPr>
          <w:p w14:paraId="7418C035">
            <w:pPr>
              <w:jc w:val="both"/>
              <w:rPr>
                <w:rFonts w:ascii="仿宋" w:hAnsi="仿宋" w:eastAsia="仿宋"/>
                <w:szCs w:val="21"/>
              </w:rPr>
            </w:pPr>
            <w:r>
              <w:rPr>
                <w:rFonts w:hint="eastAsia" w:ascii="仿宋" w:hAnsi="仿宋" w:eastAsia="仿宋"/>
                <w:szCs w:val="21"/>
              </w:rPr>
              <w:t>4、服务期内服务商按合同约定的数据库服务项目完成情况。</w:t>
            </w:r>
          </w:p>
        </w:tc>
      </w:tr>
      <w:tr w14:paraId="4FB1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1A12DF1B">
            <w:pPr>
              <w:rPr>
                <w:rFonts w:ascii="仿宋" w:hAnsi="仿宋" w:eastAsia="仿宋"/>
                <w:szCs w:val="21"/>
              </w:rPr>
            </w:pPr>
          </w:p>
        </w:tc>
        <w:tc>
          <w:tcPr>
            <w:tcW w:w="247" w:type="pct"/>
            <w:vMerge w:val="continue"/>
            <w:noWrap w:val="0"/>
            <w:vAlign w:val="top"/>
          </w:tcPr>
          <w:p w14:paraId="23ED46FA">
            <w:pPr>
              <w:rPr>
                <w:rFonts w:ascii="仿宋" w:hAnsi="仿宋" w:eastAsia="仿宋"/>
                <w:szCs w:val="21"/>
              </w:rPr>
            </w:pPr>
          </w:p>
        </w:tc>
        <w:tc>
          <w:tcPr>
            <w:tcW w:w="296" w:type="pct"/>
            <w:vMerge w:val="continue"/>
            <w:noWrap w:val="0"/>
            <w:vAlign w:val="top"/>
          </w:tcPr>
          <w:p w14:paraId="74C73189">
            <w:pPr>
              <w:rPr>
                <w:rFonts w:ascii="仿宋" w:hAnsi="仿宋" w:eastAsia="仿宋"/>
                <w:szCs w:val="21"/>
              </w:rPr>
            </w:pPr>
          </w:p>
        </w:tc>
        <w:tc>
          <w:tcPr>
            <w:tcW w:w="1401" w:type="pct"/>
            <w:vMerge w:val="continue"/>
            <w:noWrap w:val="0"/>
            <w:vAlign w:val="top"/>
          </w:tcPr>
          <w:p w14:paraId="1A69A00F">
            <w:pPr>
              <w:rPr>
                <w:rFonts w:ascii="仿宋" w:hAnsi="仿宋" w:eastAsia="仿宋"/>
                <w:szCs w:val="21"/>
              </w:rPr>
            </w:pPr>
          </w:p>
        </w:tc>
        <w:tc>
          <w:tcPr>
            <w:tcW w:w="250" w:type="pct"/>
            <w:vMerge w:val="continue"/>
            <w:noWrap w:val="0"/>
            <w:vAlign w:val="top"/>
          </w:tcPr>
          <w:p w14:paraId="2C7A2A44">
            <w:pPr>
              <w:rPr>
                <w:rFonts w:ascii="仿宋" w:hAnsi="仿宋" w:eastAsia="仿宋"/>
                <w:szCs w:val="21"/>
              </w:rPr>
            </w:pPr>
          </w:p>
        </w:tc>
        <w:tc>
          <w:tcPr>
            <w:tcW w:w="250" w:type="pct"/>
            <w:noWrap w:val="0"/>
            <w:vAlign w:val="center"/>
          </w:tcPr>
          <w:p w14:paraId="5C98E126">
            <w:pPr>
              <w:jc w:val="center"/>
              <w:rPr>
                <w:rFonts w:ascii="仿宋" w:hAnsi="仿宋" w:eastAsia="仿宋"/>
                <w:szCs w:val="21"/>
              </w:rPr>
            </w:pPr>
            <w:r>
              <w:rPr>
                <w:rFonts w:hint="eastAsia" w:ascii="仿宋" w:hAnsi="仿宋" w:eastAsia="仿宋"/>
                <w:szCs w:val="21"/>
              </w:rPr>
              <w:t>0</w:t>
            </w:r>
            <w:r>
              <w:rPr>
                <w:rFonts w:ascii="仿宋" w:hAnsi="仿宋" w:eastAsia="仿宋"/>
                <w:szCs w:val="21"/>
              </w:rPr>
              <w:t>.5</w:t>
            </w:r>
          </w:p>
        </w:tc>
        <w:tc>
          <w:tcPr>
            <w:tcW w:w="2394" w:type="pct"/>
            <w:noWrap w:val="0"/>
            <w:vAlign w:val="center"/>
          </w:tcPr>
          <w:p w14:paraId="319B205C">
            <w:pPr>
              <w:jc w:val="both"/>
              <w:rPr>
                <w:rFonts w:ascii="仿宋" w:hAnsi="仿宋" w:eastAsia="仿宋"/>
                <w:szCs w:val="21"/>
              </w:rPr>
            </w:pPr>
            <w:r>
              <w:rPr>
                <w:rFonts w:ascii="仿宋" w:hAnsi="仿宋" w:eastAsia="仿宋"/>
                <w:szCs w:val="21"/>
              </w:rPr>
              <w:t>5</w:t>
            </w:r>
            <w:r>
              <w:rPr>
                <w:rFonts w:hint="eastAsia" w:ascii="仿宋" w:hAnsi="仿宋" w:eastAsia="仿宋"/>
                <w:szCs w:val="21"/>
              </w:rPr>
              <w:t>、数据库运维服务各类记录完整，问题分析详细，解决及时。</w:t>
            </w:r>
          </w:p>
        </w:tc>
      </w:tr>
      <w:tr w14:paraId="0DF62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60" w:type="pct"/>
            <w:vMerge w:val="continue"/>
            <w:noWrap w:val="0"/>
            <w:vAlign w:val="top"/>
          </w:tcPr>
          <w:p w14:paraId="1F868E50">
            <w:pPr>
              <w:rPr>
                <w:rFonts w:ascii="仿宋" w:hAnsi="仿宋" w:eastAsia="仿宋"/>
                <w:szCs w:val="21"/>
              </w:rPr>
            </w:pPr>
          </w:p>
        </w:tc>
        <w:tc>
          <w:tcPr>
            <w:tcW w:w="247" w:type="pct"/>
            <w:vMerge w:val="continue"/>
            <w:noWrap w:val="0"/>
            <w:vAlign w:val="top"/>
          </w:tcPr>
          <w:p w14:paraId="6A62DE3F">
            <w:pPr>
              <w:rPr>
                <w:rFonts w:ascii="仿宋" w:hAnsi="仿宋" w:eastAsia="仿宋"/>
                <w:szCs w:val="21"/>
              </w:rPr>
            </w:pPr>
          </w:p>
        </w:tc>
        <w:tc>
          <w:tcPr>
            <w:tcW w:w="296" w:type="pct"/>
            <w:vMerge w:val="restart"/>
            <w:noWrap w:val="0"/>
            <w:vAlign w:val="center"/>
          </w:tcPr>
          <w:p w14:paraId="37414CEA">
            <w:pPr>
              <w:jc w:val="center"/>
              <w:rPr>
                <w:rFonts w:ascii="仿宋" w:hAnsi="仿宋" w:eastAsia="仿宋"/>
                <w:szCs w:val="21"/>
              </w:rPr>
            </w:pPr>
            <w:r>
              <w:rPr>
                <w:rFonts w:hint="eastAsia" w:ascii="仿宋" w:hAnsi="仿宋" w:eastAsia="仿宋"/>
                <w:szCs w:val="21"/>
              </w:rPr>
              <w:t>数据接口与报表更新服务</w:t>
            </w:r>
          </w:p>
        </w:tc>
        <w:tc>
          <w:tcPr>
            <w:tcW w:w="1401" w:type="pct"/>
            <w:vMerge w:val="restart"/>
            <w:noWrap w:val="0"/>
            <w:vAlign w:val="center"/>
          </w:tcPr>
          <w:p w14:paraId="184B2602">
            <w:pPr>
              <w:jc w:val="both"/>
              <w:rPr>
                <w:rFonts w:ascii="仿宋" w:hAnsi="仿宋" w:eastAsia="仿宋"/>
                <w:szCs w:val="21"/>
              </w:rPr>
            </w:pPr>
            <w:r>
              <w:rPr>
                <w:rFonts w:hint="eastAsia" w:ascii="仿宋" w:hAnsi="仿宋" w:eastAsia="仿宋"/>
                <w:szCs w:val="21"/>
              </w:rPr>
              <w:t>采购人原有系统接口与报表在日常应用中发现的问题解决情况。根据服务商解决的时效与质量综合情况评价。</w:t>
            </w:r>
          </w:p>
        </w:tc>
        <w:tc>
          <w:tcPr>
            <w:tcW w:w="250" w:type="pct"/>
            <w:vMerge w:val="restart"/>
            <w:noWrap w:val="0"/>
            <w:vAlign w:val="center"/>
          </w:tcPr>
          <w:p w14:paraId="15BB30AD">
            <w:pPr>
              <w:jc w:val="center"/>
              <w:rPr>
                <w:rFonts w:ascii="仿宋" w:hAnsi="仿宋" w:eastAsia="仿宋"/>
                <w:szCs w:val="21"/>
              </w:rPr>
            </w:pPr>
            <w:r>
              <w:rPr>
                <w:rFonts w:hint="eastAsia" w:ascii="仿宋" w:hAnsi="仿宋" w:eastAsia="仿宋"/>
                <w:szCs w:val="21"/>
              </w:rPr>
              <w:t>5</w:t>
            </w:r>
          </w:p>
        </w:tc>
        <w:tc>
          <w:tcPr>
            <w:tcW w:w="250" w:type="pct"/>
            <w:noWrap w:val="0"/>
            <w:vAlign w:val="center"/>
          </w:tcPr>
          <w:p w14:paraId="0B2A56CC">
            <w:pPr>
              <w:jc w:val="center"/>
              <w:rPr>
                <w:rFonts w:ascii="仿宋" w:hAnsi="仿宋" w:eastAsia="仿宋"/>
                <w:szCs w:val="21"/>
              </w:rPr>
            </w:pPr>
            <w:r>
              <w:rPr>
                <w:rFonts w:hint="eastAsia" w:ascii="仿宋" w:hAnsi="仿宋" w:eastAsia="仿宋"/>
                <w:szCs w:val="21"/>
              </w:rPr>
              <w:t>3</w:t>
            </w:r>
          </w:p>
        </w:tc>
        <w:tc>
          <w:tcPr>
            <w:tcW w:w="2394" w:type="pct"/>
            <w:noWrap w:val="0"/>
            <w:vAlign w:val="center"/>
          </w:tcPr>
          <w:p w14:paraId="66EBDC7F">
            <w:pPr>
              <w:jc w:val="both"/>
              <w:rPr>
                <w:rFonts w:ascii="仿宋" w:hAnsi="仿宋" w:eastAsia="仿宋"/>
                <w:szCs w:val="21"/>
              </w:rPr>
            </w:pPr>
            <w:r>
              <w:rPr>
                <w:rFonts w:hint="eastAsia" w:ascii="仿宋" w:hAnsi="仿宋" w:eastAsia="仿宋"/>
                <w:szCs w:val="21"/>
              </w:rPr>
              <w:t>1、系统接口程序与报表问题响应及时，通过远程或现场方式快速有效的解决问题。</w:t>
            </w:r>
          </w:p>
        </w:tc>
      </w:tr>
      <w:tr w14:paraId="347B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24EF0A59">
            <w:pPr>
              <w:rPr>
                <w:rFonts w:ascii="仿宋" w:hAnsi="仿宋" w:eastAsia="仿宋"/>
                <w:szCs w:val="21"/>
              </w:rPr>
            </w:pPr>
          </w:p>
        </w:tc>
        <w:tc>
          <w:tcPr>
            <w:tcW w:w="247" w:type="pct"/>
            <w:vMerge w:val="continue"/>
            <w:noWrap w:val="0"/>
            <w:vAlign w:val="top"/>
          </w:tcPr>
          <w:p w14:paraId="412C096E">
            <w:pPr>
              <w:rPr>
                <w:rFonts w:ascii="仿宋" w:hAnsi="仿宋" w:eastAsia="仿宋"/>
                <w:szCs w:val="21"/>
              </w:rPr>
            </w:pPr>
          </w:p>
        </w:tc>
        <w:tc>
          <w:tcPr>
            <w:tcW w:w="296" w:type="pct"/>
            <w:vMerge w:val="continue"/>
            <w:noWrap w:val="0"/>
            <w:vAlign w:val="top"/>
          </w:tcPr>
          <w:p w14:paraId="4E2BD20A">
            <w:pPr>
              <w:rPr>
                <w:rFonts w:ascii="仿宋" w:hAnsi="仿宋" w:eastAsia="仿宋"/>
                <w:szCs w:val="21"/>
              </w:rPr>
            </w:pPr>
          </w:p>
        </w:tc>
        <w:tc>
          <w:tcPr>
            <w:tcW w:w="1401" w:type="pct"/>
            <w:vMerge w:val="continue"/>
            <w:noWrap w:val="0"/>
            <w:vAlign w:val="top"/>
          </w:tcPr>
          <w:p w14:paraId="0963FD35">
            <w:pPr>
              <w:rPr>
                <w:rFonts w:ascii="仿宋" w:hAnsi="仿宋" w:eastAsia="仿宋"/>
                <w:szCs w:val="21"/>
              </w:rPr>
            </w:pPr>
          </w:p>
        </w:tc>
        <w:tc>
          <w:tcPr>
            <w:tcW w:w="250" w:type="pct"/>
            <w:vMerge w:val="continue"/>
            <w:noWrap w:val="0"/>
            <w:vAlign w:val="top"/>
          </w:tcPr>
          <w:p w14:paraId="74ECAB5C">
            <w:pPr>
              <w:rPr>
                <w:rFonts w:ascii="仿宋" w:hAnsi="仿宋" w:eastAsia="仿宋"/>
                <w:szCs w:val="21"/>
              </w:rPr>
            </w:pPr>
          </w:p>
        </w:tc>
        <w:tc>
          <w:tcPr>
            <w:tcW w:w="250" w:type="pct"/>
            <w:noWrap w:val="0"/>
            <w:vAlign w:val="center"/>
          </w:tcPr>
          <w:p w14:paraId="0BB68A96">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21FB1248">
            <w:pPr>
              <w:jc w:val="both"/>
              <w:rPr>
                <w:rFonts w:ascii="仿宋" w:hAnsi="仿宋" w:eastAsia="仿宋"/>
                <w:szCs w:val="21"/>
              </w:rPr>
            </w:pPr>
            <w:r>
              <w:rPr>
                <w:rFonts w:ascii="仿宋" w:hAnsi="仿宋" w:eastAsia="仿宋"/>
                <w:szCs w:val="21"/>
              </w:rPr>
              <w:t>2</w:t>
            </w:r>
            <w:r>
              <w:rPr>
                <w:rFonts w:hint="eastAsia" w:ascii="仿宋" w:hAnsi="仿宋" w:eastAsia="仿宋"/>
                <w:szCs w:val="21"/>
              </w:rPr>
              <w:t>、原有系统接口程序与报表因政策的变化，需调整或更新的，服务商能及时有效的提供相应的更新服务或方案。</w:t>
            </w:r>
          </w:p>
        </w:tc>
      </w:tr>
      <w:tr w14:paraId="23D4C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2FC2A42B">
            <w:pPr>
              <w:jc w:val="center"/>
              <w:rPr>
                <w:rFonts w:ascii="仿宋" w:hAnsi="仿宋" w:eastAsia="仿宋"/>
                <w:szCs w:val="21"/>
              </w:rPr>
            </w:pPr>
            <w:r>
              <w:rPr>
                <w:rFonts w:ascii="仿宋" w:hAnsi="仿宋" w:eastAsia="仿宋"/>
                <w:szCs w:val="21"/>
              </w:rPr>
              <w:t>2</w:t>
            </w:r>
          </w:p>
        </w:tc>
        <w:tc>
          <w:tcPr>
            <w:tcW w:w="247" w:type="pct"/>
            <w:vMerge w:val="restart"/>
            <w:noWrap w:val="0"/>
            <w:vAlign w:val="center"/>
          </w:tcPr>
          <w:p w14:paraId="16197DCE">
            <w:pPr>
              <w:jc w:val="center"/>
              <w:rPr>
                <w:rFonts w:ascii="仿宋" w:hAnsi="仿宋" w:eastAsia="仿宋"/>
                <w:szCs w:val="21"/>
              </w:rPr>
            </w:pPr>
            <w:r>
              <w:rPr>
                <w:rFonts w:hint="eastAsia" w:ascii="仿宋" w:hAnsi="仿宋" w:eastAsia="仿宋"/>
                <w:szCs w:val="21"/>
              </w:rPr>
              <w:t>系统开发与集成服务</w:t>
            </w:r>
          </w:p>
        </w:tc>
        <w:tc>
          <w:tcPr>
            <w:tcW w:w="296" w:type="pct"/>
            <w:vMerge w:val="restart"/>
            <w:noWrap w:val="0"/>
            <w:vAlign w:val="center"/>
          </w:tcPr>
          <w:p w14:paraId="593B3884">
            <w:pPr>
              <w:jc w:val="center"/>
              <w:rPr>
                <w:rFonts w:ascii="仿宋" w:hAnsi="仿宋" w:eastAsia="仿宋"/>
                <w:szCs w:val="21"/>
              </w:rPr>
            </w:pPr>
            <w:r>
              <w:rPr>
                <w:rFonts w:hint="eastAsia" w:ascii="仿宋" w:hAnsi="仿宋" w:eastAsia="仿宋"/>
                <w:szCs w:val="21"/>
              </w:rPr>
              <w:t>仪器设备集成服务</w:t>
            </w:r>
          </w:p>
        </w:tc>
        <w:tc>
          <w:tcPr>
            <w:tcW w:w="1401" w:type="pct"/>
            <w:vMerge w:val="restart"/>
            <w:noWrap w:val="0"/>
            <w:vAlign w:val="center"/>
          </w:tcPr>
          <w:p w14:paraId="7C732175">
            <w:pPr>
              <w:jc w:val="both"/>
              <w:rPr>
                <w:rFonts w:ascii="仿宋" w:hAnsi="仿宋" w:eastAsia="仿宋"/>
                <w:szCs w:val="21"/>
              </w:rPr>
            </w:pPr>
            <w:r>
              <w:rPr>
                <w:rFonts w:hint="eastAsia" w:ascii="仿宋" w:hAnsi="仿宋" w:eastAsia="仿宋"/>
                <w:szCs w:val="21"/>
              </w:rPr>
              <w:t>采购人根据自身发展需求，新购置检验、影像与检查仪器设备，服务商应依据采购人使用部门需求提供设备集成接口开发的服务。采购人根据服务质量与需求完成情况进行服务评价。</w:t>
            </w:r>
          </w:p>
        </w:tc>
        <w:tc>
          <w:tcPr>
            <w:tcW w:w="250" w:type="pct"/>
            <w:vMerge w:val="restart"/>
            <w:noWrap w:val="0"/>
            <w:vAlign w:val="center"/>
          </w:tcPr>
          <w:p w14:paraId="57201D39">
            <w:pPr>
              <w:jc w:val="center"/>
              <w:rPr>
                <w:rFonts w:ascii="仿宋" w:hAnsi="仿宋" w:eastAsia="仿宋"/>
                <w:szCs w:val="21"/>
              </w:rPr>
            </w:pPr>
            <w:r>
              <w:rPr>
                <w:rFonts w:ascii="仿宋" w:hAnsi="仿宋" w:eastAsia="仿宋"/>
                <w:szCs w:val="21"/>
              </w:rPr>
              <w:t>10</w:t>
            </w:r>
          </w:p>
        </w:tc>
        <w:tc>
          <w:tcPr>
            <w:tcW w:w="250" w:type="pct"/>
            <w:noWrap w:val="0"/>
            <w:vAlign w:val="center"/>
          </w:tcPr>
          <w:p w14:paraId="7E5632D7">
            <w:pPr>
              <w:jc w:val="center"/>
              <w:rPr>
                <w:rFonts w:ascii="仿宋" w:hAnsi="仿宋" w:eastAsia="仿宋"/>
                <w:szCs w:val="21"/>
              </w:rPr>
            </w:pPr>
            <w:r>
              <w:rPr>
                <w:rFonts w:ascii="仿宋" w:hAnsi="仿宋" w:eastAsia="仿宋"/>
                <w:szCs w:val="21"/>
              </w:rPr>
              <w:t>3</w:t>
            </w:r>
          </w:p>
        </w:tc>
        <w:tc>
          <w:tcPr>
            <w:tcW w:w="2394" w:type="pct"/>
            <w:noWrap w:val="0"/>
            <w:vAlign w:val="center"/>
          </w:tcPr>
          <w:p w14:paraId="340FF8B6">
            <w:pPr>
              <w:tabs>
                <w:tab w:val="left" w:pos="0"/>
              </w:tabs>
              <w:jc w:val="both"/>
              <w:rPr>
                <w:rFonts w:ascii="仿宋" w:hAnsi="仿宋" w:eastAsia="仿宋"/>
                <w:szCs w:val="21"/>
              </w:rPr>
            </w:pPr>
            <w:r>
              <w:rPr>
                <w:rFonts w:ascii="仿宋" w:hAnsi="仿宋" w:eastAsia="仿宋"/>
                <w:szCs w:val="21"/>
              </w:rPr>
              <w:t>1</w:t>
            </w:r>
            <w:r>
              <w:rPr>
                <w:rFonts w:hint="eastAsia" w:ascii="仿宋" w:hAnsi="仿宋" w:eastAsia="仿宋"/>
                <w:szCs w:val="21"/>
              </w:rPr>
              <w:t>、所有检验仪器实验共享数据传输快速、准确，标识与危急值传输无误。</w:t>
            </w:r>
          </w:p>
        </w:tc>
      </w:tr>
      <w:tr w14:paraId="0F81C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564E0A5">
            <w:pPr>
              <w:rPr>
                <w:rFonts w:ascii="仿宋" w:hAnsi="仿宋" w:eastAsia="仿宋"/>
                <w:szCs w:val="21"/>
              </w:rPr>
            </w:pPr>
          </w:p>
        </w:tc>
        <w:tc>
          <w:tcPr>
            <w:tcW w:w="247" w:type="pct"/>
            <w:vMerge w:val="continue"/>
            <w:noWrap w:val="0"/>
            <w:vAlign w:val="top"/>
          </w:tcPr>
          <w:p w14:paraId="7A502CF6">
            <w:pPr>
              <w:rPr>
                <w:rFonts w:ascii="仿宋" w:hAnsi="仿宋" w:eastAsia="仿宋"/>
                <w:szCs w:val="21"/>
              </w:rPr>
            </w:pPr>
          </w:p>
        </w:tc>
        <w:tc>
          <w:tcPr>
            <w:tcW w:w="296" w:type="pct"/>
            <w:vMerge w:val="continue"/>
            <w:noWrap w:val="0"/>
            <w:vAlign w:val="top"/>
          </w:tcPr>
          <w:p w14:paraId="33DFDB30">
            <w:pPr>
              <w:rPr>
                <w:rFonts w:ascii="仿宋" w:hAnsi="仿宋" w:eastAsia="仿宋"/>
                <w:szCs w:val="21"/>
              </w:rPr>
            </w:pPr>
          </w:p>
        </w:tc>
        <w:tc>
          <w:tcPr>
            <w:tcW w:w="1401" w:type="pct"/>
            <w:vMerge w:val="continue"/>
            <w:noWrap w:val="0"/>
            <w:vAlign w:val="top"/>
          </w:tcPr>
          <w:p w14:paraId="73AC083D">
            <w:pPr>
              <w:rPr>
                <w:rFonts w:ascii="仿宋" w:hAnsi="仿宋" w:eastAsia="仿宋"/>
                <w:szCs w:val="21"/>
              </w:rPr>
            </w:pPr>
          </w:p>
        </w:tc>
        <w:tc>
          <w:tcPr>
            <w:tcW w:w="250" w:type="pct"/>
            <w:vMerge w:val="continue"/>
            <w:noWrap w:val="0"/>
            <w:vAlign w:val="center"/>
          </w:tcPr>
          <w:p w14:paraId="2C83FF9E">
            <w:pPr>
              <w:jc w:val="center"/>
              <w:rPr>
                <w:rFonts w:ascii="仿宋" w:hAnsi="仿宋" w:eastAsia="仿宋"/>
                <w:szCs w:val="21"/>
              </w:rPr>
            </w:pPr>
          </w:p>
        </w:tc>
        <w:tc>
          <w:tcPr>
            <w:tcW w:w="250" w:type="pct"/>
            <w:noWrap w:val="0"/>
            <w:vAlign w:val="center"/>
          </w:tcPr>
          <w:p w14:paraId="16EA9C97">
            <w:pPr>
              <w:jc w:val="center"/>
              <w:rPr>
                <w:rFonts w:ascii="仿宋" w:hAnsi="仿宋" w:eastAsia="仿宋"/>
                <w:szCs w:val="21"/>
              </w:rPr>
            </w:pPr>
            <w:r>
              <w:rPr>
                <w:rFonts w:ascii="仿宋" w:hAnsi="仿宋" w:eastAsia="仿宋"/>
                <w:szCs w:val="21"/>
              </w:rPr>
              <w:t>3</w:t>
            </w:r>
          </w:p>
        </w:tc>
        <w:tc>
          <w:tcPr>
            <w:tcW w:w="2394" w:type="pct"/>
            <w:noWrap w:val="0"/>
            <w:vAlign w:val="center"/>
          </w:tcPr>
          <w:p w14:paraId="14EB57FD">
            <w:pPr>
              <w:jc w:val="both"/>
              <w:rPr>
                <w:rFonts w:ascii="仿宋" w:hAnsi="仿宋" w:eastAsia="仿宋"/>
                <w:szCs w:val="21"/>
              </w:rPr>
            </w:pPr>
            <w:r>
              <w:rPr>
                <w:rFonts w:ascii="仿宋" w:hAnsi="仿宋" w:eastAsia="仿宋"/>
                <w:szCs w:val="21"/>
              </w:rPr>
              <w:t>2</w:t>
            </w:r>
            <w:r>
              <w:rPr>
                <w:rFonts w:hint="eastAsia" w:ascii="仿宋" w:hAnsi="仿宋" w:eastAsia="仿宋"/>
                <w:szCs w:val="21"/>
              </w:rPr>
              <w:t>、所有影像设备共享数据传输快速、准确，报告内容完整，标识与危急值传输无误。</w:t>
            </w:r>
          </w:p>
        </w:tc>
      </w:tr>
      <w:tr w14:paraId="01926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3D9174C2">
            <w:pPr>
              <w:rPr>
                <w:rFonts w:ascii="仿宋" w:hAnsi="仿宋" w:eastAsia="仿宋"/>
                <w:szCs w:val="21"/>
              </w:rPr>
            </w:pPr>
          </w:p>
        </w:tc>
        <w:tc>
          <w:tcPr>
            <w:tcW w:w="247" w:type="pct"/>
            <w:vMerge w:val="continue"/>
            <w:noWrap w:val="0"/>
            <w:vAlign w:val="top"/>
          </w:tcPr>
          <w:p w14:paraId="0DDE16FE">
            <w:pPr>
              <w:rPr>
                <w:rFonts w:ascii="仿宋" w:hAnsi="仿宋" w:eastAsia="仿宋"/>
                <w:szCs w:val="21"/>
              </w:rPr>
            </w:pPr>
          </w:p>
        </w:tc>
        <w:tc>
          <w:tcPr>
            <w:tcW w:w="296" w:type="pct"/>
            <w:vMerge w:val="continue"/>
            <w:noWrap w:val="0"/>
            <w:vAlign w:val="top"/>
          </w:tcPr>
          <w:p w14:paraId="1B752522">
            <w:pPr>
              <w:rPr>
                <w:rFonts w:ascii="仿宋" w:hAnsi="仿宋" w:eastAsia="仿宋"/>
                <w:szCs w:val="21"/>
              </w:rPr>
            </w:pPr>
          </w:p>
        </w:tc>
        <w:tc>
          <w:tcPr>
            <w:tcW w:w="1401" w:type="pct"/>
            <w:vMerge w:val="continue"/>
            <w:noWrap w:val="0"/>
            <w:vAlign w:val="top"/>
          </w:tcPr>
          <w:p w14:paraId="6C58906B">
            <w:pPr>
              <w:rPr>
                <w:rFonts w:ascii="仿宋" w:hAnsi="仿宋" w:eastAsia="仿宋"/>
                <w:szCs w:val="21"/>
              </w:rPr>
            </w:pPr>
          </w:p>
        </w:tc>
        <w:tc>
          <w:tcPr>
            <w:tcW w:w="250" w:type="pct"/>
            <w:vMerge w:val="continue"/>
            <w:noWrap w:val="0"/>
            <w:vAlign w:val="center"/>
          </w:tcPr>
          <w:p w14:paraId="4661A23C">
            <w:pPr>
              <w:jc w:val="center"/>
              <w:rPr>
                <w:rFonts w:ascii="仿宋" w:hAnsi="仿宋" w:eastAsia="仿宋"/>
                <w:szCs w:val="21"/>
              </w:rPr>
            </w:pPr>
          </w:p>
        </w:tc>
        <w:tc>
          <w:tcPr>
            <w:tcW w:w="250" w:type="pct"/>
            <w:noWrap w:val="0"/>
            <w:vAlign w:val="center"/>
          </w:tcPr>
          <w:p w14:paraId="1A824C69">
            <w:pPr>
              <w:jc w:val="center"/>
              <w:rPr>
                <w:rFonts w:ascii="仿宋" w:hAnsi="仿宋" w:eastAsia="仿宋"/>
                <w:szCs w:val="21"/>
              </w:rPr>
            </w:pPr>
            <w:r>
              <w:rPr>
                <w:rFonts w:ascii="仿宋" w:hAnsi="仿宋" w:eastAsia="仿宋"/>
                <w:szCs w:val="21"/>
              </w:rPr>
              <w:t>2</w:t>
            </w:r>
          </w:p>
        </w:tc>
        <w:tc>
          <w:tcPr>
            <w:tcW w:w="2394" w:type="pct"/>
            <w:noWrap w:val="0"/>
            <w:vAlign w:val="center"/>
          </w:tcPr>
          <w:p w14:paraId="2763111C">
            <w:pPr>
              <w:jc w:val="both"/>
              <w:rPr>
                <w:rFonts w:ascii="仿宋" w:hAnsi="仿宋" w:eastAsia="仿宋"/>
                <w:szCs w:val="21"/>
              </w:rPr>
            </w:pPr>
            <w:r>
              <w:rPr>
                <w:rFonts w:ascii="仿宋" w:hAnsi="仿宋" w:eastAsia="仿宋"/>
                <w:szCs w:val="21"/>
              </w:rPr>
              <w:t>3、所有检查设备共享数据传输快速、准确，报告内容完整，标识与危急值传输无误。</w:t>
            </w:r>
          </w:p>
        </w:tc>
      </w:tr>
      <w:tr w14:paraId="39AD4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477CCA46">
            <w:pPr>
              <w:rPr>
                <w:rFonts w:ascii="仿宋" w:hAnsi="仿宋" w:eastAsia="仿宋"/>
                <w:szCs w:val="21"/>
              </w:rPr>
            </w:pPr>
          </w:p>
        </w:tc>
        <w:tc>
          <w:tcPr>
            <w:tcW w:w="247" w:type="pct"/>
            <w:vMerge w:val="continue"/>
            <w:noWrap w:val="0"/>
            <w:vAlign w:val="top"/>
          </w:tcPr>
          <w:p w14:paraId="3749F5E6">
            <w:pPr>
              <w:rPr>
                <w:rFonts w:ascii="仿宋" w:hAnsi="仿宋" w:eastAsia="仿宋"/>
                <w:szCs w:val="21"/>
              </w:rPr>
            </w:pPr>
          </w:p>
        </w:tc>
        <w:tc>
          <w:tcPr>
            <w:tcW w:w="296" w:type="pct"/>
            <w:vMerge w:val="continue"/>
            <w:noWrap w:val="0"/>
            <w:vAlign w:val="top"/>
          </w:tcPr>
          <w:p w14:paraId="2A34FF4A">
            <w:pPr>
              <w:rPr>
                <w:rFonts w:ascii="仿宋" w:hAnsi="仿宋" w:eastAsia="仿宋"/>
                <w:szCs w:val="21"/>
              </w:rPr>
            </w:pPr>
          </w:p>
        </w:tc>
        <w:tc>
          <w:tcPr>
            <w:tcW w:w="1401" w:type="pct"/>
            <w:vMerge w:val="continue"/>
            <w:noWrap w:val="0"/>
            <w:vAlign w:val="top"/>
          </w:tcPr>
          <w:p w14:paraId="4246AB24">
            <w:pPr>
              <w:rPr>
                <w:rFonts w:ascii="仿宋" w:hAnsi="仿宋" w:eastAsia="仿宋"/>
                <w:szCs w:val="21"/>
              </w:rPr>
            </w:pPr>
          </w:p>
        </w:tc>
        <w:tc>
          <w:tcPr>
            <w:tcW w:w="250" w:type="pct"/>
            <w:vMerge w:val="continue"/>
            <w:noWrap w:val="0"/>
            <w:vAlign w:val="center"/>
          </w:tcPr>
          <w:p w14:paraId="617D9D03">
            <w:pPr>
              <w:jc w:val="center"/>
              <w:rPr>
                <w:rFonts w:ascii="仿宋" w:hAnsi="仿宋" w:eastAsia="仿宋"/>
                <w:szCs w:val="21"/>
              </w:rPr>
            </w:pPr>
          </w:p>
        </w:tc>
        <w:tc>
          <w:tcPr>
            <w:tcW w:w="250" w:type="pct"/>
            <w:noWrap w:val="0"/>
            <w:vAlign w:val="center"/>
          </w:tcPr>
          <w:p w14:paraId="21BB0E0F">
            <w:pPr>
              <w:jc w:val="center"/>
              <w:rPr>
                <w:rFonts w:ascii="仿宋" w:hAnsi="仿宋" w:eastAsia="仿宋"/>
                <w:szCs w:val="21"/>
              </w:rPr>
            </w:pPr>
            <w:r>
              <w:rPr>
                <w:rFonts w:ascii="仿宋" w:hAnsi="仿宋" w:eastAsia="仿宋"/>
                <w:szCs w:val="21"/>
              </w:rPr>
              <w:t>1</w:t>
            </w:r>
          </w:p>
        </w:tc>
        <w:tc>
          <w:tcPr>
            <w:tcW w:w="2394" w:type="pct"/>
            <w:noWrap w:val="0"/>
            <w:vAlign w:val="center"/>
          </w:tcPr>
          <w:p w14:paraId="363774C7">
            <w:pPr>
              <w:jc w:val="both"/>
              <w:rPr>
                <w:rFonts w:ascii="仿宋" w:hAnsi="仿宋" w:eastAsia="仿宋"/>
                <w:szCs w:val="21"/>
              </w:rPr>
            </w:pPr>
            <w:r>
              <w:rPr>
                <w:rFonts w:ascii="仿宋" w:hAnsi="仿宋" w:eastAsia="仿宋"/>
                <w:szCs w:val="21"/>
              </w:rPr>
              <w:t>4、通信日志记录</w:t>
            </w:r>
            <w:r>
              <w:rPr>
                <w:rFonts w:hint="eastAsia" w:ascii="仿宋" w:hAnsi="仿宋" w:eastAsia="仿宋"/>
                <w:szCs w:val="21"/>
              </w:rPr>
              <w:t>完整</w:t>
            </w:r>
            <w:r>
              <w:rPr>
                <w:rFonts w:ascii="仿宋" w:hAnsi="仿宋" w:eastAsia="仿宋"/>
                <w:szCs w:val="21"/>
              </w:rPr>
              <w:t>，可追溯</w:t>
            </w:r>
            <w:r>
              <w:rPr>
                <w:rFonts w:hint="eastAsia" w:ascii="仿宋" w:hAnsi="仿宋" w:eastAsia="仿宋"/>
                <w:szCs w:val="21"/>
              </w:rPr>
              <w:t>。</w:t>
            </w:r>
          </w:p>
        </w:tc>
      </w:tr>
      <w:tr w14:paraId="5AA4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008F2D89">
            <w:pPr>
              <w:rPr>
                <w:rFonts w:ascii="仿宋" w:hAnsi="仿宋" w:eastAsia="仿宋"/>
                <w:szCs w:val="21"/>
              </w:rPr>
            </w:pPr>
          </w:p>
        </w:tc>
        <w:tc>
          <w:tcPr>
            <w:tcW w:w="247" w:type="pct"/>
            <w:vMerge w:val="continue"/>
            <w:noWrap w:val="0"/>
            <w:vAlign w:val="top"/>
          </w:tcPr>
          <w:p w14:paraId="0D4FC554">
            <w:pPr>
              <w:rPr>
                <w:rFonts w:ascii="仿宋" w:hAnsi="仿宋" w:eastAsia="仿宋"/>
                <w:szCs w:val="21"/>
              </w:rPr>
            </w:pPr>
          </w:p>
        </w:tc>
        <w:tc>
          <w:tcPr>
            <w:tcW w:w="296" w:type="pct"/>
            <w:vMerge w:val="continue"/>
            <w:noWrap w:val="0"/>
            <w:vAlign w:val="top"/>
          </w:tcPr>
          <w:p w14:paraId="1E1DFA80">
            <w:pPr>
              <w:rPr>
                <w:rFonts w:ascii="仿宋" w:hAnsi="仿宋" w:eastAsia="仿宋"/>
                <w:szCs w:val="21"/>
              </w:rPr>
            </w:pPr>
          </w:p>
        </w:tc>
        <w:tc>
          <w:tcPr>
            <w:tcW w:w="1401" w:type="pct"/>
            <w:vMerge w:val="continue"/>
            <w:noWrap w:val="0"/>
            <w:vAlign w:val="top"/>
          </w:tcPr>
          <w:p w14:paraId="772A408B">
            <w:pPr>
              <w:rPr>
                <w:rFonts w:ascii="仿宋" w:hAnsi="仿宋" w:eastAsia="仿宋"/>
                <w:szCs w:val="21"/>
              </w:rPr>
            </w:pPr>
          </w:p>
        </w:tc>
        <w:tc>
          <w:tcPr>
            <w:tcW w:w="250" w:type="pct"/>
            <w:vMerge w:val="continue"/>
            <w:noWrap w:val="0"/>
            <w:vAlign w:val="center"/>
          </w:tcPr>
          <w:p w14:paraId="56109654">
            <w:pPr>
              <w:jc w:val="center"/>
              <w:rPr>
                <w:rFonts w:ascii="仿宋" w:hAnsi="仿宋" w:eastAsia="仿宋"/>
                <w:szCs w:val="21"/>
              </w:rPr>
            </w:pPr>
          </w:p>
        </w:tc>
        <w:tc>
          <w:tcPr>
            <w:tcW w:w="250" w:type="pct"/>
            <w:noWrap w:val="0"/>
            <w:vAlign w:val="center"/>
          </w:tcPr>
          <w:p w14:paraId="0EB2C10B">
            <w:pPr>
              <w:jc w:val="center"/>
              <w:rPr>
                <w:rFonts w:ascii="仿宋" w:hAnsi="仿宋" w:eastAsia="仿宋"/>
                <w:szCs w:val="21"/>
              </w:rPr>
            </w:pPr>
            <w:r>
              <w:rPr>
                <w:rFonts w:ascii="仿宋" w:hAnsi="仿宋" w:eastAsia="仿宋"/>
                <w:szCs w:val="21"/>
              </w:rPr>
              <w:t>1</w:t>
            </w:r>
          </w:p>
        </w:tc>
        <w:tc>
          <w:tcPr>
            <w:tcW w:w="2394" w:type="pct"/>
            <w:noWrap w:val="0"/>
            <w:vAlign w:val="center"/>
          </w:tcPr>
          <w:p w14:paraId="2B735AF0">
            <w:pPr>
              <w:jc w:val="both"/>
              <w:rPr>
                <w:rFonts w:ascii="仿宋" w:hAnsi="仿宋" w:eastAsia="仿宋"/>
                <w:szCs w:val="21"/>
              </w:rPr>
            </w:pPr>
            <w:r>
              <w:rPr>
                <w:rFonts w:ascii="仿宋" w:hAnsi="仿宋" w:eastAsia="仿宋"/>
                <w:szCs w:val="21"/>
              </w:rPr>
              <w:t>5、所有接口程序经使用部门验收合格，且相关资料完整，</w:t>
            </w:r>
          </w:p>
        </w:tc>
      </w:tr>
      <w:tr w14:paraId="3EAA3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59C23BD">
            <w:pPr>
              <w:rPr>
                <w:rFonts w:ascii="仿宋" w:hAnsi="仿宋" w:eastAsia="仿宋"/>
                <w:szCs w:val="21"/>
              </w:rPr>
            </w:pPr>
          </w:p>
        </w:tc>
        <w:tc>
          <w:tcPr>
            <w:tcW w:w="247" w:type="pct"/>
            <w:vMerge w:val="continue"/>
            <w:noWrap w:val="0"/>
            <w:vAlign w:val="top"/>
          </w:tcPr>
          <w:p w14:paraId="2970C4E9">
            <w:pPr>
              <w:rPr>
                <w:rFonts w:ascii="仿宋" w:hAnsi="仿宋" w:eastAsia="仿宋"/>
                <w:szCs w:val="21"/>
              </w:rPr>
            </w:pPr>
          </w:p>
        </w:tc>
        <w:tc>
          <w:tcPr>
            <w:tcW w:w="296" w:type="pct"/>
            <w:vMerge w:val="restart"/>
            <w:noWrap w:val="0"/>
            <w:vAlign w:val="center"/>
          </w:tcPr>
          <w:p w14:paraId="4A417F9A">
            <w:pPr>
              <w:jc w:val="center"/>
              <w:rPr>
                <w:rFonts w:ascii="仿宋" w:hAnsi="仿宋" w:eastAsia="仿宋"/>
                <w:szCs w:val="21"/>
              </w:rPr>
            </w:pPr>
            <w:r>
              <w:rPr>
                <w:rFonts w:hint="eastAsia" w:ascii="仿宋" w:hAnsi="仿宋" w:eastAsia="仿宋"/>
                <w:szCs w:val="21"/>
              </w:rPr>
              <w:t>第三方应用接口开发服务</w:t>
            </w:r>
          </w:p>
        </w:tc>
        <w:tc>
          <w:tcPr>
            <w:tcW w:w="1401" w:type="pct"/>
            <w:vMerge w:val="restart"/>
            <w:noWrap w:val="0"/>
            <w:vAlign w:val="center"/>
          </w:tcPr>
          <w:p w14:paraId="639B5FD9">
            <w:pPr>
              <w:jc w:val="both"/>
              <w:rPr>
                <w:rFonts w:ascii="仿宋" w:hAnsi="仿宋" w:eastAsia="仿宋"/>
                <w:szCs w:val="21"/>
              </w:rPr>
            </w:pPr>
            <w:r>
              <w:rPr>
                <w:rFonts w:hint="eastAsia" w:ascii="仿宋" w:hAnsi="仿宋" w:eastAsia="仿宋"/>
                <w:szCs w:val="21"/>
              </w:rPr>
              <w:t>采购人根据自身信息化建设发展需求，新购置信息系统，服务商应依据采购人使用部门需求提供系统集成接口开发的服务。采购人根据程序开发的质量情况，共享数据的完整性、准确性与使用部门需求完成情况对服务商进行综合评价。</w:t>
            </w:r>
          </w:p>
        </w:tc>
        <w:tc>
          <w:tcPr>
            <w:tcW w:w="250" w:type="pct"/>
            <w:vMerge w:val="restart"/>
            <w:noWrap w:val="0"/>
            <w:vAlign w:val="center"/>
          </w:tcPr>
          <w:p w14:paraId="12D25577">
            <w:pPr>
              <w:jc w:val="center"/>
              <w:rPr>
                <w:rFonts w:ascii="仿宋" w:hAnsi="仿宋" w:eastAsia="仿宋"/>
                <w:szCs w:val="21"/>
              </w:rPr>
            </w:pPr>
            <w:r>
              <w:rPr>
                <w:rFonts w:ascii="仿宋" w:hAnsi="仿宋" w:eastAsia="仿宋"/>
                <w:szCs w:val="21"/>
              </w:rPr>
              <w:t>12</w:t>
            </w:r>
          </w:p>
        </w:tc>
        <w:tc>
          <w:tcPr>
            <w:tcW w:w="250" w:type="pct"/>
            <w:noWrap w:val="0"/>
            <w:vAlign w:val="center"/>
          </w:tcPr>
          <w:p w14:paraId="1920CDEB">
            <w:pPr>
              <w:jc w:val="center"/>
              <w:rPr>
                <w:rFonts w:ascii="仿宋" w:hAnsi="仿宋" w:eastAsia="仿宋"/>
                <w:szCs w:val="21"/>
              </w:rPr>
            </w:pPr>
            <w:r>
              <w:rPr>
                <w:rFonts w:ascii="仿宋" w:hAnsi="仿宋" w:eastAsia="仿宋"/>
                <w:szCs w:val="21"/>
              </w:rPr>
              <w:t>1</w:t>
            </w:r>
          </w:p>
        </w:tc>
        <w:tc>
          <w:tcPr>
            <w:tcW w:w="2394" w:type="pct"/>
            <w:noWrap w:val="0"/>
            <w:vAlign w:val="center"/>
          </w:tcPr>
          <w:p w14:paraId="79BCA278">
            <w:pPr>
              <w:jc w:val="both"/>
              <w:rPr>
                <w:rFonts w:ascii="仿宋" w:hAnsi="仿宋" w:eastAsia="仿宋"/>
                <w:szCs w:val="21"/>
              </w:rPr>
            </w:pPr>
            <w:r>
              <w:rPr>
                <w:rFonts w:ascii="仿宋" w:hAnsi="仿宋" w:eastAsia="仿宋"/>
                <w:szCs w:val="21"/>
              </w:rPr>
              <w:t>1、每个项目应成立结构合理的项目实施专业技术小组。人员架构合理，技术能力强。</w:t>
            </w:r>
          </w:p>
        </w:tc>
      </w:tr>
      <w:tr w14:paraId="0134D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132A829">
            <w:pPr>
              <w:rPr>
                <w:rFonts w:ascii="仿宋" w:hAnsi="仿宋" w:eastAsia="仿宋"/>
                <w:szCs w:val="21"/>
              </w:rPr>
            </w:pPr>
          </w:p>
        </w:tc>
        <w:tc>
          <w:tcPr>
            <w:tcW w:w="247" w:type="pct"/>
            <w:vMerge w:val="continue"/>
            <w:noWrap w:val="0"/>
            <w:vAlign w:val="top"/>
          </w:tcPr>
          <w:p w14:paraId="2F8A4319">
            <w:pPr>
              <w:rPr>
                <w:rFonts w:ascii="仿宋" w:hAnsi="仿宋" w:eastAsia="仿宋"/>
                <w:szCs w:val="21"/>
              </w:rPr>
            </w:pPr>
          </w:p>
        </w:tc>
        <w:tc>
          <w:tcPr>
            <w:tcW w:w="296" w:type="pct"/>
            <w:vMerge w:val="continue"/>
            <w:noWrap w:val="0"/>
            <w:vAlign w:val="top"/>
          </w:tcPr>
          <w:p w14:paraId="73207F4E">
            <w:pPr>
              <w:rPr>
                <w:rFonts w:ascii="仿宋" w:hAnsi="仿宋" w:eastAsia="仿宋"/>
                <w:szCs w:val="21"/>
              </w:rPr>
            </w:pPr>
          </w:p>
        </w:tc>
        <w:tc>
          <w:tcPr>
            <w:tcW w:w="1401" w:type="pct"/>
            <w:vMerge w:val="continue"/>
            <w:noWrap w:val="0"/>
            <w:vAlign w:val="top"/>
          </w:tcPr>
          <w:p w14:paraId="692E7E57">
            <w:pPr>
              <w:rPr>
                <w:rFonts w:ascii="仿宋" w:hAnsi="仿宋" w:eastAsia="仿宋"/>
                <w:szCs w:val="21"/>
              </w:rPr>
            </w:pPr>
          </w:p>
        </w:tc>
        <w:tc>
          <w:tcPr>
            <w:tcW w:w="250" w:type="pct"/>
            <w:vMerge w:val="continue"/>
            <w:noWrap w:val="0"/>
            <w:vAlign w:val="top"/>
          </w:tcPr>
          <w:p w14:paraId="7551964E">
            <w:pPr>
              <w:rPr>
                <w:rFonts w:ascii="仿宋" w:hAnsi="仿宋" w:eastAsia="仿宋"/>
                <w:szCs w:val="21"/>
              </w:rPr>
            </w:pPr>
          </w:p>
        </w:tc>
        <w:tc>
          <w:tcPr>
            <w:tcW w:w="250" w:type="pct"/>
            <w:noWrap w:val="0"/>
            <w:vAlign w:val="center"/>
          </w:tcPr>
          <w:p w14:paraId="1FF4BCEF">
            <w:pPr>
              <w:jc w:val="center"/>
              <w:rPr>
                <w:rFonts w:ascii="仿宋" w:hAnsi="仿宋" w:eastAsia="仿宋"/>
                <w:szCs w:val="21"/>
              </w:rPr>
            </w:pPr>
            <w:r>
              <w:rPr>
                <w:rFonts w:ascii="仿宋" w:hAnsi="仿宋" w:eastAsia="仿宋"/>
                <w:szCs w:val="21"/>
              </w:rPr>
              <w:t>2</w:t>
            </w:r>
          </w:p>
        </w:tc>
        <w:tc>
          <w:tcPr>
            <w:tcW w:w="2394" w:type="pct"/>
            <w:noWrap w:val="0"/>
            <w:vAlign w:val="center"/>
          </w:tcPr>
          <w:p w14:paraId="1DB5952D">
            <w:pPr>
              <w:jc w:val="both"/>
              <w:rPr>
                <w:rFonts w:ascii="仿宋" w:hAnsi="仿宋" w:eastAsia="仿宋"/>
                <w:szCs w:val="21"/>
              </w:rPr>
            </w:pPr>
            <w:r>
              <w:rPr>
                <w:rFonts w:ascii="仿宋" w:hAnsi="仿宋" w:eastAsia="仿宋"/>
                <w:szCs w:val="21"/>
              </w:rPr>
              <w:t>2、制定完善的接口开发方案，相关技术文档齐全，使用部门需求明确。</w:t>
            </w:r>
          </w:p>
        </w:tc>
      </w:tr>
      <w:tr w14:paraId="54E5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354A773">
            <w:pPr>
              <w:rPr>
                <w:rFonts w:ascii="仿宋" w:hAnsi="仿宋" w:eastAsia="仿宋"/>
                <w:szCs w:val="21"/>
              </w:rPr>
            </w:pPr>
          </w:p>
        </w:tc>
        <w:tc>
          <w:tcPr>
            <w:tcW w:w="247" w:type="pct"/>
            <w:vMerge w:val="continue"/>
            <w:noWrap w:val="0"/>
            <w:vAlign w:val="top"/>
          </w:tcPr>
          <w:p w14:paraId="1BFFA7E6">
            <w:pPr>
              <w:rPr>
                <w:rFonts w:ascii="仿宋" w:hAnsi="仿宋" w:eastAsia="仿宋"/>
                <w:szCs w:val="21"/>
              </w:rPr>
            </w:pPr>
          </w:p>
        </w:tc>
        <w:tc>
          <w:tcPr>
            <w:tcW w:w="296" w:type="pct"/>
            <w:vMerge w:val="continue"/>
            <w:noWrap w:val="0"/>
            <w:vAlign w:val="top"/>
          </w:tcPr>
          <w:p w14:paraId="02A15A66">
            <w:pPr>
              <w:rPr>
                <w:rFonts w:ascii="仿宋" w:hAnsi="仿宋" w:eastAsia="仿宋"/>
                <w:szCs w:val="21"/>
              </w:rPr>
            </w:pPr>
          </w:p>
        </w:tc>
        <w:tc>
          <w:tcPr>
            <w:tcW w:w="1401" w:type="pct"/>
            <w:vMerge w:val="continue"/>
            <w:noWrap w:val="0"/>
            <w:vAlign w:val="top"/>
          </w:tcPr>
          <w:p w14:paraId="0BB83B3B">
            <w:pPr>
              <w:rPr>
                <w:rFonts w:ascii="仿宋" w:hAnsi="仿宋" w:eastAsia="仿宋"/>
                <w:szCs w:val="21"/>
              </w:rPr>
            </w:pPr>
          </w:p>
        </w:tc>
        <w:tc>
          <w:tcPr>
            <w:tcW w:w="250" w:type="pct"/>
            <w:vMerge w:val="continue"/>
            <w:noWrap w:val="0"/>
            <w:vAlign w:val="top"/>
          </w:tcPr>
          <w:p w14:paraId="1AFAAD95">
            <w:pPr>
              <w:rPr>
                <w:rFonts w:ascii="仿宋" w:hAnsi="仿宋" w:eastAsia="仿宋"/>
                <w:szCs w:val="21"/>
              </w:rPr>
            </w:pPr>
          </w:p>
        </w:tc>
        <w:tc>
          <w:tcPr>
            <w:tcW w:w="250" w:type="pct"/>
            <w:noWrap w:val="0"/>
            <w:vAlign w:val="center"/>
          </w:tcPr>
          <w:p w14:paraId="758C1D05">
            <w:pPr>
              <w:jc w:val="center"/>
              <w:rPr>
                <w:rFonts w:ascii="仿宋" w:hAnsi="仿宋" w:eastAsia="仿宋"/>
                <w:szCs w:val="21"/>
              </w:rPr>
            </w:pPr>
            <w:r>
              <w:rPr>
                <w:rFonts w:ascii="仿宋" w:hAnsi="仿宋" w:eastAsia="仿宋"/>
                <w:szCs w:val="21"/>
              </w:rPr>
              <w:t>4</w:t>
            </w:r>
          </w:p>
        </w:tc>
        <w:tc>
          <w:tcPr>
            <w:tcW w:w="2394" w:type="pct"/>
            <w:noWrap w:val="0"/>
            <w:vAlign w:val="center"/>
          </w:tcPr>
          <w:p w14:paraId="429406A5">
            <w:pPr>
              <w:jc w:val="both"/>
              <w:rPr>
                <w:rFonts w:ascii="仿宋" w:hAnsi="仿宋" w:eastAsia="仿宋"/>
                <w:szCs w:val="21"/>
              </w:rPr>
            </w:pPr>
            <w:r>
              <w:rPr>
                <w:rFonts w:ascii="仿宋" w:hAnsi="仿宋" w:eastAsia="仿宋"/>
                <w:szCs w:val="21"/>
              </w:rPr>
              <w:t>3、信息系统数据共享准确、完整，接口程序简洁、有效、可扩展性强，程序与数据库中相关标识清晰，记录完整。</w:t>
            </w:r>
          </w:p>
        </w:tc>
      </w:tr>
      <w:tr w14:paraId="2E0A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F8AB8F2">
            <w:pPr>
              <w:rPr>
                <w:rFonts w:ascii="仿宋" w:hAnsi="仿宋" w:eastAsia="仿宋"/>
                <w:szCs w:val="21"/>
              </w:rPr>
            </w:pPr>
          </w:p>
        </w:tc>
        <w:tc>
          <w:tcPr>
            <w:tcW w:w="247" w:type="pct"/>
            <w:vMerge w:val="continue"/>
            <w:noWrap w:val="0"/>
            <w:vAlign w:val="top"/>
          </w:tcPr>
          <w:p w14:paraId="2D5431AA">
            <w:pPr>
              <w:rPr>
                <w:rFonts w:ascii="仿宋" w:hAnsi="仿宋" w:eastAsia="仿宋"/>
                <w:szCs w:val="21"/>
              </w:rPr>
            </w:pPr>
          </w:p>
        </w:tc>
        <w:tc>
          <w:tcPr>
            <w:tcW w:w="296" w:type="pct"/>
            <w:vMerge w:val="continue"/>
            <w:noWrap w:val="0"/>
            <w:vAlign w:val="top"/>
          </w:tcPr>
          <w:p w14:paraId="2A751BE8">
            <w:pPr>
              <w:rPr>
                <w:rFonts w:ascii="仿宋" w:hAnsi="仿宋" w:eastAsia="仿宋"/>
                <w:szCs w:val="21"/>
              </w:rPr>
            </w:pPr>
          </w:p>
        </w:tc>
        <w:tc>
          <w:tcPr>
            <w:tcW w:w="1401" w:type="pct"/>
            <w:vMerge w:val="continue"/>
            <w:noWrap w:val="0"/>
            <w:vAlign w:val="top"/>
          </w:tcPr>
          <w:p w14:paraId="5D727AFA">
            <w:pPr>
              <w:rPr>
                <w:rFonts w:ascii="仿宋" w:hAnsi="仿宋" w:eastAsia="仿宋"/>
                <w:szCs w:val="21"/>
              </w:rPr>
            </w:pPr>
          </w:p>
        </w:tc>
        <w:tc>
          <w:tcPr>
            <w:tcW w:w="250" w:type="pct"/>
            <w:vMerge w:val="continue"/>
            <w:noWrap w:val="0"/>
            <w:vAlign w:val="top"/>
          </w:tcPr>
          <w:p w14:paraId="2E55F562">
            <w:pPr>
              <w:rPr>
                <w:rFonts w:ascii="仿宋" w:hAnsi="仿宋" w:eastAsia="仿宋"/>
                <w:szCs w:val="21"/>
              </w:rPr>
            </w:pPr>
          </w:p>
        </w:tc>
        <w:tc>
          <w:tcPr>
            <w:tcW w:w="250" w:type="pct"/>
            <w:noWrap w:val="0"/>
            <w:vAlign w:val="center"/>
          </w:tcPr>
          <w:p w14:paraId="2C40D203">
            <w:pPr>
              <w:jc w:val="center"/>
              <w:rPr>
                <w:rFonts w:ascii="仿宋" w:hAnsi="仿宋" w:eastAsia="仿宋"/>
                <w:szCs w:val="21"/>
              </w:rPr>
            </w:pPr>
            <w:r>
              <w:rPr>
                <w:rFonts w:ascii="仿宋" w:hAnsi="仿宋" w:eastAsia="仿宋"/>
                <w:szCs w:val="21"/>
              </w:rPr>
              <w:t>2</w:t>
            </w:r>
          </w:p>
        </w:tc>
        <w:tc>
          <w:tcPr>
            <w:tcW w:w="2394" w:type="pct"/>
            <w:noWrap w:val="0"/>
            <w:vAlign w:val="center"/>
          </w:tcPr>
          <w:p w14:paraId="50471AF8">
            <w:pPr>
              <w:jc w:val="both"/>
              <w:rPr>
                <w:rFonts w:ascii="仿宋" w:hAnsi="仿宋" w:eastAsia="仿宋"/>
                <w:szCs w:val="21"/>
              </w:rPr>
            </w:pPr>
            <w:r>
              <w:rPr>
                <w:rFonts w:ascii="仿宋" w:hAnsi="仿宋" w:eastAsia="仿宋"/>
                <w:szCs w:val="21"/>
              </w:rPr>
              <w:t>4、接口程序建立完善的日志记录，可追溯</w:t>
            </w:r>
            <w:r>
              <w:rPr>
                <w:rFonts w:hint="eastAsia" w:ascii="仿宋" w:hAnsi="仿宋" w:eastAsia="仿宋"/>
                <w:szCs w:val="21"/>
              </w:rPr>
              <w:t>。</w:t>
            </w:r>
          </w:p>
        </w:tc>
      </w:tr>
      <w:tr w14:paraId="7750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C797592">
            <w:pPr>
              <w:rPr>
                <w:rFonts w:ascii="仿宋" w:hAnsi="仿宋" w:eastAsia="仿宋"/>
                <w:szCs w:val="21"/>
              </w:rPr>
            </w:pPr>
          </w:p>
        </w:tc>
        <w:tc>
          <w:tcPr>
            <w:tcW w:w="247" w:type="pct"/>
            <w:vMerge w:val="continue"/>
            <w:noWrap w:val="0"/>
            <w:vAlign w:val="top"/>
          </w:tcPr>
          <w:p w14:paraId="1FFC213F">
            <w:pPr>
              <w:rPr>
                <w:rFonts w:ascii="仿宋" w:hAnsi="仿宋" w:eastAsia="仿宋"/>
                <w:szCs w:val="21"/>
              </w:rPr>
            </w:pPr>
          </w:p>
        </w:tc>
        <w:tc>
          <w:tcPr>
            <w:tcW w:w="296" w:type="pct"/>
            <w:vMerge w:val="continue"/>
            <w:noWrap w:val="0"/>
            <w:vAlign w:val="top"/>
          </w:tcPr>
          <w:p w14:paraId="5B133EF7">
            <w:pPr>
              <w:rPr>
                <w:rFonts w:ascii="仿宋" w:hAnsi="仿宋" w:eastAsia="仿宋"/>
                <w:szCs w:val="21"/>
              </w:rPr>
            </w:pPr>
          </w:p>
        </w:tc>
        <w:tc>
          <w:tcPr>
            <w:tcW w:w="1401" w:type="pct"/>
            <w:vMerge w:val="continue"/>
            <w:noWrap w:val="0"/>
            <w:vAlign w:val="top"/>
          </w:tcPr>
          <w:p w14:paraId="215A29D0">
            <w:pPr>
              <w:rPr>
                <w:rFonts w:ascii="仿宋" w:hAnsi="仿宋" w:eastAsia="仿宋"/>
                <w:szCs w:val="21"/>
              </w:rPr>
            </w:pPr>
          </w:p>
        </w:tc>
        <w:tc>
          <w:tcPr>
            <w:tcW w:w="250" w:type="pct"/>
            <w:vMerge w:val="continue"/>
            <w:noWrap w:val="0"/>
            <w:vAlign w:val="top"/>
          </w:tcPr>
          <w:p w14:paraId="4F95607B">
            <w:pPr>
              <w:rPr>
                <w:rFonts w:ascii="仿宋" w:hAnsi="仿宋" w:eastAsia="仿宋"/>
                <w:szCs w:val="21"/>
              </w:rPr>
            </w:pPr>
          </w:p>
        </w:tc>
        <w:tc>
          <w:tcPr>
            <w:tcW w:w="250" w:type="pct"/>
            <w:noWrap w:val="0"/>
            <w:vAlign w:val="center"/>
          </w:tcPr>
          <w:p w14:paraId="1B218746">
            <w:pPr>
              <w:jc w:val="center"/>
              <w:rPr>
                <w:rFonts w:ascii="仿宋" w:hAnsi="仿宋" w:eastAsia="仿宋"/>
                <w:szCs w:val="21"/>
              </w:rPr>
            </w:pPr>
            <w:r>
              <w:rPr>
                <w:rFonts w:ascii="仿宋" w:hAnsi="仿宋" w:eastAsia="仿宋"/>
                <w:szCs w:val="21"/>
              </w:rPr>
              <w:t>1</w:t>
            </w:r>
          </w:p>
        </w:tc>
        <w:tc>
          <w:tcPr>
            <w:tcW w:w="2394" w:type="pct"/>
            <w:noWrap w:val="0"/>
            <w:vAlign w:val="center"/>
          </w:tcPr>
          <w:p w14:paraId="5E932DF7">
            <w:pPr>
              <w:jc w:val="both"/>
              <w:rPr>
                <w:rFonts w:ascii="仿宋" w:hAnsi="仿宋" w:eastAsia="仿宋"/>
                <w:szCs w:val="21"/>
              </w:rPr>
            </w:pPr>
            <w:r>
              <w:rPr>
                <w:rFonts w:ascii="仿宋" w:hAnsi="仿宋" w:eastAsia="仿宋"/>
                <w:szCs w:val="21"/>
              </w:rPr>
              <w:t>5、接口程序自动屏蔽或禁止</w:t>
            </w:r>
            <w:r>
              <w:rPr>
                <w:rFonts w:hint="eastAsia" w:ascii="仿宋" w:hAnsi="仿宋" w:eastAsia="仿宋"/>
                <w:szCs w:val="21"/>
              </w:rPr>
              <w:t>数据库高风险</w:t>
            </w:r>
            <w:r>
              <w:rPr>
                <w:rFonts w:ascii="仿宋" w:hAnsi="仿宋" w:eastAsia="仿宋"/>
                <w:szCs w:val="21"/>
              </w:rPr>
              <w:t>操作</w:t>
            </w:r>
            <w:r>
              <w:rPr>
                <w:rFonts w:hint="eastAsia" w:ascii="仿宋" w:hAnsi="仿宋" w:eastAsia="仿宋"/>
                <w:szCs w:val="21"/>
              </w:rPr>
              <w:t>，确保数据库中风险操作有审核、有记录。</w:t>
            </w:r>
          </w:p>
        </w:tc>
      </w:tr>
      <w:tr w14:paraId="51B8F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C34A89F">
            <w:pPr>
              <w:rPr>
                <w:rFonts w:ascii="仿宋" w:hAnsi="仿宋" w:eastAsia="仿宋"/>
                <w:szCs w:val="21"/>
              </w:rPr>
            </w:pPr>
          </w:p>
        </w:tc>
        <w:tc>
          <w:tcPr>
            <w:tcW w:w="247" w:type="pct"/>
            <w:vMerge w:val="continue"/>
            <w:noWrap w:val="0"/>
            <w:vAlign w:val="top"/>
          </w:tcPr>
          <w:p w14:paraId="64A60458">
            <w:pPr>
              <w:rPr>
                <w:rFonts w:ascii="仿宋" w:hAnsi="仿宋" w:eastAsia="仿宋"/>
                <w:szCs w:val="21"/>
              </w:rPr>
            </w:pPr>
          </w:p>
        </w:tc>
        <w:tc>
          <w:tcPr>
            <w:tcW w:w="296" w:type="pct"/>
            <w:vMerge w:val="continue"/>
            <w:noWrap w:val="0"/>
            <w:vAlign w:val="top"/>
          </w:tcPr>
          <w:p w14:paraId="44463157">
            <w:pPr>
              <w:rPr>
                <w:rFonts w:ascii="仿宋" w:hAnsi="仿宋" w:eastAsia="仿宋"/>
                <w:szCs w:val="21"/>
              </w:rPr>
            </w:pPr>
          </w:p>
        </w:tc>
        <w:tc>
          <w:tcPr>
            <w:tcW w:w="1401" w:type="pct"/>
            <w:vMerge w:val="continue"/>
            <w:noWrap w:val="0"/>
            <w:vAlign w:val="top"/>
          </w:tcPr>
          <w:p w14:paraId="22759849">
            <w:pPr>
              <w:rPr>
                <w:rFonts w:ascii="仿宋" w:hAnsi="仿宋" w:eastAsia="仿宋"/>
                <w:szCs w:val="21"/>
              </w:rPr>
            </w:pPr>
          </w:p>
        </w:tc>
        <w:tc>
          <w:tcPr>
            <w:tcW w:w="250" w:type="pct"/>
            <w:vMerge w:val="continue"/>
            <w:noWrap w:val="0"/>
            <w:vAlign w:val="top"/>
          </w:tcPr>
          <w:p w14:paraId="732482A2">
            <w:pPr>
              <w:rPr>
                <w:rFonts w:ascii="仿宋" w:hAnsi="仿宋" w:eastAsia="仿宋"/>
                <w:szCs w:val="21"/>
              </w:rPr>
            </w:pPr>
          </w:p>
        </w:tc>
        <w:tc>
          <w:tcPr>
            <w:tcW w:w="250" w:type="pct"/>
            <w:noWrap w:val="0"/>
            <w:vAlign w:val="center"/>
          </w:tcPr>
          <w:p w14:paraId="021447C7">
            <w:pPr>
              <w:jc w:val="center"/>
              <w:rPr>
                <w:rFonts w:ascii="仿宋" w:hAnsi="仿宋" w:eastAsia="仿宋"/>
                <w:szCs w:val="21"/>
              </w:rPr>
            </w:pPr>
            <w:r>
              <w:rPr>
                <w:rFonts w:ascii="仿宋" w:hAnsi="仿宋" w:eastAsia="仿宋"/>
                <w:szCs w:val="21"/>
              </w:rPr>
              <w:t>2</w:t>
            </w:r>
          </w:p>
        </w:tc>
        <w:tc>
          <w:tcPr>
            <w:tcW w:w="2394" w:type="pct"/>
            <w:noWrap w:val="0"/>
            <w:vAlign w:val="center"/>
          </w:tcPr>
          <w:p w14:paraId="0B310DEB">
            <w:pPr>
              <w:jc w:val="both"/>
              <w:rPr>
                <w:rFonts w:ascii="仿宋" w:hAnsi="仿宋" w:eastAsia="仿宋"/>
                <w:szCs w:val="21"/>
              </w:rPr>
            </w:pPr>
            <w:r>
              <w:rPr>
                <w:rFonts w:ascii="仿宋" w:hAnsi="仿宋" w:eastAsia="仿宋"/>
                <w:szCs w:val="21"/>
              </w:rPr>
              <w:t>6</w:t>
            </w:r>
            <w:r>
              <w:rPr>
                <w:rFonts w:hint="eastAsia" w:ascii="仿宋" w:hAnsi="仿宋" w:eastAsia="仿宋"/>
                <w:szCs w:val="21"/>
              </w:rPr>
              <w:t>、每个项目经使用部门验收合格，且相关资料完整，</w:t>
            </w:r>
          </w:p>
        </w:tc>
      </w:tr>
      <w:tr w14:paraId="7DA37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07933C5D">
            <w:pPr>
              <w:jc w:val="center"/>
              <w:rPr>
                <w:rFonts w:ascii="仿宋" w:hAnsi="仿宋" w:eastAsia="仿宋"/>
                <w:szCs w:val="21"/>
              </w:rPr>
            </w:pPr>
            <w:r>
              <w:rPr>
                <w:rFonts w:hint="eastAsia" w:ascii="仿宋" w:hAnsi="仿宋" w:eastAsia="仿宋"/>
                <w:szCs w:val="21"/>
              </w:rPr>
              <w:t>3</w:t>
            </w:r>
          </w:p>
        </w:tc>
        <w:tc>
          <w:tcPr>
            <w:tcW w:w="247" w:type="pct"/>
            <w:vMerge w:val="restart"/>
            <w:noWrap w:val="0"/>
            <w:vAlign w:val="center"/>
          </w:tcPr>
          <w:p w14:paraId="595E9411">
            <w:pPr>
              <w:jc w:val="center"/>
              <w:rPr>
                <w:rFonts w:ascii="仿宋" w:hAnsi="仿宋" w:eastAsia="仿宋"/>
                <w:szCs w:val="21"/>
              </w:rPr>
            </w:pPr>
            <w:r>
              <w:rPr>
                <w:rFonts w:hint="eastAsia" w:ascii="仿宋" w:hAnsi="仿宋" w:eastAsia="仿宋"/>
                <w:szCs w:val="21"/>
              </w:rPr>
              <w:t>系统升级更新服务</w:t>
            </w:r>
          </w:p>
        </w:tc>
        <w:tc>
          <w:tcPr>
            <w:tcW w:w="296" w:type="pct"/>
            <w:vMerge w:val="restart"/>
            <w:noWrap w:val="0"/>
            <w:vAlign w:val="center"/>
          </w:tcPr>
          <w:p w14:paraId="7C5759E3">
            <w:pPr>
              <w:jc w:val="center"/>
              <w:rPr>
                <w:rFonts w:ascii="仿宋" w:hAnsi="仿宋" w:eastAsia="仿宋"/>
                <w:szCs w:val="21"/>
              </w:rPr>
            </w:pPr>
            <w:r>
              <w:rPr>
                <w:rFonts w:hint="eastAsia" w:ascii="仿宋" w:hAnsi="仿宋" w:eastAsia="仿宋"/>
                <w:szCs w:val="21"/>
              </w:rPr>
              <w:t>系统升级服务</w:t>
            </w:r>
          </w:p>
        </w:tc>
        <w:tc>
          <w:tcPr>
            <w:tcW w:w="1401" w:type="pct"/>
            <w:vMerge w:val="restart"/>
            <w:noWrap w:val="0"/>
            <w:vAlign w:val="top"/>
          </w:tcPr>
          <w:p w14:paraId="60C6E0B5">
            <w:pPr>
              <w:rPr>
                <w:rFonts w:ascii="仿宋" w:hAnsi="仿宋" w:eastAsia="仿宋"/>
                <w:szCs w:val="21"/>
              </w:rPr>
            </w:pPr>
            <w:r>
              <w:rPr>
                <w:rFonts w:hint="eastAsia" w:ascii="仿宋" w:hAnsi="仿宋" w:eastAsia="仿宋"/>
                <w:szCs w:val="21"/>
              </w:rPr>
              <w:t>结合系统升级服务相关工作记录，对服务商该项工作完成情况与服务质量进行评价。</w:t>
            </w:r>
          </w:p>
        </w:tc>
        <w:tc>
          <w:tcPr>
            <w:tcW w:w="250" w:type="pct"/>
            <w:vMerge w:val="restart"/>
            <w:noWrap w:val="0"/>
            <w:vAlign w:val="center"/>
          </w:tcPr>
          <w:p w14:paraId="5D7A24A6">
            <w:pPr>
              <w:jc w:val="center"/>
              <w:rPr>
                <w:rFonts w:ascii="仿宋" w:hAnsi="仿宋" w:eastAsia="仿宋"/>
                <w:szCs w:val="21"/>
              </w:rPr>
            </w:pPr>
            <w:r>
              <w:rPr>
                <w:rFonts w:ascii="仿宋" w:hAnsi="仿宋" w:eastAsia="仿宋"/>
                <w:szCs w:val="21"/>
              </w:rPr>
              <w:t>3</w:t>
            </w:r>
          </w:p>
        </w:tc>
        <w:tc>
          <w:tcPr>
            <w:tcW w:w="250" w:type="pct"/>
            <w:noWrap w:val="0"/>
            <w:vAlign w:val="center"/>
          </w:tcPr>
          <w:p w14:paraId="39D3CB5A">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7C368956">
            <w:pPr>
              <w:jc w:val="both"/>
              <w:rPr>
                <w:rFonts w:ascii="仿宋" w:hAnsi="仿宋" w:eastAsia="仿宋"/>
                <w:szCs w:val="21"/>
              </w:rPr>
            </w:pPr>
            <w:r>
              <w:rPr>
                <w:rFonts w:hint="eastAsia" w:ascii="仿宋" w:hAnsi="仿宋" w:eastAsia="仿宋"/>
                <w:szCs w:val="21"/>
              </w:rPr>
              <w:t>1、升级服务项目管理组织能力情况，是否成立项目专班，组织架构合理，技术能力强。</w:t>
            </w:r>
          </w:p>
        </w:tc>
      </w:tr>
      <w:tr w14:paraId="5A76C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2244FD1C">
            <w:pPr>
              <w:rPr>
                <w:rFonts w:ascii="仿宋" w:hAnsi="仿宋" w:eastAsia="仿宋"/>
                <w:szCs w:val="21"/>
              </w:rPr>
            </w:pPr>
          </w:p>
        </w:tc>
        <w:tc>
          <w:tcPr>
            <w:tcW w:w="247" w:type="pct"/>
            <w:vMerge w:val="continue"/>
            <w:noWrap w:val="0"/>
            <w:vAlign w:val="top"/>
          </w:tcPr>
          <w:p w14:paraId="1235FC6F">
            <w:pPr>
              <w:rPr>
                <w:rFonts w:ascii="仿宋" w:hAnsi="仿宋" w:eastAsia="仿宋"/>
                <w:szCs w:val="21"/>
              </w:rPr>
            </w:pPr>
          </w:p>
        </w:tc>
        <w:tc>
          <w:tcPr>
            <w:tcW w:w="296" w:type="pct"/>
            <w:vMerge w:val="continue"/>
            <w:noWrap w:val="0"/>
            <w:vAlign w:val="top"/>
          </w:tcPr>
          <w:p w14:paraId="2749C512">
            <w:pPr>
              <w:rPr>
                <w:rFonts w:ascii="仿宋" w:hAnsi="仿宋" w:eastAsia="仿宋"/>
                <w:szCs w:val="21"/>
              </w:rPr>
            </w:pPr>
          </w:p>
        </w:tc>
        <w:tc>
          <w:tcPr>
            <w:tcW w:w="1401" w:type="pct"/>
            <w:vMerge w:val="continue"/>
            <w:noWrap w:val="0"/>
            <w:vAlign w:val="top"/>
          </w:tcPr>
          <w:p w14:paraId="531B91AE">
            <w:pPr>
              <w:rPr>
                <w:rFonts w:ascii="仿宋" w:hAnsi="仿宋" w:eastAsia="仿宋"/>
                <w:szCs w:val="21"/>
              </w:rPr>
            </w:pPr>
          </w:p>
        </w:tc>
        <w:tc>
          <w:tcPr>
            <w:tcW w:w="250" w:type="pct"/>
            <w:vMerge w:val="continue"/>
            <w:noWrap w:val="0"/>
            <w:vAlign w:val="top"/>
          </w:tcPr>
          <w:p w14:paraId="08333917">
            <w:pPr>
              <w:rPr>
                <w:rFonts w:ascii="仿宋" w:hAnsi="仿宋" w:eastAsia="仿宋"/>
                <w:szCs w:val="21"/>
              </w:rPr>
            </w:pPr>
          </w:p>
        </w:tc>
        <w:tc>
          <w:tcPr>
            <w:tcW w:w="250" w:type="pct"/>
            <w:noWrap w:val="0"/>
            <w:vAlign w:val="center"/>
          </w:tcPr>
          <w:p w14:paraId="5F3EEB23">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17B33228">
            <w:pPr>
              <w:jc w:val="both"/>
              <w:rPr>
                <w:rFonts w:ascii="仿宋" w:hAnsi="仿宋" w:eastAsia="仿宋"/>
                <w:szCs w:val="21"/>
              </w:rPr>
            </w:pPr>
            <w:r>
              <w:rPr>
                <w:rFonts w:hint="eastAsia" w:ascii="仿宋" w:hAnsi="仿宋" w:eastAsia="仿宋"/>
                <w:szCs w:val="21"/>
              </w:rPr>
              <w:t>2、升级服务准备工作完善，信息收集全面，功能模块测试到位，升级过程无重大故障。</w:t>
            </w:r>
          </w:p>
        </w:tc>
      </w:tr>
      <w:tr w14:paraId="496C7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FCB1747">
            <w:pPr>
              <w:rPr>
                <w:rFonts w:ascii="仿宋" w:hAnsi="仿宋" w:eastAsia="仿宋"/>
                <w:szCs w:val="21"/>
              </w:rPr>
            </w:pPr>
          </w:p>
        </w:tc>
        <w:tc>
          <w:tcPr>
            <w:tcW w:w="247" w:type="pct"/>
            <w:vMerge w:val="continue"/>
            <w:noWrap w:val="0"/>
            <w:vAlign w:val="top"/>
          </w:tcPr>
          <w:p w14:paraId="4C30E448">
            <w:pPr>
              <w:rPr>
                <w:rFonts w:ascii="仿宋" w:hAnsi="仿宋" w:eastAsia="仿宋"/>
                <w:szCs w:val="21"/>
              </w:rPr>
            </w:pPr>
          </w:p>
        </w:tc>
        <w:tc>
          <w:tcPr>
            <w:tcW w:w="296" w:type="pct"/>
            <w:vMerge w:val="restart"/>
            <w:noWrap w:val="0"/>
            <w:vAlign w:val="center"/>
          </w:tcPr>
          <w:p w14:paraId="0FF8DE74">
            <w:pPr>
              <w:jc w:val="center"/>
              <w:rPr>
                <w:rFonts w:ascii="仿宋" w:hAnsi="仿宋" w:eastAsia="仿宋"/>
                <w:szCs w:val="21"/>
              </w:rPr>
            </w:pPr>
            <w:r>
              <w:rPr>
                <w:rFonts w:hint="eastAsia" w:ascii="仿宋" w:hAnsi="仿宋" w:eastAsia="仿宋"/>
                <w:szCs w:val="21"/>
              </w:rPr>
              <w:t>服务质量</w:t>
            </w:r>
          </w:p>
        </w:tc>
        <w:tc>
          <w:tcPr>
            <w:tcW w:w="1401" w:type="pct"/>
            <w:vMerge w:val="restart"/>
            <w:noWrap w:val="0"/>
            <w:vAlign w:val="top"/>
          </w:tcPr>
          <w:p w14:paraId="71A055E1">
            <w:pPr>
              <w:rPr>
                <w:rFonts w:ascii="仿宋" w:hAnsi="仿宋" w:eastAsia="仿宋"/>
                <w:szCs w:val="21"/>
              </w:rPr>
            </w:pPr>
            <w:r>
              <w:rPr>
                <w:rFonts w:hint="eastAsia" w:ascii="仿宋" w:hAnsi="仿宋" w:eastAsia="仿宋"/>
                <w:szCs w:val="21"/>
              </w:rPr>
              <w:t>依据服务商提供的升级服务工作日志记录与服务质量调查表情况评价。</w:t>
            </w:r>
          </w:p>
        </w:tc>
        <w:tc>
          <w:tcPr>
            <w:tcW w:w="250" w:type="pct"/>
            <w:vMerge w:val="restart"/>
            <w:noWrap w:val="0"/>
            <w:vAlign w:val="center"/>
          </w:tcPr>
          <w:p w14:paraId="52CA9983">
            <w:pPr>
              <w:jc w:val="center"/>
              <w:rPr>
                <w:rFonts w:ascii="仿宋" w:hAnsi="仿宋" w:eastAsia="仿宋"/>
                <w:szCs w:val="21"/>
              </w:rPr>
            </w:pPr>
            <w:r>
              <w:rPr>
                <w:rFonts w:hint="eastAsia" w:ascii="仿宋" w:hAnsi="仿宋" w:eastAsia="仿宋"/>
                <w:szCs w:val="21"/>
              </w:rPr>
              <w:t>2</w:t>
            </w:r>
          </w:p>
        </w:tc>
        <w:tc>
          <w:tcPr>
            <w:tcW w:w="250" w:type="pct"/>
            <w:noWrap w:val="0"/>
            <w:vAlign w:val="center"/>
          </w:tcPr>
          <w:p w14:paraId="6A0C239F">
            <w:pPr>
              <w:jc w:val="center"/>
              <w:rPr>
                <w:rFonts w:ascii="仿宋" w:hAnsi="仿宋" w:eastAsia="仿宋"/>
                <w:szCs w:val="21"/>
              </w:rPr>
            </w:pPr>
            <w:r>
              <w:rPr>
                <w:rFonts w:ascii="仿宋" w:hAnsi="仿宋" w:eastAsia="仿宋"/>
                <w:szCs w:val="21"/>
              </w:rPr>
              <w:t>0.5</w:t>
            </w:r>
          </w:p>
        </w:tc>
        <w:tc>
          <w:tcPr>
            <w:tcW w:w="2394" w:type="pct"/>
            <w:noWrap w:val="0"/>
            <w:vAlign w:val="center"/>
          </w:tcPr>
          <w:p w14:paraId="1F925CE1">
            <w:pPr>
              <w:jc w:val="both"/>
              <w:rPr>
                <w:rFonts w:ascii="仿宋" w:hAnsi="仿宋" w:eastAsia="仿宋"/>
                <w:szCs w:val="21"/>
              </w:rPr>
            </w:pPr>
            <w:r>
              <w:rPr>
                <w:rFonts w:hint="eastAsia" w:ascii="仿宋" w:hAnsi="仿宋" w:eastAsia="仿宋"/>
                <w:szCs w:val="21"/>
              </w:rPr>
              <w:t>1、升级各工作日志记录完整，有测试报告、问题分析、实施方案。</w:t>
            </w:r>
          </w:p>
        </w:tc>
      </w:tr>
      <w:tr w14:paraId="0F8FD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AB925E3">
            <w:pPr>
              <w:rPr>
                <w:rFonts w:ascii="仿宋" w:hAnsi="仿宋" w:eastAsia="仿宋"/>
                <w:szCs w:val="21"/>
              </w:rPr>
            </w:pPr>
          </w:p>
        </w:tc>
        <w:tc>
          <w:tcPr>
            <w:tcW w:w="247" w:type="pct"/>
            <w:vMerge w:val="continue"/>
            <w:noWrap w:val="0"/>
            <w:vAlign w:val="top"/>
          </w:tcPr>
          <w:p w14:paraId="518D008E">
            <w:pPr>
              <w:rPr>
                <w:rFonts w:ascii="仿宋" w:hAnsi="仿宋" w:eastAsia="仿宋"/>
                <w:szCs w:val="21"/>
              </w:rPr>
            </w:pPr>
          </w:p>
        </w:tc>
        <w:tc>
          <w:tcPr>
            <w:tcW w:w="296" w:type="pct"/>
            <w:vMerge w:val="continue"/>
            <w:noWrap w:val="0"/>
            <w:vAlign w:val="top"/>
          </w:tcPr>
          <w:p w14:paraId="58DA2287">
            <w:pPr>
              <w:rPr>
                <w:rFonts w:ascii="仿宋" w:hAnsi="仿宋" w:eastAsia="仿宋"/>
                <w:szCs w:val="21"/>
              </w:rPr>
            </w:pPr>
          </w:p>
        </w:tc>
        <w:tc>
          <w:tcPr>
            <w:tcW w:w="1401" w:type="pct"/>
            <w:vMerge w:val="continue"/>
            <w:noWrap w:val="0"/>
            <w:vAlign w:val="top"/>
          </w:tcPr>
          <w:p w14:paraId="5A02546E">
            <w:pPr>
              <w:rPr>
                <w:rFonts w:ascii="仿宋" w:hAnsi="仿宋" w:eastAsia="仿宋"/>
                <w:szCs w:val="21"/>
              </w:rPr>
            </w:pPr>
          </w:p>
        </w:tc>
        <w:tc>
          <w:tcPr>
            <w:tcW w:w="250" w:type="pct"/>
            <w:vMerge w:val="continue"/>
            <w:noWrap w:val="0"/>
            <w:vAlign w:val="top"/>
          </w:tcPr>
          <w:p w14:paraId="7BA90A7E">
            <w:pPr>
              <w:rPr>
                <w:rFonts w:ascii="仿宋" w:hAnsi="仿宋" w:eastAsia="仿宋"/>
                <w:szCs w:val="21"/>
              </w:rPr>
            </w:pPr>
          </w:p>
        </w:tc>
        <w:tc>
          <w:tcPr>
            <w:tcW w:w="250" w:type="pct"/>
            <w:noWrap w:val="0"/>
            <w:vAlign w:val="center"/>
          </w:tcPr>
          <w:p w14:paraId="7EA88E66">
            <w:pPr>
              <w:jc w:val="center"/>
              <w:rPr>
                <w:rFonts w:ascii="仿宋" w:hAnsi="仿宋" w:eastAsia="仿宋"/>
                <w:szCs w:val="21"/>
              </w:rPr>
            </w:pPr>
            <w:r>
              <w:rPr>
                <w:rFonts w:hint="eastAsia" w:ascii="仿宋" w:hAnsi="仿宋" w:eastAsia="仿宋"/>
                <w:szCs w:val="21"/>
              </w:rPr>
              <w:t>1</w:t>
            </w:r>
            <w:r>
              <w:rPr>
                <w:rFonts w:ascii="仿宋" w:hAnsi="仿宋" w:eastAsia="仿宋"/>
                <w:szCs w:val="21"/>
              </w:rPr>
              <w:t>.5</w:t>
            </w:r>
          </w:p>
        </w:tc>
        <w:tc>
          <w:tcPr>
            <w:tcW w:w="2394" w:type="pct"/>
            <w:noWrap w:val="0"/>
            <w:vAlign w:val="center"/>
          </w:tcPr>
          <w:p w14:paraId="2E1D77C0">
            <w:pPr>
              <w:jc w:val="both"/>
              <w:rPr>
                <w:rFonts w:ascii="仿宋" w:hAnsi="仿宋" w:eastAsia="仿宋"/>
                <w:szCs w:val="21"/>
              </w:rPr>
            </w:pPr>
            <w:r>
              <w:rPr>
                <w:rFonts w:ascii="仿宋" w:hAnsi="仿宋" w:eastAsia="仿宋"/>
                <w:szCs w:val="21"/>
              </w:rPr>
              <w:t>2</w:t>
            </w:r>
            <w:r>
              <w:rPr>
                <w:rFonts w:hint="eastAsia" w:ascii="仿宋" w:hAnsi="仿宋" w:eastAsia="仿宋"/>
                <w:szCs w:val="21"/>
              </w:rPr>
              <w:t>、升级服务后续无遗留问题，使用部门评价达标率≥9</w:t>
            </w:r>
            <w:r>
              <w:rPr>
                <w:rFonts w:ascii="仿宋" w:hAnsi="仿宋" w:eastAsia="仿宋"/>
                <w:szCs w:val="21"/>
              </w:rPr>
              <w:t>0%</w:t>
            </w:r>
          </w:p>
        </w:tc>
      </w:tr>
      <w:tr w14:paraId="18336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6F72DA74">
            <w:pPr>
              <w:jc w:val="center"/>
              <w:rPr>
                <w:rFonts w:ascii="仿宋" w:hAnsi="仿宋" w:eastAsia="仿宋"/>
                <w:szCs w:val="21"/>
              </w:rPr>
            </w:pPr>
            <w:r>
              <w:rPr>
                <w:rFonts w:hint="eastAsia" w:ascii="仿宋" w:hAnsi="仿宋" w:eastAsia="仿宋"/>
                <w:szCs w:val="21"/>
              </w:rPr>
              <w:t>4</w:t>
            </w:r>
          </w:p>
        </w:tc>
        <w:tc>
          <w:tcPr>
            <w:tcW w:w="247" w:type="pct"/>
            <w:vMerge w:val="restart"/>
            <w:noWrap w:val="0"/>
            <w:vAlign w:val="center"/>
          </w:tcPr>
          <w:p w14:paraId="0DD13F02">
            <w:pPr>
              <w:jc w:val="center"/>
              <w:rPr>
                <w:rFonts w:ascii="仿宋" w:hAnsi="仿宋" w:eastAsia="仿宋"/>
                <w:szCs w:val="21"/>
              </w:rPr>
            </w:pPr>
            <w:r>
              <w:rPr>
                <w:rFonts w:hint="eastAsia" w:ascii="仿宋" w:hAnsi="仿宋" w:eastAsia="仿宋"/>
                <w:szCs w:val="21"/>
              </w:rPr>
              <w:t>网络与数据安全服务</w:t>
            </w:r>
          </w:p>
        </w:tc>
        <w:tc>
          <w:tcPr>
            <w:tcW w:w="296" w:type="pct"/>
            <w:vMerge w:val="restart"/>
            <w:noWrap w:val="0"/>
            <w:vAlign w:val="center"/>
          </w:tcPr>
          <w:p w14:paraId="0040B1E0">
            <w:pPr>
              <w:jc w:val="center"/>
              <w:rPr>
                <w:rFonts w:ascii="仿宋" w:hAnsi="仿宋" w:eastAsia="仿宋"/>
                <w:szCs w:val="21"/>
              </w:rPr>
            </w:pPr>
            <w:r>
              <w:rPr>
                <w:rFonts w:hint="eastAsia" w:ascii="仿宋" w:hAnsi="仿宋" w:eastAsia="仿宋"/>
                <w:szCs w:val="21"/>
              </w:rPr>
              <w:t>网络安全服务</w:t>
            </w:r>
          </w:p>
        </w:tc>
        <w:tc>
          <w:tcPr>
            <w:tcW w:w="1401" w:type="pct"/>
            <w:vMerge w:val="restart"/>
            <w:noWrap w:val="0"/>
            <w:vAlign w:val="center"/>
          </w:tcPr>
          <w:p w14:paraId="241E773E">
            <w:pPr>
              <w:jc w:val="both"/>
              <w:rPr>
                <w:rFonts w:ascii="仿宋" w:hAnsi="仿宋" w:eastAsia="仿宋"/>
                <w:szCs w:val="21"/>
              </w:rPr>
            </w:pPr>
            <w:r>
              <w:rPr>
                <w:rFonts w:hint="eastAsia" w:ascii="仿宋" w:hAnsi="仿宋" w:eastAsia="仿宋"/>
                <w:szCs w:val="21"/>
              </w:rPr>
              <w:t>依据信息系统网络安全等保测评整改报告中涉及系统存在的问题整改完成情况评价。</w:t>
            </w:r>
          </w:p>
        </w:tc>
        <w:tc>
          <w:tcPr>
            <w:tcW w:w="250" w:type="pct"/>
            <w:vMerge w:val="restart"/>
            <w:noWrap w:val="0"/>
            <w:vAlign w:val="center"/>
          </w:tcPr>
          <w:p w14:paraId="4A1FC052">
            <w:pPr>
              <w:jc w:val="center"/>
              <w:rPr>
                <w:rFonts w:ascii="仿宋" w:hAnsi="仿宋" w:eastAsia="仿宋"/>
                <w:szCs w:val="21"/>
              </w:rPr>
            </w:pPr>
            <w:r>
              <w:rPr>
                <w:rFonts w:ascii="仿宋" w:hAnsi="仿宋" w:eastAsia="仿宋"/>
                <w:szCs w:val="21"/>
              </w:rPr>
              <w:t>5</w:t>
            </w:r>
          </w:p>
        </w:tc>
        <w:tc>
          <w:tcPr>
            <w:tcW w:w="250" w:type="pct"/>
            <w:noWrap w:val="0"/>
            <w:vAlign w:val="center"/>
          </w:tcPr>
          <w:p w14:paraId="26076413">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506DBDF9">
            <w:pPr>
              <w:jc w:val="both"/>
              <w:rPr>
                <w:rFonts w:ascii="仿宋" w:hAnsi="仿宋" w:eastAsia="仿宋"/>
                <w:szCs w:val="21"/>
              </w:rPr>
            </w:pPr>
            <w:r>
              <w:rPr>
                <w:rFonts w:hint="eastAsia" w:ascii="仿宋" w:hAnsi="仿宋" w:eastAsia="仿宋"/>
                <w:szCs w:val="21"/>
              </w:rPr>
              <w:t>1、是否成立技术专班，逐项细致分析问题，且依据整改报告制定整改方案。</w:t>
            </w:r>
          </w:p>
        </w:tc>
      </w:tr>
      <w:tr w14:paraId="53652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49AC776">
            <w:pPr>
              <w:rPr>
                <w:rFonts w:ascii="仿宋" w:hAnsi="仿宋" w:eastAsia="仿宋"/>
                <w:szCs w:val="21"/>
              </w:rPr>
            </w:pPr>
          </w:p>
        </w:tc>
        <w:tc>
          <w:tcPr>
            <w:tcW w:w="247" w:type="pct"/>
            <w:vMerge w:val="continue"/>
            <w:noWrap w:val="0"/>
            <w:vAlign w:val="top"/>
          </w:tcPr>
          <w:p w14:paraId="01F280C5">
            <w:pPr>
              <w:rPr>
                <w:rFonts w:ascii="仿宋" w:hAnsi="仿宋" w:eastAsia="仿宋"/>
                <w:szCs w:val="21"/>
              </w:rPr>
            </w:pPr>
          </w:p>
        </w:tc>
        <w:tc>
          <w:tcPr>
            <w:tcW w:w="296" w:type="pct"/>
            <w:vMerge w:val="continue"/>
            <w:noWrap w:val="0"/>
            <w:vAlign w:val="top"/>
          </w:tcPr>
          <w:p w14:paraId="0283ADBF">
            <w:pPr>
              <w:rPr>
                <w:rFonts w:ascii="仿宋" w:hAnsi="仿宋" w:eastAsia="仿宋"/>
                <w:szCs w:val="21"/>
              </w:rPr>
            </w:pPr>
          </w:p>
        </w:tc>
        <w:tc>
          <w:tcPr>
            <w:tcW w:w="1401" w:type="pct"/>
            <w:vMerge w:val="continue"/>
            <w:noWrap w:val="0"/>
            <w:vAlign w:val="top"/>
          </w:tcPr>
          <w:p w14:paraId="65ABAD4C">
            <w:pPr>
              <w:rPr>
                <w:rFonts w:ascii="仿宋" w:hAnsi="仿宋" w:eastAsia="仿宋"/>
                <w:szCs w:val="21"/>
              </w:rPr>
            </w:pPr>
          </w:p>
        </w:tc>
        <w:tc>
          <w:tcPr>
            <w:tcW w:w="250" w:type="pct"/>
            <w:vMerge w:val="continue"/>
            <w:noWrap w:val="0"/>
            <w:vAlign w:val="top"/>
          </w:tcPr>
          <w:p w14:paraId="6C2E956A">
            <w:pPr>
              <w:rPr>
                <w:rFonts w:ascii="仿宋" w:hAnsi="仿宋" w:eastAsia="仿宋"/>
                <w:szCs w:val="21"/>
              </w:rPr>
            </w:pPr>
          </w:p>
        </w:tc>
        <w:tc>
          <w:tcPr>
            <w:tcW w:w="250" w:type="pct"/>
            <w:noWrap w:val="0"/>
            <w:vAlign w:val="center"/>
          </w:tcPr>
          <w:p w14:paraId="7578C587">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1AA9F8A5">
            <w:pPr>
              <w:jc w:val="both"/>
              <w:rPr>
                <w:rFonts w:ascii="仿宋" w:hAnsi="仿宋" w:eastAsia="仿宋"/>
                <w:szCs w:val="21"/>
              </w:rPr>
            </w:pPr>
            <w:r>
              <w:rPr>
                <w:rFonts w:hint="eastAsia" w:ascii="仿宋" w:hAnsi="仿宋" w:eastAsia="仿宋"/>
                <w:szCs w:val="21"/>
              </w:rPr>
              <w:t>2、整改方案是否及时、有效落实到位。</w:t>
            </w:r>
          </w:p>
        </w:tc>
      </w:tr>
      <w:tr w14:paraId="1F23A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7F9C47F1">
            <w:pPr>
              <w:rPr>
                <w:rFonts w:ascii="仿宋" w:hAnsi="仿宋" w:eastAsia="仿宋"/>
                <w:szCs w:val="21"/>
              </w:rPr>
            </w:pPr>
          </w:p>
        </w:tc>
        <w:tc>
          <w:tcPr>
            <w:tcW w:w="247" w:type="pct"/>
            <w:vMerge w:val="continue"/>
            <w:noWrap w:val="0"/>
            <w:vAlign w:val="top"/>
          </w:tcPr>
          <w:p w14:paraId="5C827D1B">
            <w:pPr>
              <w:rPr>
                <w:rFonts w:ascii="仿宋" w:hAnsi="仿宋" w:eastAsia="仿宋"/>
                <w:szCs w:val="21"/>
              </w:rPr>
            </w:pPr>
          </w:p>
        </w:tc>
        <w:tc>
          <w:tcPr>
            <w:tcW w:w="296" w:type="pct"/>
            <w:vMerge w:val="continue"/>
            <w:noWrap w:val="0"/>
            <w:vAlign w:val="top"/>
          </w:tcPr>
          <w:p w14:paraId="588BBF20">
            <w:pPr>
              <w:rPr>
                <w:rFonts w:ascii="仿宋" w:hAnsi="仿宋" w:eastAsia="仿宋"/>
                <w:szCs w:val="21"/>
              </w:rPr>
            </w:pPr>
          </w:p>
        </w:tc>
        <w:tc>
          <w:tcPr>
            <w:tcW w:w="1401" w:type="pct"/>
            <w:vMerge w:val="continue"/>
            <w:noWrap w:val="0"/>
            <w:vAlign w:val="top"/>
          </w:tcPr>
          <w:p w14:paraId="77EBB199">
            <w:pPr>
              <w:rPr>
                <w:rFonts w:ascii="仿宋" w:hAnsi="仿宋" w:eastAsia="仿宋"/>
                <w:szCs w:val="21"/>
              </w:rPr>
            </w:pPr>
          </w:p>
        </w:tc>
        <w:tc>
          <w:tcPr>
            <w:tcW w:w="250" w:type="pct"/>
            <w:vMerge w:val="continue"/>
            <w:noWrap w:val="0"/>
            <w:vAlign w:val="top"/>
          </w:tcPr>
          <w:p w14:paraId="7B91EFEC">
            <w:pPr>
              <w:rPr>
                <w:rFonts w:ascii="仿宋" w:hAnsi="仿宋" w:eastAsia="仿宋"/>
                <w:szCs w:val="21"/>
              </w:rPr>
            </w:pPr>
          </w:p>
        </w:tc>
        <w:tc>
          <w:tcPr>
            <w:tcW w:w="250" w:type="pct"/>
            <w:noWrap w:val="0"/>
            <w:vAlign w:val="center"/>
          </w:tcPr>
          <w:p w14:paraId="34AEC7B9">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781E4FF8">
            <w:pPr>
              <w:jc w:val="both"/>
              <w:rPr>
                <w:rFonts w:ascii="仿宋" w:hAnsi="仿宋" w:eastAsia="仿宋"/>
                <w:szCs w:val="21"/>
              </w:rPr>
            </w:pPr>
            <w:r>
              <w:rPr>
                <w:rFonts w:hint="eastAsia" w:ascii="仿宋" w:hAnsi="仿宋" w:eastAsia="仿宋"/>
                <w:szCs w:val="21"/>
              </w:rPr>
              <w:t>3、协助医院等保复测达标率≥8</w:t>
            </w:r>
            <w:r>
              <w:rPr>
                <w:rFonts w:ascii="仿宋" w:hAnsi="仿宋" w:eastAsia="仿宋"/>
                <w:szCs w:val="21"/>
              </w:rPr>
              <w:t>0%</w:t>
            </w:r>
            <w:r>
              <w:rPr>
                <w:rFonts w:hint="eastAsia" w:ascii="仿宋" w:hAnsi="仿宋" w:eastAsia="仿宋"/>
                <w:szCs w:val="21"/>
              </w:rPr>
              <w:t>。</w:t>
            </w:r>
          </w:p>
        </w:tc>
      </w:tr>
      <w:tr w14:paraId="1211E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4487E442">
            <w:pPr>
              <w:rPr>
                <w:rFonts w:ascii="仿宋" w:hAnsi="仿宋" w:eastAsia="仿宋"/>
                <w:szCs w:val="21"/>
              </w:rPr>
            </w:pPr>
          </w:p>
        </w:tc>
        <w:tc>
          <w:tcPr>
            <w:tcW w:w="247" w:type="pct"/>
            <w:vMerge w:val="continue"/>
            <w:noWrap w:val="0"/>
            <w:vAlign w:val="top"/>
          </w:tcPr>
          <w:p w14:paraId="205B9F98">
            <w:pPr>
              <w:rPr>
                <w:rFonts w:ascii="仿宋" w:hAnsi="仿宋" w:eastAsia="仿宋"/>
                <w:szCs w:val="21"/>
              </w:rPr>
            </w:pPr>
          </w:p>
        </w:tc>
        <w:tc>
          <w:tcPr>
            <w:tcW w:w="296" w:type="pct"/>
            <w:vMerge w:val="restart"/>
            <w:noWrap w:val="0"/>
            <w:vAlign w:val="center"/>
          </w:tcPr>
          <w:p w14:paraId="4923BB5A">
            <w:pPr>
              <w:jc w:val="center"/>
              <w:rPr>
                <w:rFonts w:ascii="仿宋" w:hAnsi="仿宋" w:eastAsia="仿宋"/>
                <w:szCs w:val="21"/>
              </w:rPr>
            </w:pPr>
            <w:r>
              <w:rPr>
                <w:rFonts w:hint="eastAsia" w:ascii="仿宋" w:hAnsi="仿宋" w:eastAsia="仿宋"/>
                <w:szCs w:val="21"/>
              </w:rPr>
              <w:t>数据安全服务</w:t>
            </w:r>
          </w:p>
        </w:tc>
        <w:tc>
          <w:tcPr>
            <w:tcW w:w="1401" w:type="pct"/>
            <w:vMerge w:val="restart"/>
            <w:noWrap w:val="0"/>
            <w:vAlign w:val="center"/>
          </w:tcPr>
          <w:p w14:paraId="246DBDEA">
            <w:pPr>
              <w:jc w:val="both"/>
              <w:rPr>
                <w:rFonts w:ascii="仿宋" w:hAnsi="仿宋" w:eastAsia="仿宋"/>
                <w:szCs w:val="21"/>
              </w:rPr>
            </w:pPr>
            <w:r>
              <w:rPr>
                <w:rFonts w:hint="eastAsia" w:ascii="仿宋" w:hAnsi="仿宋" w:eastAsia="仿宋"/>
                <w:szCs w:val="21"/>
              </w:rPr>
              <w:t>依据国家相关信息系统数据安全标准，对服务商提供的数据安全服务进行评价。</w:t>
            </w:r>
          </w:p>
        </w:tc>
        <w:tc>
          <w:tcPr>
            <w:tcW w:w="250" w:type="pct"/>
            <w:vMerge w:val="restart"/>
            <w:noWrap w:val="0"/>
            <w:vAlign w:val="center"/>
          </w:tcPr>
          <w:p w14:paraId="12F96806">
            <w:pPr>
              <w:jc w:val="center"/>
              <w:rPr>
                <w:rFonts w:ascii="仿宋" w:hAnsi="仿宋" w:eastAsia="仿宋"/>
                <w:szCs w:val="21"/>
              </w:rPr>
            </w:pPr>
            <w:r>
              <w:rPr>
                <w:rFonts w:ascii="仿宋" w:hAnsi="仿宋" w:eastAsia="仿宋"/>
                <w:szCs w:val="21"/>
              </w:rPr>
              <w:t>3</w:t>
            </w:r>
          </w:p>
        </w:tc>
        <w:tc>
          <w:tcPr>
            <w:tcW w:w="250" w:type="pct"/>
            <w:noWrap w:val="0"/>
            <w:vAlign w:val="center"/>
          </w:tcPr>
          <w:p w14:paraId="3920B758">
            <w:pPr>
              <w:jc w:val="center"/>
              <w:rPr>
                <w:rFonts w:ascii="仿宋" w:hAnsi="仿宋" w:eastAsia="仿宋"/>
                <w:szCs w:val="21"/>
              </w:rPr>
            </w:pPr>
            <w:r>
              <w:rPr>
                <w:rFonts w:ascii="仿宋" w:hAnsi="仿宋" w:eastAsia="仿宋"/>
                <w:szCs w:val="21"/>
              </w:rPr>
              <w:t>1</w:t>
            </w:r>
          </w:p>
        </w:tc>
        <w:tc>
          <w:tcPr>
            <w:tcW w:w="2394" w:type="pct"/>
            <w:noWrap w:val="0"/>
            <w:vAlign w:val="center"/>
          </w:tcPr>
          <w:p w14:paraId="75E50FBC">
            <w:pPr>
              <w:jc w:val="both"/>
              <w:rPr>
                <w:rFonts w:ascii="仿宋" w:hAnsi="仿宋" w:eastAsia="仿宋"/>
                <w:szCs w:val="21"/>
              </w:rPr>
            </w:pPr>
            <w:r>
              <w:rPr>
                <w:rFonts w:hint="eastAsia" w:ascii="仿宋" w:hAnsi="仿宋" w:eastAsia="仿宋"/>
                <w:szCs w:val="21"/>
              </w:rPr>
              <w:t>1、是否为采购人建立数据安全保护机制，提供信息系统数据安全方面合理建议。</w:t>
            </w:r>
          </w:p>
        </w:tc>
      </w:tr>
      <w:tr w14:paraId="70C4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4E91545A">
            <w:pPr>
              <w:rPr>
                <w:rFonts w:ascii="仿宋" w:hAnsi="仿宋" w:eastAsia="仿宋"/>
                <w:szCs w:val="21"/>
              </w:rPr>
            </w:pPr>
          </w:p>
        </w:tc>
        <w:tc>
          <w:tcPr>
            <w:tcW w:w="247" w:type="pct"/>
            <w:vMerge w:val="continue"/>
            <w:noWrap w:val="0"/>
            <w:vAlign w:val="top"/>
          </w:tcPr>
          <w:p w14:paraId="42F8EA33">
            <w:pPr>
              <w:rPr>
                <w:rFonts w:ascii="仿宋" w:hAnsi="仿宋" w:eastAsia="仿宋"/>
                <w:szCs w:val="21"/>
              </w:rPr>
            </w:pPr>
          </w:p>
        </w:tc>
        <w:tc>
          <w:tcPr>
            <w:tcW w:w="296" w:type="pct"/>
            <w:vMerge w:val="continue"/>
            <w:noWrap w:val="0"/>
            <w:vAlign w:val="top"/>
          </w:tcPr>
          <w:p w14:paraId="2259251C">
            <w:pPr>
              <w:rPr>
                <w:rFonts w:ascii="仿宋" w:hAnsi="仿宋" w:eastAsia="仿宋"/>
                <w:szCs w:val="21"/>
              </w:rPr>
            </w:pPr>
          </w:p>
        </w:tc>
        <w:tc>
          <w:tcPr>
            <w:tcW w:w="1401" w:type="pct"/>
            <w:vMerge w:val="continue"/>
            <w:noWrap w:val="0"/>
            <w:vAlign w:val="top"/>
          </w:tcPr>
          <w:p w14:paraId="7300872C">
            <w:pPr>
              <w:rPr>
                <w:rFonts w:ascii="仿宋" w:hAnsi="仿宋" w:eastAsia="仿宋"/>
                <w:szCs w:val="21"/>
              </w:rPr>
            </w:pPr>
          </w:p>
        </w:tc>
        <w:tc>
          <w:tcPr>
            <w:tcW w:w="250" w:type="pct"/>
            <w:vMerge w:val="continue"/>
            <w:noWrap w:val="0"/>
            <w:vAlign w:val="top"/>
          </w:tcPr>
          <w:p w14:paraId="66A0D9DD">
            <w:pPr>
              <w:rPr>
                <w:rFonts w:ascii="仿宋" w:hAnsi="仿宋" w:eastAsia="仿宋"/>
                <w:szCs w:val="21"/>
              </w:rPr>
            </w:pPr>
          </w:p>
        </w:tc>
        <w:tc>
          <w:tcPr>
            <w:tcW w:w="250" w:type="pct"/>
            <w:noWrap w:val="0"/>
            <w:vAlign w:val="center"/>
          </w:tcPr>
          <w:p w14:paraId="5F94756F">
            <w:pPr>
              <w:jc w:val="center"/>
              <w:rPr>
                <w:rFonts w:ascii="仿宋" w:hAnsi="仿宋" w:eastAsia="仿宋"/>
                <w:szCs w:val="21"/>
              </w:rPr>
            </w:pPr>
            <w:r>
              <w:rPr>
                <w:rFonts w:ascii="仿宋" w:hAnsi="仿宋" w:eastAsia="仿宋"/>
                <w:szCs w:val="21"/>
              </w:rPr>
              <w:t>2</w:t>
            </w:r>
          </w:p>
        </w:tc>
        <w:tc>
          <w:tcPr>
            <w:tcW w:w="2394" w:type="pct"/>
            <w:noWrap w:val="0"/>
            <w:vAlign w:val="center"/>
          </w:tcPr>
          <w:p w14:paraId="3D9B4731">
            <w:pPr>
              <w:jc w:val="both"/>
              <w:rPr>
                <w:rFonts w:ascii="仿宋" w:hAnsi="仿宋" w:eastAsia="仿宋"/>
                <w:szCs w:val="21"/>
              </w:rPr>
            </w:pPr>
            <w:r>
              <w:rPr>
                <w:rFonts w:hint="eastAsia" w:ascii="仿宋" w:hAnsi="仿宋" w:eastAsia="仿宋"/>
                <w:szCs w:val="21"/>
              </w:rPr>
              <w:t>2、是否通过技术方案保障采购人数据安全。</w:t>
            </w:r>
          </w:p>
        </w:tc>
      </w:tr>
      <w:tr w14:paraId="238C9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0" w:type="pct"/>
            <w:vMerge w:val="continue"/>
            <w:noWrap w:val="0"/>
            <w:vAlign w:val="top"/>
          </w:tcPr>
          <w:p w14:paraId="14CF36E2">
            <w:pPr>
              <w:rPr>
                <w:rFonts w:ascii="仿宋" w:hAnsi="仿宋" w:eastAsia="仿宋"/>
                <w:szCs w:val="21"/>
              </w:rPr>
            </w:pPr>
          </w:p>
        </w:tc>
        <w:tc>
          <w:tcPr>
            <w:tcW w:w="247" w:type="pct"/>
            <w:vMerge w:val="continue"/>
            <w:noWrap w:val="0"/>
            <w:vAlign w:val="top"/>
          </w:tcPr>
          <w:p w14:paraId="2FDF852F">
            <w:pPr>
              <w:rPr>
                <w:rFonts w:ascii="仿宋" w:hAnsi="仿宋" w:eastAsia="仿宋"/>
                <w:szCs w:val="21"/>
              </w:rPr>
            </w:pPr>
          </w:p>
        </w:tc>
        <w:tc>
          <w:tcPr>
            <w:tcW w:w="296" w:type="pct"/>
            <w:vMerge w:val="restart"/>
            <w:noWrap w:val="0"/>
            <w:vAlign w:val="center"/>
          </w:tcPr>
          <w:p w14:paraId="60EC39C1">
            <w:pPr>
              <w:jc w:val="center"/>
              <w:rPr>
                <w:rFonts w:ascii="仿宋" w:hAnsi="仿宋" w:eastAsia="仿宋"/>
                <w:szCs w:val="21"/>
              </w:rPr>
            </w:pPr>
            <w:r>
              <w:rPr>
                <w:rFonts w:hint="eastAsia" w:ascii="仿宋" w:hAnsi="仿宋" w:eastAsia="仿宋"/>
                <w:szCs w:val="21"/>
              </w:rPr>
              <w:t>数据信息保密</w:t>
            </w:r>
          </w:p>
        </w:tc>
        <w:tc>
          <w:tcPr>
            <w:tcW w:w="1401" w:type="pct"/>
            <w:vMerge w:val="restart"/>
            <w:noWrap w:val="0"/>
            <w:vAlign w:val="center"/>
          </w:tcPr>
          <w:p w14:paraId="46108540">
            <w:pPr>
              <w:jc w:val="both"/>
              <w:rPr>
                <w:rFonts w:ascii="仿宋" w:hAnsi="仿宋" w:eastAsia="仿宋"/>
                <w:szCs w:val="21"/>
              </w:rPr>
            </w:pPr>
            <w:r>
              <w:rPr>
                <w:rFonts w:hint="eastAsia" w:ascii="仿宋" w:hAnsi="仿宋" w:eastAsia="仿宋"/>
                <w:szCs w:val="21"/>
              </w:rPr>
              <w:t>依据国家数据信息保密相关法律法规及保密协议约定的条款，综合对服务商数据信息保密工作进行评价。</w:t>
            </w:r>
          </w:p>
        </w:tc>
        <w:tc>
          <w:tcPr>
            <w:tcW w:w="250" w:type="pct"/>
            <w:vMerge w:val="restart"/>
            <w:noWrap w:val="0"/>
            <w:vAlign w:val="center"/>
          </w:tcPr>
          <w:p w14:paraId="265635EA">
            <w:pPr>
              <w:jc w:val="center"/>
              <w:rPr>
                <w:rFonts w:ascii="仿宋" w:hAnsi="仿宋" w:eastAsia="仿宋"/>
                <w:szCs w:val="21"/>
              </w:rPr>
            </w:pPr>
            <w:r>
              <w:rPr>
                <w:rFonts w:ascii="仿宋" w:hAnsi="仿宋" w:eastAsia="仿宋"/>
                <w:szCs w:val="21"/>
              </w:rPr>
              <w:t>4</w:t>
            </w:r>
          </w:p>
        </w:tc>
        <w:tc>
          <w:tcPr>
            <w:tcW w:w="250" w:type="pct"/>
            <w:noWrap w:val="0"/>
            <w:vAlign w:val="center"/>
          </w:tcPr>
          <w:p w14:paraId="4F52AFA1">
            <w:pPr>
              <w:jc w:val="center"/>
              <w:rPr>
                <w:rFonts w:ascii="仿宋" w:hAnsi="仿宋" w:eastAsia="仿宋"/>
                <w:szCs w:val="21"/>
              </w:rPr>
            </w:pPr>
            <w:r>
              <w:rPr>
                <w:rFonts w:hint="eastAsia" w:ascii="仿宋" w:hAnsi="仿宋" w:eastAsia="仿宋"/>
                <w:szCs w:val="21"/>
              </w:rPr>
              <w:t>0</w:t>
            </w:r>
            <w:r>
              <w:rPr>
                <w:rFonts w:ascii="仿宋" w:hAnsi="仿宋" w:eastAsia="仿宋"/>
                <w:szCs w:val="21"/>
              </w:rPr>
              <w:t>.5</w:t>
            </w:r>
          </w:p>
        </w:tc>
        <w:tc>
          <w:tcPr>
            <w:tcW w:w="2394" w:type="pct"/>
            <w:noWrap w:val="0"/>
            <w:vAlign w:val="center"/>
          </w:tcPr>
          <w:p w14:paraId="612D5BC0">
            <w:pPr>
              <w:jc w:val="both"/>
              <w:rPr>
                <w:rFonts w:ascii="仿宋" w:hAnsi="仿宋" w:eastAsia="仿宋"/>
                <w:szCs w:val="21"/>
              </w:rPr>
            </w:pPr>
            <w:r>
              <w:rPr>
                <w:rFonts w:hint="eastAsia" w:ascii="仿宋" w:hAnsi="仿宋" w:eastAsia="仿宋"/>
                <w:szCs w:val="21"/>
              </w:rPr>
              <w:t>1、服务商是否建立数据信息保密制度或相关保密机制。</w:t>
            </w:r>
          </w:p>
        </w:tc>
      </w:tr>
      <w:tr w14:paraId="70095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6FCE8DCF">
            <w:pPr>
              <w:rPr>
                <w:rFonts w:ascii="仿宋" w:hAnsi="仿宋" w:eastAsia="仿宋"/>
                <w:szCs w:val="21"/>
              </w:rPr>
            </w:pPr>
          </w:p>
        </w:tc>
        <w:tc>
          <w:tcPr>
            <w:tcW w:w="247" w:type="pct"/>
            <w:vMerge w:val="continue"/>
            <w:noWrap w:val="0"/>
            <w:vAlign w:val="top"/>
          </w:tcPr>
          <w:p w14:paraId="51B578AE">
            <w:pPr>
              <w:rPr>
                <w:rFonts w:ascii="仿宋" w:hAnsi="仿宋" w:eastAsia="仿宋"/>
                <w:szCs w:val="21"/>
              </w:rPr>
            </w:pPr>
          </w:p>
        </w:tc>
        <w:tc>
          <w:tcPr>
            <w:tcW w:w="296" w:type="pct"/>
            <w:vMerge w:val="continue"/>
            <w:noWrap w:val="0"/>
            <w:vAlign w:val="top"/>
          </w:tcPr>
          <w:p w14:paraId="17895EE0">
            <w:pPr>
              <w:rPr>
                <w:rFonts w:ascii="仿宋" w:hAnsi="仿宋" w:eastAsia="仿宋"/>
                <w:szCs w:val="21"/>
              </w:rPr>
            </w:pPr>
          </w:p>
        </w:tc>
        <w:tc>
          <w:tcPr>
            <w:tcW w:w="1401" w:type="pct"/>
            <w:vMerge w:val="continue"/>
            <w:noWrap w:val="0"/>
            <w:vAlign w:val="top"/>
          </w:tcPr>
          <w:p w14:paraId="51F221C7">
            <w:pPr>
              <w:rPr>
                <w:rFonts w:ascii="仿宋" w:hAnsi="仿宋" w:eastAsia="仿宋"/>
                <w:szCs w:val="21"/>
              </w:rPr>
            </w:pPr>
          </w:p>
        </w:tc>
        <w:tc>
          <w:tcPr>
            <w:tcW w:w="250" w:type="pct"/>
            <w:vMerge w:val="continue"/>
            <w:noWrap w:val="0"/>
            <w:vAlign w:val="top"/>
          </w:tcPr>
          <w:p w14:paraId="01B6664E">
            <w:pPr>
              <w:rPr>
                <w:rFonts w:ascii="仿宋" w:hAnsi="仿宋" w:eastAsia="仿宋"/>
                <w:szCs w:val="21"/>
              </w:rPr>
            </w:pPr>
          </w:p>
        </w:tc>
        <w:tc>
          <w:tcPr>
            <w:tcW w:w="250" w:type="pct"/>
            <w:noWrap w:val="0"/>
            <w:vAlign w:val="center"/>
          </w:tcPr>
          <w:p w14:paraId="42390154">
            <w:pPr>
              <w:jc w:val="center"/>
              <w:rPr>
                <w:rFonts w:ascii="仿宋" w:hAnsi="仿宋" w:eastAsia="仿宋"/>
                <w:szCs w:val="21"/>
              </w:rPr>
            </w:pPr>
            <w:r>
              <w:rPr>
                <w:rFonts w:ascii="仿宋" w:hAnsi="仿宋" w:eastAsia="仿宋"/>
                <w:szCs w:val="21"/>
              </w:rPr>
              <w:t>1</w:t>
            </w:r>
          </w:p>
        </w:tc>
        <w:tc>
          <w:tcPr>
            <w:tcW w:w="2394" w:type="pct"/>
            <w:noWrap w:val="0"/>
            <w:vAlign w:val="center"/>
          </w:tcPr>
          <w:p w14:paraId="7C6C1629">
            <w:pPr>
              <w:jc w:val="both"/>
              <w:rPr>
                <w:rFonts w:ascii="仿宋" w:hAnsi="仿宋" w:eastAsia="仿宋"/>
                <w:szCs w:val="21"/>
              </w:rPr>
            </w:pPr>
            <w:r>
              <w:rPr>
                <w:rFonts w:hint="eastAsia" w:ascii="仿宋" w:hAnsi="仿宋" w:eastAsia="仿宋"/>
                <w:szCs w:val="21"/>
              </w:rPr>
              <w:t>2、服务商与采购人是否签定保密协议。</w:t>
            </w:r>
          </w:p>
        </w:tc>
      </w:tr>
      <w:tr w14:paraId="2C62F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394A316E">
            <w:pPr>
              <w:rPr>
                <w:rFonts w:ascii="仿宋" w:hAnsi="仿宋" w:eastAsia="仿宋"/>
                <w:szCs w:val="21"/>
              </w:rPr>
            </w:pPr>
          </w:p>
        </w:tc>
        <w:tc>
          <w:tcPr>
            <w:tcW w:w="247" w:type="pct"/>
            <w:vMerge w:val="continue"/>
            <w:noWrap w:val="0"/>
            <w:vAlign w:val="top"/>
          </w:tcPr>
          <w:p w14:paraId="7C80F5C5">
            <w:pPr>
              <w:rPr>
                <w:rFonts w:ascii="仿宋" w:hAnsi="仿宋" w:eastAsia="仿宋"/>
                <w:szCs w:val="21"/>
              </w:rPr>
            </w:pPr>
          </w:p>
        </w:tc>
        <w:tc>
          <w:tcPr>
            <w:tcW w:w="296" w:type="pct"/>
            <w:vMerge w:val="continue"/>
            <w:noWrap w:val="0"/>
            <w:vAlign w:val="top"/>
          </w:tcPr>
          <w:p w14:paraId="2261DE12">
            <w:pPr>
              <w:rPr>
                <w:rFonts w:ascii="仿宋" w:hAnsi="仿宋" w:eastAsia="仿宋"/>
                <w:szCs w:val="21"/>
              </w:rPr>
            </w:pPr>
          </w:p>
        </w:tc>
        <w:tc>
          <w:tcPr>
            <w:tcW w:w="1401" w:type="pct"/>
            <w:vMerge w:val="continue"/>
            <w:noWrap w:val="0"/>
            <w:vAlign w:val="top"/>
          </w:tcPr>
          <w:p w14:paraId="1AA5504D">
            <w:pPr>
              <w:rPr>
                <w:rFonts w:ascii="仿宋" w:hAnsi="仿宋" w:eastAsia="仿宋"/>
                <w:szCs w:val="21"/>
              </w:rPr>
            </w:pPr>
          </w:p>
        </w:tc>
        <w:tc>
          <w:tcPr>
            <w:tcW w:w="250" w:type="pct"/>
            <w:vMerge w:val="continue"/>
            <w:noWrap w:val="0"/>
            <w:vAlign w:val="top"/>
          </w:tcPr>
          <w:p w14:paraId="0BC12A25">
            <w:pPr>
              <w:rPr>
                <w:rFonts w:ascii="仿宋" w:hAnsi="仿宋" w:eastAsia="仿宋"/>
                <w:szCs w:val="21"/>
              </w:rPr>
            </w:pPr>
          </w:p>
        </w:tc>
        <w:tc>
          <w:tcPr>
            <w:tcW w:w="250" w:type="pct"/>
            <w:noWrap w:val="0"/>
            <w:vAlign w:val="center"/>
          </w:tcPr>
          <w:p w14:paraId="7FB22308">
            <w:pPr>
              <w:jc w:val="center"/>
              <w:rPr>
                <w:rFonts w:ascii="仿宋" w:hAnsi="仿宋" w:eastAsia="仿宋"/>
                <w:szCs w:val="21"/>
              </w:rPr>
            </w:pPr>
            <w:r>
              <w:rPr>
                <w:rFonts w:hint="eastAsia" w:ascii="仿宋" w:hAnsi="仿宋" w:eastAsia="仿宋"/>
                <w:szCs w:val="21"/>
              </w:rPr>
              <w:t>1</w:t>
            </w:r>
          </w:p>
        </w:tc>
        <w:tc>
          <w:tcPr>
            <w:tcW w:w="2394" w:type="pct"/>
            <w:noWrap w:val="0"/>
            <w:vAlign w:val="center"/>
          </w:tcPr>
          <w:p w14:paraId="62B80236">
            <w:pPr>
              <w:jc w:val="both"/>
              <w:rPr>
                <w:rFonts w:ascii="仿宋" w:hAnsi="仿宋" w:eastAsia="仿宋"/>
                <w:szCs w:val="21"/>
              </w:rPr>
            </w:pPr>
            <w:r>
              <w:rPr>
                <w:rFonts w:hint="eastAsia" w:ascii="仿宋" w:hAnsi="仿宋" w:eastAsia="仿宋"/>
                <w:szCs w:val="21"/>
              </w:rPr>
              <w:t>3、服务商是否与服务人员签定保密协议，且制定相关绩效考核制度。</w:t>
            </w:r>
          </w:p>
        </w:tc>
      </w:tr>
      <w:tr w14:paraId="6F5E8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535A0458">
            <w:pPr>
              <w:rPr>
                <w:rFonts w:ascii="仿宋" w:hAnsi="仿宋" w:eastAsia="仿宋"/>
                <w:szCs w:val="21"/>
              </w:rPr>
            </w:pPr>
          </w:p>
        </w:tc>
        <w:tc>
          <w:tcPr>
            <w:tcW w:w="247" w:type="pct"/>
            <w:vMerge w:val="continue"/>
            <w:noWrap w:val="0"/>
            <w:vAlign w:val="top"/>
          </w:tcPr>
          <w:p w14:paraId="02E8AF0E">
            <w:pPr>
              <w:rPr>
                <w:rFonts w:ascii="仿宋" w:hAnsi="仿宋" w:eastAsia="仿宋"/>
                <w:szCs w:val="21"/>
              </w:rPr>
            </w:pPr>
          </w:p>
        </w:tc>
        <w:tc>
          <w:tcPr>
            <w:tcW w:w="296" w:type="pct"/>
            <w:vMerge w:val="continue"/>
            <w:noWrap w:val="0"/>
            <w:vAlign w:val="top"/>
          </w:tcPr>
          <w:p w14:paraId="79388E47">
            <w:pPr>
              <w:rPr>
                <w:rFonts w:ascii="仿宋" w:hAnsi="仿宋" w:eastAsia="仿宋"/>
                <w:szCs w:val="21"/>
              </w:rPr>
            </w:pPr>
          </w:p>
        </w:tc>
        <w:tc>
          <w:tcPr>
            <w:tcW w:w="1401" w:type="pct"/>
            <w:vMerge w:val="continue"/>
            <w:noWrap w:val="0"/>
            <w:vAlign w:val="top"/>
          </w:tcPr>
          <w:p w14:paraId="5CB755D8">
            <w:pPr>
              <w:rPr>
                <w:rFonts w:ascii="仿宋" w:hAnsi="仿宋" w:eastAsia="仿宋"/>
                <w:szCs w:val="21"/>
              </w:rPr>
            </w:pPr>
          </w:p>
        </w:tc>
        <w:tc>
          <w:tcPr>
            <w:tcW w:w="250" w:type="pct"/>
            <w:vMerge w:val="continue"/>
            <w:noWrap w:val="0"/>
            <w:vAlign w:val="top"/>
          </w:tcPr>
          <w:p w14:paraId="350B4C63">
            <w:pPr>
              <w:rPr>
                <w:rFonts w:ascii="仿宋" w:hAnsi="仿宋" w:eastAsia="仿宋"/>
                <w:szCs w:val="21"/>
              </w:rPr>
            </w:pPr>
          </w:p>
        </w:tc>
        <w:tc>
          <w:tcPr>
            <w:tcW w:w="250" w:type="pct"/>
            <w:noWrap w:val="0"/>
            <w:vAlign w:val="center"/>
          </w:tcPr>
          <w:p w14:paraId="42EB4AC6">
            <w:pPr>
              <w:jc w:val="center"/>
              <w:rPr>
                <w:rFonts w:ascii="仿宋" w:hAnsi="仿宋" w:eastAsia="仿宋"/>
                <w:szCs w:val="21"/>
              </w:rPr>
            </w:pPr>
            <w:r>
              <w:rPr>
                <w:rFonts w:hint="eastAsia" w:ascii="仿宋" w:hAnsi="仿宋" w:eastAsia="仿宋"/>
                <w:szCs w:val="21"/>
              </w:rPr>
              <w:t>1</w:t>
            </w:r>
            <w:r>
              <w:rPr>
                <w:rFonts w:ascii="仿宋" w:hAnsi="仿宋" w:eastAsia="仿宋"/>
                <w:szCs w:val="21"/>
              </w:rPr>
              <w:t>.5</w:t>
            </w:r>
          </w:p>
        </w:tc>
        <w:tc>
          <w:tcPr>
            <w:tcW w:w="2394" w:type="pct"/>
            <w:noWrap w:val="0"/>
            <w:vAlign w:val="center"/>
          </w:tcPr>
          <w:p w14:paraId="3F58A0B2">
            <w:pPr>
              <w:jc w:val="both"/>
              <w:rPr>
                <w:rFonts w:ascii="仿宋" w:hAnsi="仿宋" w:eastAsia="仿宋"/>
                <w:szCs w:val="21"/>
              </w:rPr>
            </w:pPr>
            <w:r>
              <w:rPr>
                <w:rFonts w:hint="eastAsia" w:ascii="仿宋" w:hAnsi="仿宋" w:eastAsia="仿宋"/>
                <w:szCs w:val="21"/>
              </w:rPr>
              <w:t>4、保密协议期内是否存在信息泄露事件，如发生重大泄密事件，除根据协议追究服务商法律责任外，数据信息保密项目所有分值扣除。</w:t>
            </w:r>
          </w:p>
        </w:tc>
      </w:tr>
      <w:tr w14:paraId="7F026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restart"/>
            <w:noWrap w:val="0"/>
            <w:vAlign w:val="center"/>
          </w:tcPr>
          <w:p w14:paraId="0C13A398">
            <w:pPr>
              <w:jc w:val="center"/>
              <w:rPr>
                <w:rFonts w:ascii="仿宋" w:hAnsi="仿宋" w:eastAsia="仿宋"/>
                <w:szCs w:val="21"/>
              </w:rPr>
            </w:pPr>
            <w:r>
              <w:rPr>
                <w:rFonts w:hint="eastAsia" w:ascii="仿宋" w:hAnsi="仿宋" w:eastAsia="仿宋"/>
                <w:szCs w:val="21"/>
              </w:rPr>
              <w:t>5</w:t>
            </w:r>
          </w:p>
        </w:tc>
        <w:tc>
          <w:tcPr>
            <w:tcW w:w="543" w:type="pct"/>
            <w:gridSpan w:val="2"/>
            <w:vMerge w:val="restart"/>
            <w:noWrap w:val="0"/>
            <w:vAlign w:val="center"/>
          </w:tcPr>
          <w:p w14:paraId="2026EF0E">
            <w:pPr>
              <w:jc w:val="center"/>
              <w:rPr>
                <w:rFonts w:ascii="仿宋" w:hAnsi="仿宋" w:eastAsia="仿宋"/>
                <w:szCs w:val="21"/>
              </w:rPr>
            </w:pPr>
            <w:r>
              <w:rPr>
                <w:rFonts w:hint="eastAsia" w:ascii="仿宋" w:hAnsi="仿宋" w:eastAsia="仿宋"/>
                <w:szCs w:val="21"/>
              </w:rPr>
              <w:t>培训服务</w:t>
            </w:r>
          </w:p>
        </w:tc>
        <w:tc>
          <w:tcPr>
            <w:tcW w:w="1401" w:type="pct"/>
            <w:vMerge w:val="restart"/>
            <w:noWrap w:val="0"/>
            <w:vAlign w:val="center"/>
          </w:tcPr>
          <w:p w14:paraId="2462C6B4">
            <w:pPr>
              <w:jc w:val="both"/>
              <w:rPr>
                <w:rFonts w:ascii="仿宋" w:hAnsi="仿宋" w:eastAsia="仿宋"/>
                <w:szCs w:val="21"/>
              </w:rPr>
            </w:pPr>
            <w:r>
              <w:rPr>
                <w:rFonts w:hint="eastAsia" w:ascii="仿宋" w:hAnsi="仿宋" w:eastAsia="仿宋"/>
                <w:szCs w:val="21"/>
              </w:rPr>
              <w:t>依据服务采购合同，评价服务商在服务期内提供的培训服务质量。</w:t>
            </w:r>
          </w:p>
        </w:tc>
        <w:tc>
          <w:tcPr>
            <w:tcW w:w="250" w:type="pct"/>
            <w:vMerge w:val="restart"/>
            <w:noWrap w:val="0"/>
            <w:vAlign w:val="center"/>
          </w:tcPr>
          <w:p w14:paraId="0635906D">
            <w:pPr>
              <w:jc w:val="center"/>
              <w:rPr>
                <w:rFonts w:ascii="仿宋" w:hAnsi="仿宋" w:eastAsia="仿宋"/>
                <w:szCs w:val="21"/>
              </w:rPr>
            </w:pPr>
            <w:r>
              <w:rPr>
                <w:rFonts w:hint="eastAsia" w:ascii="仿宋" w:hAnsi="仿宋" w:eastAsia="仿宋"/>
                <w:szCs w:val="21"/>
              </w:rPr>
              <w:t>5</w:t>
            </w:r>
          </w:p>
        </w:tc>
        <w:tc>
          <w:tcPr>
            <w:tcW w:w="250" w:type="pct"/>
            <w:noWrap w:val="0"/>
            <w:vAlign w:val="center"/>
          </w:tcPr>
          <w:p w14:paraId="2C19924C">
            <w:pPr>
              <w:jc w:val="center"/>
              <w:rPr>
                <w:rFonts w:ascii="仿宋" w:hAnsi="仿宋" w:eastAsia="仿宋"/>
                <w:szCs w:val="21"/>
              </w:rPr>
            </w:pPr>
            <w:r>
              <w:rPr>
                <w:rFonts w:hint="eastAsia" w:ascii="仿宋" w:hAnsi="仿宋" w:eastAsia="仿宋"/>
                <w:szCs w:val="21"/>
              </w:rPr>
              <w:t>2</w:t>
            </w:r>
          </w:p>
        </w:tc>
        <w:tc>
          <w:tcPr>
            <w:tcW w:w="2394" w:type="pct"/>
            <w:noWrap w:val="0"/>
            <w:vAlign w:val="center"/>
          </w:tcPr>
          <w:p w14:paraId="095A3860">
            <w:pPr>
              <w:jc w:val="both"/>
              <w:rPr>
                <w:rFonts w:ascii="仿宋" w:hAnsi="仿宋" w:eastAsia="仿宋"/>
                <w:szCs w:val="21"/>
              </w:rPr>
            </w:pPr>
            <w:r>
              <w:rPr>
                <w:rFonts w:hint="eastAsia" w:ascii="仿宋" w:hAnsi="仿宋" w:eastAsia="仿宋"/>
                <w:szCs w:val="21"/>
              </w:rPr>
              <w:t>1、依据合同是否制定的培训计划。</w:t>
            </w:r>
          </w:p>
        </w:tc>
      </w:tr>
      <w:tr w14:paraId="34687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vMerge w:val="continue"/>
            <w:noWrap w:val="0"/>
            <w:vAlign w:val="top"/>
          </w:tcPr>
          <w:p w14:paraId="15241208">
            <w:pPr>
              <w:rPr>
                <w:rFonts w:ascii="仿宋" w:hAnsi="仿宋" w:eastAsia="仿宋"/>
                <w:szCs w:val="21"/>
              </w:rPr>
            </w:pPr>
          </w:p>
        </w:tc>
        <w:tc>
          <w:tcPr>
            <w:tcW w:w="543" w:type="pct"/>
            <w:gridSpan w:val="2"/>
            <w:vMerge w:val="continue"/>
            <w:noWrap w:val="0"/>
            <w:vAlign w:val="top"/>
          </w:tcPr>
          <w:p w14:paraId="3C63D16F">
            <w:pPr>
              <w:rPr>
                <w:rFonts w:ascii="仿宋" w:hAnsi="仿宋" w:eastAsia="仿宋"/>
                <w:szCs w:val="21"/>
              </w:rPr>
            </w:pPr>
          </w:p>
        </w:tc>
        <w:tc>
          <w:tcPr>
            <w:tcW w:w="1401" w:type="pct"/>
            <w:vMerge w:val="continue"/>
            <w:noWrap w:val="0"/>
            <w:vAlign w:val="top"/>
          </w:tcPr>
          <w:p w14:paraId="62AF9AD1">
            <w:pPr>
              <w:rPr>
                <w:rFonts w:ascii="仿宋" w:hAnsi="仿宋" w:eastAsia="仿宋"/>
                <w:szCs w:val="21"/>
              </w:rPr>
            </w:pPr>
          </w:p>
        </w:tc>
        <w:tc>
          <w:tcPr>
            <w:tcW w:w="250" w:type="pct"/>
            <w:vMerge w:val="continue"/>
            <w:noWrap w:val="0"/>
            <w:vAlign w:val="top"/>
          </w:tcPr>
          <w:p w14:paraId="17FD5935">
            <w:pPr>
              <w:rPr>
                <w:rFonts w:ascii="仿宋" w:hAnsi="仿宋" w:eastAsia="仿宋"/>
                <w:szCs w:val="21"/>
              </w:rPr>
            </w:pPr>
          </w:p>
        </w:tc>
        <w:tc>
          <w:tcPr>
            <w:tcW w:w="250" w:type="pct"/>
            <w:noWrap w:val="0"/>
            <w:vAlign w:val="center"/>
          </w:tcPr>
          <w:p w14:paraId="35C66125">
            <w:pPr>
              <w:jc w:val="center"/>
              <w:rPr>
                <w:rFonts w:ascii="仿宋" w:hAnsi="仿宋" w:eastAsia="仿宋"/>
                <w:szCs w:val="21"/>
              </w:rPr>
            </w:pPr>
            <w:r>
              <w:rPr>
                <w:rFonts w:hint="eastAsia" w:ascii="仿宋" w:hAnsi="仿宋" w:eastAsia="仿宋"/>
                <w:szCs w:val="21"/>
              </w:rPr>
              <w:t>3</w:t>
            </w:r>
          </w:p>
        </w:tc>
        <w:tc>
          <w:tcPr>
            <w:tcW w:w="2394" w:type="pct"/>
            <w:noWrap w:val="0"/>
            <w:vAlign w:val="center"/>
          </w:tcPr>
          <w:p w14:paraId="731D91BC">
            <w:pPr>
              <w:jc w:val="both"/>
              <w:rPr>
                <w:rFonts w:ascii="仿宋" w:hAnsi="仿宋" w:eastAsia="仿宋"/>
                <w:szCs w:val="21"/>
              </w:rPr>
            </w:pPr>
            <w:r>
              <w:rPr>
                <w:rFonts w:hint="eastAsia" w:ascii="仿宋" w:hAnsi="仿宋" w:eastAsia="仿宋"/>
                <w:szCs w:val="21"/>
              </w:rPr>
              <w:t>2、培训计划落实情况，少一次扣【</w:t>
            </w:r>
            <w:r>
              <w:rPr>
                <w:rFonts w:ascii="仿宋" w:hAnsi="仿宋" w:eastAsia="仿宋"/>
                <w:szCs w:val="21"/>
              </w:rPr>
              <w:t>1</w:t>
            </w:r>
            <w:r>
              <w:rPr>
                <w:rFonts w:hint="eastAsia" w:ascii="仿宋" w:hAnsi="仿宋" w:eastAsia="仿宋"/>
                <w:szCs w:val="21"/>
              </w:rPr>
              <w:t>】分/次。</w:t>
            </w:r>
          </w:p>
        </w:tc>
      </w:tr>
      <w:tr w14:paraId="1F4E4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noWrap w:val="0"/>
            <w:vAlign w:val="center"/>
          </w:tcPr>
          <w:p w14:paraId="2BC9272C">
            <w:pPr>
              <w:jc w:val="center"/>
              <w:rPr>
                <w:rFonts w:ascii="仿宋" w:hAnsi="仿宋" w:eastAsia="仿宋"/>
                <w:szCs w:val="21"/>
              </w:rPr>
            </w:pPr>
            <w:r>
              <w:rPr>
                <w:rFonts w:hint="eastAsia" w:ascii="仿宋" w:hAnsi="仿宋" w:eastAsia="仿宋"/>
                <w:szCs w:val="21"/>
              </w:rPr>
              <w:t>6</w:t>
            </w:r>
          </w:p>
        </w:tc>
        <w:tc>
          <w:tcPr>
            <w:tcW w:w="543" w:type="pct"/>
            <w:gridSpan w:val="2"/>
            <w:noWrap w:val="0"/>
            <w:vAlign w:val="center"/>
          </w:tcPr>
          <w:p w14:paraId="648F4433">
            <w:pPr>
              <w:jc w:val="center"/>
              <w:rPr>
                <w:rFonts w:ascii="仿宋" w:hAnsi="仿宋" w:eastAsia="仿宋"/>
                <w:szCs w:val="21"/>
              </w:rPr>
            </w:pPr>
            <w:r>
              <w:rPr>
                <w:rFonts w:hint="eastAsia" w:ascii="仿宋" w:hAnsi="仿宋" w:eastAsia="仿宋"/>
                <w:szCs w:val="21"/>
              </w:rPr>
              <w:t>配套设备运维服务</w:t>
            </w:r>
          </w:p>
        </w:tc>
        <w:tc>
          <w:tcPr>
            <w:tcW w:w="1401" w:type="pct"/>
            <w:noWrap w:val="0"/>
            <w:vAlign w:val="center"/>
          </w:tcPr>
          <w:p w14:paraId="7B152165">
            <w:pPr>
              <w:jc w:val="both"/>
              <w:rPr>
                <w:rFonts w:ascii="仿宋" w:hAnsi="仿宋" w:eastAsia="仿宋"/>
                <w:szCs w:val="21"/>
              </w:rPr>
            </w:pPr>
            <w:r>
              <w:rPr>
                <w:rFonts w:hint="eastAsia" w:ascii="仿宋" w:hAnsi="仿宋" w:eastAsia="仿宋"/>
                <w:szCs w:val="21"/>
              </w:rPr>
              <w:t>依据服务采购合同，服务商对信息系统配套设备提供的运维服务完成情况进行评价。</w:t>
            </w:r>
          </w:p>
        </w:tc>
        <w:tc>
          <w:tcPr>
            <w:tcW w:w="250" w:type="pct"/>
            <w:noWrap w:val="0"/>
            <w:vAlign w:val="center"/>
          </w:tcPr>
          <w:p w14:paraId="7AE1C3F0">
            <w:pPr>
              <w:jc w:val="center"/>
              <w:rPr>
                <w:rFonts w:ascii="仿宋" w:hAnsi="仿宋" w:eastAsia="仿宋"/>
                <w:szCs w:val="21"/>
              </w:rPr>
            </w:pPr>
            <w:r>
              <w:rPr>
                <w:rFonts w:hint="eastAsia" w:ascii="仿宋" w:hAnsi="仿宋" w:eastAsia="仿宋"/>
                <w:szCs w:val="21"/>
              </w:rPr>
              <w:t>3</w:t>
            </w:r>
          </w:p>
        </w:tc>
        <w:tc>
          <w:tcPr>
            <w:tcW w:w="250" w:type="pct"/>
            <w:noWrap w:val="0"/>
            <w:vAlign w:val="center"/>
          </w:tcPr>
          <w:p w14:paraId="4C8D9A9E">
            <w:pPr>
              <w:jc w:val="center"/>
              <w:rPr>
                <w:rFonts w:ascii="仿宋" w:hAnsi="仿宋" w:eastAsia="仿宋"/>
                <w:szCs w:val="21"/>
              </w:rPr>
            </w:pPr>
            <w:r>
              <w:rPr>
                <w:rFonts w:hint="eastAsia" w:ascii="仿宋" w:hAnsi="仿宋" w:eastAsia="仿宋"/>
                <w:szCs w:val="21"/>
              </w:rPr>
              <w:t>3</w:t>
            </w:r>
          </w:p>
        </w:tc>
        <w:tc>
          <w:tcPr>
            <w:tcW w:w="2394" w:type="pct"/>
            <w:noWrap w:val="0"/>
            <w:vAlign w:val="center"/>
          </w:tcPr>
          <w:p w14:paraId="14D916F1">
            <w:pPr>
              <w:pStyle w:val="11"/>
              <w:widowControl w:val="0"/>
              <w:numPr>
                <w:ilvl w:val="0"/>
                <w:numId w:val="1"/>
              </w:numPr>
              <w:ind w:firstLineChars="0"/>
              <w:jc w:val="both"/>
              <w:rPr>
                <w:rFonts w:ascii="仿宋" w:hAnsi="仿宋" w:eastAsia="仿宋"/>
                <w:szCs w:val="21"/>
              </w:rPr>
            </w:pPr>
            <w:r>
              <w:rPr>
                <w:rFonts w:hint="eastAsia" w:ascii="仿宋" w:hAnsi="仿宋" w:eastAsia="仿宋"/>
                <w:szCs w:val="21"/>
              </w:rPr>
              <w:t>服务商是否依据服务采购合同对信息系统配套设备提供的运维服务，且工作记录完整。</w:t>
            </w:r>
          </w:p>
          <w:p w14:paraId="54E808F0">
            <w:pPr>
              <w:pStyle w:val="11"/>
              <w:widowControl w:val="0"/>
              <w:numPr>
                <w:ilvl w:val="0"/>
                <w:numId w:val="1"/>
              </w:numPr>
              <w:ind w:firstLineChars="0"/>
              <w:jc w:val="both"/>
              <w:rPr>
                <w:rFonts w:ascii="仿宋" w:hAnsi="仿宋" w:eastAsia="仿宋"/>
                <w:szCs w:val="21"/>
              </w:rPr>
            </w:pPr>
            <w:r>
              <w:rPr>
                <w:rFonts w:hint="eastAsia" w:ascii="仿宋" w:hAnsi="仿宋" w:eastAsia="仿宋"/>
                <w:szCs w:val="21"/>
              </w:rPr>
              <w:t>服务期内设备无重大故障。</w:t>
            </w:r>
          </w:p>
        </w:tc>
      </w:tr>
      <w:tr w14:paraId="26405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noWrap w:val="0"/>
            <w:vAlign w:val="center"/>
          </w:tcPr>
          <w:p w14:paraId="15421568">
            <w:pPr>
              <w:jc w:val="center"/>
              <w:rPr>
                <w:rFonts w:ascii="仿宋" w:hAnsi="仿宋" w:eastAsia="仿宋"/>
                <w:szCs w:val="21"/>
              </w:rPr>
            </w:pPr>
            <w:r>
              <w:rPr>
                <w:rFonts w:hint="eastAsia" w:ascii="仿宋" w:hAnsi="仿宋" w:eastAsia="仿宋"/>
                <w:szCs w:val="21"/>
              </w:rPr>
              <w:t>7</w:t>
            </w:r>
          </w:p>
        </w:tc>
        <w:tc>
          <w:tcPr>
            <w:tcW w:w="543" w:type="pct"/>
            <w:gridSpan w:val="2"/>
            <w:noWrap w:val="0"/>
            <w:vAlign w:val="center"/>
          </w:tcPr>
          <w:p w14:paraId="68EBF05F">
            <w:pPr>
              <w:jc w:val="center"/>
              <w:rPr>
                <w:rFonts w:ascii="仿宋" w:hAnsi="仿宋" w:eastAsia="仿宋"/>
                <w:szCs w:val="21"/>
              </w:rPr>
            </w:pPr>
            <w:r>
              <w:rPr>
                <w:rFonts w:hint="eastAsia" w:ascii="仿宋" w:hAnsi="仿宋" w:eastAsia="仿宋"/>
                <w:szCs w:val="21"/>
              </w:rPr>
              <w:t>服务满意度</w:t>
            </w:r>
          </w:p>
        </w:tc>
        <w:tc>
          <w:tcPr>
            <w:tcW w:w="1401" w:type="pct"/>
            <w:noWrap w:val="0"/>
            <w:vAlign w:val="top"/>
          </w:tcPr>
          <w:p w14:paraId="2E7E9303">
            <w:pPr>
              <w:rPr>
                <w:rFonts w:ascii="仿宋" w:hAnsi="仿宋" w:eastAsia="仿宋"/>
                <w:szCs w:val="21"/>
              </w:rPr>
            </w:pPr>
            <w:r>
              <w:rPr>
                <w:rFonts w:hint="eastAsia" w:ascii="仿宋" w:hAnsi="仿宋" w:eastAsia="仿宋"/>
                <w:szCs w:val="21"/>
              </w:rPr>
              <w:t>依据采购人对服务商服务满意度调查表情况评价。</w:t>
            </w:r>
          </w:p>
        </w:tc>
        <w:tc>
          <w:tcPr>
            <w:tcW w:w="250" w:type="pct"/>
            <w:noWrap w:val="0"/>
            <w:vAlign w:val="center"/>
          </w:tcPr>
          <w:p w14:paraId="6FE1647C">
            <w:pPr>
              <w:jc w:val="center"/>
              <w:rPr>
                <w:rFonts w:ascii="仿宋" w:hAnsi="仿宋" w:eastAsia="仿宋"/>
                <w:szCs w:val="21"/>
              </w:rPr>
            </w:pPr>
            <w:r>
              <w:rPr>
                <w:rFonts w:ascii="仿宋" w:hAnsi="仿宋" w:eastAsia="仿宋"/>
                <w:szCs w:val="21"/>
              </w:rPr>
              <w:t>5</w:t>
            </w:r>
          </w:p>
        </w:tc>
        <w:tc>
          <w:tcPr>
            <w:tcW w:w="250" w:type="pct"/>
            <w:noWrap w:val="0"/>
            <w:vAlign w:val="center"/>
          </w:tcPr>
          <w:p w14:paraId="55686BAF">
            <w:pPr>
              <w:jc w:val="center"/>
              <w:rPr>
                <w:rFonts w:ascii="仿宋" w:hAnsi="仿宋" w:eastAsia="仿宋"/>
                <w:szCs w:val="21"/>
              </w:rPr>
            </w:pPr>
            <w:r>
              <w:rPr>
                <w:rFonts w:hint="eastAsia" w:ascii="仿宋" w:hAnsi="仿宋" w:eastAsia="仿宋"/>
                <w:szCs w:val="21"/>
              </w:rPr>
              <w:t>5</w:t>
            </w:r>
          </w:p>
        </w:tc>
        <w:tc>
          <w:tcPr>
            <w:tcW w:w="2394" w:type="pct"/>
            <w:noWrap w:val="0"/>
            <w:vAlign w:val="center"/>
          </w:tcPr>
          <w:p w14:paraId="42A84AFD">
            <w:pPr>
              <w:pStyle w:val="11"/>
              <w:widowControl w:val="0"/>
              <w:numPr>
                <w:ilvl w:val="0"/>
                <w:numId w:val="2"/>
              </w:numPr>
              <w:ind w:firstLineChars="0"/>
              <w:jc w:val="both"/>
              <w:rPr>
                <w:rFonts w:ascii="仿宋" w:hAnsi="仿宋" w:eastAsia="仿宋"/>
                <w:szCs w:val="21"/>
              </w:rPr>
            </w:pPr>
            <w:r>
              <w:rPr>
                <w:rFonts w:hint="eastAsia" w:ascii="仿宋" w:hAnsi="仿宋" w:eastAsia="仿宋"/>
                <w:szCs w:val="21"/>
              </w:rPr>
              <w:t>服务满意度≥9</w:t>
            </w:r>
            <w:r>
              <w:rPr>
                <w:rFonts w:ascii="仿宋" w:hAnsi="仿宋" w:eastAsia="仿宋"/>
                <w:szCs w:val="21"/>
              </w:rPr>
              <w:t>0%</w:t>
            </w:r>
            <w:r>
              <w:rPr>
                <w:rFonts w:hint="eastAsia" w:ascii="仿宋" w:hAnsi="仿宋" w:eastAsia="仿宋"/>
                <w:szCs w:val="21"/>
              </w:rPr>
              <w:t>。</w:t>
            </w:r>
          </w:p>
          <w:p w14:paraId="7311358C">
            <w:pPr>
              <w:pStyle w:val="11"/>
              <w:widowControl w:val="0"/>
              <w:numPr>
                <w:ilvl w:val="0"/>
                <w:numId w:val="2"/>
              </w:numPr>
              <w:ind w:firstLineChars="0"/>
              <w:jc w:val="both"/>
              <w:rPr>
                <w:rFonts w:ascii="仿宋" w:hAnsi="仿宋" w:eastAsia="仿宋"/>
                <w:szCs w:val="21"/>
              </w:rPr>
            </w:pPr>
            <w:r>
              <w:rPr>
                <w:rFonts w:hint="eastAsia" w:ascii="仿宋" w:hAnsi="仿宋" w:eastAsia="仿宋"/>
                <w:szCs w:val="21"/>
              </w:rPr>
              <w:t>服务期内无关于服务商工作人员服务质量相关的重大投诉案件。</w:t>
            </w:r>
          </w:p>
        </w:tc>
      </w:tr>
      <w:tr w14:paraId="3E6C8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 w:type="pct"/>
            <w:noWrap w:val="0"/>
            <w:vAlign w:val="center"/>
          </w:tcPr>
          <w:p w14:paraId="2F0635F7">
            <w:pPr>
              <w:jc w:val="center"/>
              <w:rPr>
                <w:rFonts w:ascii="仿宋" w:hAnsi="仿宋" w:eastAsia="仿宋"/>
                <w:szCs w:val="21"/>
              </w:rPr>
            </w:pPr>
            <w:r>
              <w:rPr>
                <w:rFonts w:hint="eastAsia" w:ascii="仿宋" w:hAnsi="仿宋" w:eastAsia="仿宋"/>
                <w:szCs w:val="21"/>
              </w:rPr>
              <w:t>8</w:t>
            </w:r>
          </w:p>
        </w:tc>
        <w:tc>
          <w:tcPr>
            <w:tcW w:w="543" w:type="pct"/>
            <w:gridSpan w:val="2"/>
            <w:noWrap w:val="0"/>
            <w:vAlign w:val="center"/>
          </w:tcPr>
          <w:p w14:paraId="65C70E35">
            <w:pPr>
              <w:jc w:val="center"/>
              <w:rPr>
                <w:rFonts w:ascii="仿宋" w:hAnsi="仿宋" w:eastAsia="仿宋"/>
                <w:szCs w:val="21"/>
              </w:rPr>
            </w:pPr>
            <w:r>
              <w:rPr>
                <w:rFonts w:hint="eastAsia" w:ascii="仿宋" w:hAnsi="仿宋" w:eastAsia="仿宋"/>
                <w:szCs w:val="21"/>
              </w:rPr>
              <w:t>项目管理评价</w:t>
            </w:r>
          </w:p>
        </w:tc>
        <w:tc>
          <w:tcPr>
            <w:tcW w:w="1401" w:type="pct"/>
            <w:noWrap w:val="0"/>
            <w:vAlign w:val="top"/>
          </w:tcPr>
          <w:p w14:paraId="5F25861F">
            <w:pPr>
              <w:rPr>
                <w:rFonts w:ascii="仿宋" w:hAnsi="仿宋" w:eastAsia="仿宋"/>
                <w:szCs w:val="21"/>
              </w:rPr>
            </w:pPr>
            <w:r>
              <w:rPr>
                <w:rFonts w:hint="eastAsia" w:ascii="仿宋" w:hAnsi="仿宋" w:eastAsia="仿宋"/>
                <w:szCs w:val="21"/>
              </w:rPr>
              <w:t>依据信息系统管理部门对服务商在服务期内项目管理工作评价表情况综合评价。</w:t>
            </w:r>
          </w:p>
        </w:tc>
        <w:tc>
          <w:tcPr>
            <w:tcW w:w="250" w:type="pct"/>
            <w:noWrap w:val="0"/>
            <w:vAlign w:val="center"/>
          </w:tcPr>
          <w:p w14:paraId="58C4A2BC">
            <w:pPr>
              <w:jc w:val="center"/>
              <w:rPr>
                <w:rFonts w:ascii="仿宋" w:hAnsi="仿宋" w:eastAsia="仿宋"/>
                <w:szCs w:val="21"/>
              </w:rPr>
            </w:pPr>
            <w:r>
              <w:rPr>
                <w:rFonts w:hint="eastAsia" w:ascii="仿宋" w:hAnsi="仿宋" w:eastAsia="仿宋"/>
                <w:szCs w:val="21"/>
              </w:rPr>
              <w:t>3</w:t>
            </w:r>
          </w:p>
        </w:tc>
        <w:tc>
          <w:tcPr>
            <w:tcW w:w="250" w:type="pct"/>
            <w:noWrap w:val="0"/>
            <w:vAlign w:val="center"/>
          </w:tcPr>
          <w:p w14:paraId="36D28351">
            <w:pPr>
              <w:jc w:val="center"/>
              <w:rPr>
                <w:rFonts w:ascii="仿宋" w:hAnsi="仿宋" w:eastAsia="仿宋"/>
                <w:szCs w:val="21"/>
              </w:rPr>
            </w:pPr>
            <w:r>
              <w:rPr>
                <w:rFonts w:hint="eastAsia" w:ascii="仿宋" w:hAnsi="仿宋" w:eastAsia="仿宋"/>
                <w:szCs w:val="21"/>
              </w:rPr>
              <w:t>3</w:t>
            </w:r>
          </w:p>
        </w:tc>
        <w:tc>
          <w:tcPr>
            <w:tcW w:w="2394" w:type="pct"/>
            <w:noWrap w:val="0"/>
            <w:vAlign w:val="center"/>
          </w:tcPr>
          <w:p w14:paraId="5B37C28C">
            <w:pPr>
              <w:jc w:val="both"/>
              <w:rPr>
                <w:rFonts w:ascii="仿宋" w:hAnsi="仿宋" w:eastAsia="仿宋"/>
                <w:szCs w:val="21"/>
              </w:rPr>
            </w:pPr>
            <w:r>
              <w:rPr>
                <w:rFonts w:hint="eastAsia" w:ascii="仿宋" w:hAnsi="仿宋" w:eastAsia="仿宋"/>
                <w:szCs w:val="21"/>
              </w:rPr>
              <w:t>信息系统管理部门根据服务商日常项目管理工作及协调能力评价达“合格”以上。</w:t>
            </w:r>
          </w:p>
        </w:tc>
      </w:tr>
      <w:tr w14:paraId="2ACF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60" w:type="pct"/>
            <w:noWrap w:val="0"/>
            <w:vAlign w:val="center"/>
          </w:tcPr>
          <w:p w14:paraId="221F490E">
            <w:pPr>
              <w:jc w:val="center"/>
              <w:rPr>
                <w:rFonts w:ascii="仿宋" w:hAnsi="仿宋" w:eastAsia="仿宋"/>
                <w:szCs w:val="21"/>
              </w:rPr>
            </w:pPr>
            <w:r>
              <w:rPr>
                <w:rFonts w:hint="eastAsia" w:ascii="仿宋" w:hAnsi="仿宋" w:eastAsia="仿宋"/>
                <w:szCs w:val="21"/>
              </w:rPr>
              <w:t>9</w:t>
            </w:r>
          </w:p>
        </w:tc>
        <w:tc>
          <w:tcPr>
            <w:tcW w:w="1945" w:type="pct"/>
            <w:gridSpan w:val="3"/>
            <w:noWrap w:val="0"/>
            <w:vAlign w:val="center"/>
          </w:tcPr>
          <w:p w14:paraId="66E0BBC6">
            <w:pPr>
              <w:jc w:val="center"/>
              <w:rPr>
                <w:rFonts w:ascii="仿宋" w:hAnsi="仿宋" w:eastAsia="仿宋"/>
                <w:b/>
                <w:sz w:val="22"/>
                <w:szCs w:val="21"/>
              </w:rPr>
            </w:pPr>
            <w:r>
              <w:rPr>
                <w:rFonts w:hint="eastAsia" w:ascii="仿宋" w:hAnsi="仿宋" w:eastAsia="仿宋"/>
                <w:b/>
                <w:sz w:val="22"/>
                <w:szCs w:val="21"/>
              </w:rPr>
              <w:t>合计</w:t>
            </w:r>
          </w:p>
        </w:tc>
        <w:tc>
          <w:tcPr>
            <w:tcW w:w="250" w:type="pct"/>
            <w:noWrap w:val="0"/>
            <w:vAlign w:val="center"/>
          </w:tcPr>
          <w:p w14:paraId="02183CF8">
            <w:pPr>
              <w:jc w:val="center"/>
              <w:rPr>
                <w:rFonts w:ascii="仿宋" w:hAnsi="仿宋" w:eastAsia="仿宋"/>
                <w:b/>
                <w:sz w:val="22"/>
                <w:szCs w:val="21"/>
              </w:rPr>
            </w:pPr>
            <w:r>
              <w:rPr>
                <w:rFonts w:ascii="仿宋" w:hAnsi="仿宋" w:eastAsia="仿宋"/>
                <w:b/>
                <w:sz w:val="22"/>
                <w:szCs w:val="21"/>
              </w:rPr>
              <w:fldChar w:fldCharType="begin"/>
            </w:r>
            <w:r>
              <w:rPr>
                <w:rFonts w:ascii="仿宋" w:hAnsi="仿宋" w:eastAsia="仿宋"/>
                <w:b/>
                <w:sz w:val="22"/>
                <w:szCs w:val="21"/>
              </w:rPr>
              <w:instrText xml:space="preserve"> =SUM(ABOVE) </w:instrText>
            </w:r>
            <w:r>
              <w:rPr>
                <w:rFonts w:ascii="仿宋" w:hAnsi="仿宋" w:eastAsia="仿宋"/>
                <w:b/>
                <w:sz w:val="22"/>
                <w:szCs w:val="21"/>
              </w:rPr>
              <w:fldChar w:fldCharType="separate"/>
            </w:r>
            <w:r>
              <w:rPr>
                <w:rFonts w:ascii="仿宋" w:hAnsi="仿宋" w:eastAsia="仿宋"/>
                <w:b/>
                <w:sz w:val="22"/>
                <w:szCs w:val="21"/>
              </w:rPr>
              <w:t>100</w:t>
            </w:r>
            <w:r>
              <w:rPr>
                <w:rFonts w:ascii="仿宋" w:hAnsi="仿宋" w:eastAsia="仿宋"/>
                <w:b/>
                <w:sz w:val="22"/>
                <w:szCs w:val="21"/>
              </w:rPr>
              <w:fldChar w:fldCharType="end"/>
            </w:r>
          </w:p>
        </w:tc>
        <w:tc>
          <w:tcPr>
            <w:tcW w:w="250" w:type="pct"/>
            <w:noWrap w:val="0"/>
            <w:vAlign w:val="center"/>
          </w:tcPr>
          <w:p w14:paraId="11142BDE">
            <w:pPr>
              <w:jc w:val="center"/>
              <w:rPr>
                <w:rFonts w:ascii="仿宋" w:hAnsi="仿宋" w:eastAsia="仿宋"/>
                <w:b/>
                <w:sz w:val="22"/>
                <w:szCs w:val="21"/>
              </w:rPr>
            </w:pPr>
            <w:r>
              <w:rPr>
                <w:rFonts w:ascii="仿宋" w:hAnsi="仿宋" w:eastAsia="仿宋"/>
                <w:b/>
                <w:sz w:val="22"/>
                <w:szCs w:val="21"/>
              </w:rPr>
              <w:fldChar w:fldCharType="begin"/>
            </w:r>
            <w:r>
              <w:rPr>
                <w:rFonts w:ascii="仿宋" w:hAnsi="仿宋" w:eastAsia="仿宋"/>
                <w:b/>
                <w:sz w:val="22"/>
                <w:szCs w:val="21"/>
              </w:rPr>
              <w:instrText xml:space="preserve"> =SUM(ABOVE) </w:instrText>
            </w:r>
            <w:r>
              <w:rPr>
                <w:rFonts w:ascii="仿宋" w:hAnsi="仿宋" w:eastAsia="仿宋"/>
                <w:b/>
                <w:sz w:val="22"/>
                <w:szCs w:val="21"/>
              </w:rPr>
              <w:fldChar w:fldCharType="separate"/>
            </w:r>
            <w:r>
              <w:rPr>
                <w:rFonts w:ascii="仿宋" w:hAnsi="仿宋" w:eastAsia="仿宋"/>
                <w:b/>
                <w:sz w:val="22"/>
                <w:szCs w:val="21"/>
              </w:rPr>
              <w:t>100</w:t>
            </w:r>
            <w:r>
              <w:rPr>
                <w:rFonts w:ascii="仿宋" w:hAnsi="仿宋" w:eastAsia="仿宋"/>
                <w:b/>
                <w:sz w:val="22"/>
                <w:szCs w:val="21"/>
              </w:rPr>
              <w:fldChar w:fldCharType="end"/>
            </w:r>
          </w:p>
        </w:tc>
        <w:tc>
          <w:tcPr>
            <w:tcW w:w="2394" w:type="pct"/>
            <w:noWrap w:val="0"/>
            <w:vAlign w:val="center"/>
          </w:tcPr>
          <w:p w14:paraId="08A3B88A">
            <w:pPr>
              <w:jc w:val="both"/>
              <w:rPr>
                <w:rFonts w:ascii="仿宋" w:hAnsi="仿宋" w:eastAsia="仿宋"/>
                <w:sz w:val="22"/>
                <w:szCs w:val="21"/>
              </w:rPr>
            </w:pPr>
          </w:p>
        </w:tc>
      </w:tr>
    </w:tbl>
    <w:p w14:paraId="4483306D">
      <w:pPr>
        <w:pStyle w:val="2"/>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A72549"/>
    <w:multiLevelType w:val="multilevel"/>
    <w:tmpl w:val="38A7254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D0728EF"/>
    <w:multiLevelType w:val="multilevel"/>
    <w:tmpl w:val="5D0728E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266A7"/>
    <w:rsid w:val="2BBE2DF7"/>
    <w:rsid w:val="57B22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3">
    <w:name w:val="Body Text Indent"/>
    <w:basedOn w:val="1"/>
    <w:next w:val="1"/>
    <w:qFormat/>
    <w:uiPriority w:val="0"/>
    <w:pPr>
      <w:tabs>
        <w:tab w:val="left" w:pos="8640"/>
      </w:tabs>
      <w:ind w:firstLine="420"/>
    </w:pPr>
    <w:rPr>
      <w:rFonts w:ascii="楷体_GB2312" w:eastAsia="楷体_GB2312"/>
      <w:color w:val="000000"/>
      <w:sz w:val="28"/>
    </w:rPr>
  </w:style>
  <w:style w:type="paragraph" w:styleId="4">
    <w:name w:val="Body Text First Indent"/>
    <w:basedOn w:val="2"/>
    <w:next w:val="5"/>
    <w:unhideWhenUsed/>
    <w:qFormat/>
    <w:uiPriority w:val="0"/>
    <w:pPr>
      <w:ind w:firstLine="420" w:firstLineChars="100"/>
    </w:pPr>
    <w:rPr>
      <w:rFonts w:ascii="Calibri" w:hAnsi="Calibri"/>
      <w:sz w:val="18"/>
      <w:szCs w:val="18"/>
    </w:rPr>
  </w:style>
  <w:style w:type="paragraph" w:styleId="5">
    <w:name w:val="Body Text First Indent 2"/>
    <w:basedOn w:val="3"/>
    <w:next w:val="1"/>
    <w:qFormat/>
    <w:uiPriority w:val="0"/>
    <w:pPr>
      <w:ind w:firstLine="20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_Style 2"/>
    <w:basedOn w:val="1"/>
    <w:qFormat/>
    <w:uiPriority w:val="99"/>
    <w:pPr>
      <w:ind w:firstLine="420" w:firstLineChars="200"/>
    </w:pPr>
    <w:rPr>
      <w:szCs w:val="24"/>
    </w:rPr>
  </w:style>
  <w:style w:type="paragraph" w:customStyle="1" w:styleId="10">
    <w:name w:val="列出段落1"/>
    <w:basedOn w:val="1"/>
    <w:qFormat/>
    <w:uiPriority w:val="34"/>
    <w:pPr>
      <w:ind w:firstLine="420" w:firstLineChars="200"/>
    </w:pPr>
  </w:style>
  <w:style w:type="paragraph" w:styleId="11">
    <w:name w:val="List Paragraph"/>
    <w:basedOn w:val="1"/>
    <w:qFormat/>
    <w:uiPriority w:val="34"/>
    <w:pPr>
      <w:ind w:firstLine="420" w:firstLineChars="200"/>
    </w:pPr>
  </w:style>
  <w:style w:type="paragraph" w:customStyle="1" w:styleId="12">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5291</Words>
  <Characters>5387</Characters>
  <Lines>0</Lines>
  <Paragraphs>0</Paragraphs>
  <TotalTime>0</TotalTime>
  <ScaleCrop>false</ScaleCrop>
  <LinksUpToDate>false</LinksUpToDate>
  <CharactersWithSpaces>5620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2025-06-13T09:15:00Z</dcterms:created>
  <dc:creator>DELL</dc:creator>
  <cp:lastModifiedBy>To  encounter</cp:lastModifiedBy>
  <dcterms:modified xsi:type="dcterms:W3CDTF">2025-07-28T10:09:48Z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eyJoZGlkIjoiNmJkNmEwODUxZTlhY2U2ZTM0OTI0ZDY1ZmQzYTAyZjYiLCJ1c2VySWQiOiIxMTk3NzI3MDgzIn0=</vt:lpwstr>
  </property>
  <property fmtid="{D5CDD505-2E9C-101B-9397-08002B2CF9AE}" pid="4" name="ICV">
    <vt:lpwstr>2A7B3C8737ED4C52AF842FA872DEABAC_12</vt:lpwstr>
  </property>
</Properties>
</file>