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版本号：SNJZ-2025-12520250728001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陕西省检察机关移动办案办公平台及直接管理终端运维服务项目（一期）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SNJZ-2025-125</w:t>
      </w:r>
      <w:r>
        <w:br/>
      </w:r>
      <w:r>
        <w:br/>
      </w:r>
      <w:r>
        <w:br/>
      </w:r>
    </w:p>
    <w:p>
      <w:pPr>
        <w:pStyle w:val="null3"/>
        <w:jc w:val="center"/>
        <w:outlineLvl w:val="2"/>
      </w:pPr>
      <w:r>
        <w:rPr>
          <w:rFonts w:ascii="仿宋_GB2312" w:hAnsi="仿宋_GB2312" w:cs="仿宋_GB2312" w:eastAsia="仿宋_GB2312"/>
          <w:sz w:val="28"/>
          <w:b/>
        </w:rPr>
        <w:t>省人民检察院</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省人民检察院</w:t>
      </w:r>
      <w:r>
        <w:rPr>
          <w:rFonts w:ascii="仿宋_GB2312" w:hAnsi="仿宋_GB2312" w:cs="仿宋_GB2312" w:eastAsia="仿宋_GB2312"/>
        </w:rPr>
        <w:t>委托，拟对</w:t>
      </w:r>
      <w:r>
        <w:rPr>
          <w:rFonts w:ascii="仿宋_GB2312" w:hAnsi="仿宋_GB2312" w:cs="仿宋_GB2312" w:eastAsia="仿宋_GB2312"/>
        </w:rPr>
        <w:t>陕西省检察机关移动办案办公平台及直接管理终端运维服务项目（一期）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陕西省检察机关移动办案办公平台及直接管理终端运维服务项目（一期）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移动办案办公服务，打破检察工作受地域空间的限制，检察干警可通过使用安装在移动终端上的移动办案办公、检察服务平台随时随地获知院内资讯、邮件内容、公文流转情况、案件办理进度等信息，能够及时、便捷地完成移动审批、移动信息查询等工作。 利用现有的移动专网和检察工作网之间的数据安全交互，实现接入应用系统和设备的身份可信，保护数据安全共享，抵御网络恶意攻击，满足机密性、完整性和可用性要求，确保跨网数据共享和业务协同的网络安全、主机安全、应用安全和数据安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财务报告或提交投标文件递交截止时间前12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4、税收缴纳证明：提供投标文件递交截止时间前12个月内至少一个月已缴纳的纳税凭据或完税证明，依法免税的投标人应提供相关证明文件。</w:t>
      </w:r>
    </w:p>
    <w:p>
      <w:pPr>
        <w:pStyle w:val="null3"/>
      </w:pPr>
      <w:r>
        <w:rPr>
          <w:rFonts w:ascii="仿宋_GB2312" w:hAnsi="仿宋_GB2312" w:cs="仿宋_GB2312" w:eastAsia="仿宋_GB2312"/>
        </w:rPr>
        <w:t>5、社会保障资金缴纳证明：提供投标文件递交截止时间前12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西安市新城区西新街1号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樊渭钊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029-87290211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孙博 崔斌 左建强 鲁方方 胡荣 马子啸 石磊 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 88221929 88222461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收到中标通知书后十(10)个日历日内，按照原国家计委《招标代理服务收费管理暂行办法》(计价格〔2002〕1980号)及发改办价格[2003]857号文件规定的收费标准向陕西教育招标有限责任公司交纳招标代理服务费，服务费按照服务期一次性收取。招标代理服务费采用现金、电汇或银行转账方式交纳，不得采用投标保证金抵扣。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省人民检察院</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省人民检察院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招标文件、投标文件、合同文本、国内相应的标准、规范。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联系人：孙博、程钰</w:t>
      </w:r>
    </w:p>
    <w:p>
      <w:pPr>
        <w:pStyle w:val="null3"/>
      </w:pPr>
      <w:r>
        <w:rPr>
          <w:rFonts w:ascii="仿宋_GB2312" w:hAnsi="仿宋_GB2312" w:cs="仿宋_GB2312" w:eastAsia="仿宋_GB2312"/>
        </w:rPr>
        <w:t>联系电话：029-88224929 88221929 88222461</w:t>
      </w:r>
    </w:p>
    <w:p>
      <w:pPr>
        <w:pStyle w:val="null3"/>
      </w:pPr>
      <w:r>
        <w:rPr>
          <w:rFonts w:ascii="仿宋_GB2312" w:hAnsi="仿宋_GB2312" w:cs="仿宋_GB2312" w:eastAsia="仿宋_GB2312"/>
        </w:rPr>
        <w:t>地址：西安市雁塔区太白南路181号西部电子社区A座B区401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移动办案办公服务，打破检察工作受地域空间的限制，检察干警可通过使用安装在移动终端上的移动办案办公、检察服务平台随时随地获知院内资讯、邮件内容、公文流转情况、案件办理进度等信息，能够及时、便捷地完成移动审批、移动信息查询等工作。 利用现有的移动专网和检察工作网之间的数据安全交互，实现接入应用系统和设备的身份可信，保护数据安全共享，抵御网络恶意攻击，满足机密性、完整性和可用性要求，确保跨网数据共享和业务协同的网络安全、主机安全、应用安全和数据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 xml:space="preserve">         1.项目背景</w:t>
            </w:r>
          </w:p>
          <w:p>
            <w:pPr>
              <w:pStyle w:val="null3"/>
              <w:ind w:firstLine="480"/>
              <w:jc w:val="both"/>
            </w:pPr>
            <w:r>
              <w:rPr>
                <w:rFonts w:ascii="仿宋_GB2312" w:hAnsi="仿宋_GB2312" w:cs="仿宋_GB2312" w:eastAsia="仿宋_GB2312"/>
                <w:sz w:val="20"/>
              </w:rPr>
              <w:t>为了更好服务人民群众法律服务需求，满足全省检察干警对移动办案办公的迫切需求，根据集约化建设、优化资源配置的原则，结合陕西省检察机关信息化建设和应用的实际，陕西省人民检察院以采购服务的方式，为全省检察机关提供移动办案办公信息化保障手段，完成移动专网安全连接、办案办公移动支撑、检察工作网和移动专网数据实时同步，实现陕西检察移动专网安全可控、办案办公终端泛在接入、检察业务视频实时指挥，有力推动</w:t>
            </w:r>
            <w:r>
              <w:rPr>
                <w:rFonts w:ascii="仿宋_GB2312" w:hAnsi="仿宋_GB2312" w:cs="仿宋_GB2312" w:eastAsia="仿宋_GB2312"/>
                <w:sz w:val="20"/>
              </w:rPr>
              <w:t>“四大检察”、队伍管理、检务保障等各项工作高质量发展，持续提升陕西检察工作现代化水平。</w:t>
            </w:r>
          </w:p>
          <w:p>
            <w:pPr>
              <w:pStyle w:val="null3"/>
              <w:jc w:val="both"/>
            </w:pPr>
            <w:r>
              <w:rPr>
                <w:rFonts w:ascii="仿宋_GB2312" w:hAnsi="仿宋_GB2312" w:cs="仿宋_GB2312" w:eastAsia="仿宋_GB2312"/>
                <w:sz w:val="20"/>
                <w:b/>
              </w:rPr>
              <w:t xml:space="preserve">         2.工作现状</w:t>
            </w:r>
          </w:p>
          <w:p>
            <w:pPr>
              <w:pStyle w:val="null3"/>
              <w:ind w:firstLine="480"/>
              <w:jc w:val="both"/>
            </w:pPr>
            <w:r>
              <w:rPr>
                <w:rFonts w:ascii="仿宋_GB2312" w:hAnsi="仿宋_GB2312" w:cs="仿宋_GB2312" w:eastAsia="仿宋_GB2312"/>
                <w:sz w:val="20"/>
              </w:rPr>
              <w:t>陕西省检察机关目前共有</w:t>
            </w:r>
            <w:r>
              <w:rPr>
                <w:rFonts w:ascii="仿宋_GB2312" w:hAnsi="仿宋_GB2312" w:cs="仿宋_GB2312" w:eastAsia="仿宋_GB2312"/>
                <w:sz w:val="20"/>
              </w:rPr>
              <w:t>1个省级院、11个市分院，11</w:t>
            </w:r>
            <w:r>
              <w:rPr>
                <w:rFonts w:ascii="仿宋_GB2312" w:hAnsi="仿宋_GB2312" w:cs="仿宋_GB2312" w:eastAsia="仿宋_GB2312"/>
                <w:sz w:val="20"/>
              </w:rPr>
              <w:t>2</w:t>
            </w:r>
            <w:r>
              <w:rPr>
                <w:rFonts w:ascii="仿宋_GB2312" w:hAnsi="仿宋_GB2312" w:cs="仿宋_GB2312" w:eastAsia="仿宋_GB2312"/>
                <w:sz w:val="20"/>
              </w:rPr>
              <w:t>个县区院</w:t>
            </w:r>
            <w:r>
              <w:rPr>
                <w:rFonts w:ascii="仿宋_GB2312" w:hAnsi="仿宋_GB2312" w:cs="仿宋_GB2312" w:eastAsia="仿宋_GB2312"/>
                <w:sz w:val="20"/>
              </w:rPr>
              <w:t>及近</w:t>
            </w:r>
            <w:r>
              <w:rPr>
                <w:rFonts w:ascii="仿宋_GB2312" w:hAnsi="仿宋_GB2312" w:cs="仿宋_GB2312" w:eastAsia="仿宋_GB2312"/>
                <w:sz w:val="20"/>
              </w:rPr>
              <w:t>160个驻公安、监狱、看守所检察室</w:t>
            </w:r>
            <w:r>
              <w:rPr>
                <w:rFonts w:ascii="仿宋_GB2312" w:hAnsi="仿宋_GB2312" w:cs="仿宋_GB2312" w:eastAsia="仿宋_GB2312"/>
                <w:sz w:val="20"/>
              </w:rPr>
              <w:t>。目前，部分市级院已经开展了移动</w:t>
            </w:r>
            <w:r>
              <w:rPr>
                <w:rFonts w:ascii="仿宋_GB2312" w:hAnsi="仿宋_GB2312" w:cs="仿宋_GB2312" w:eastAsia="仿宋_GB2312"/>
                <w:sz w:val="20"/>
              </w:rPr>
              <w:t>办案办公</w:t>
            </w:r>
            <w:r>
              <w:rPr>
                <w:rFonts w:ascii="仿宋_GB2312" w:hAnsi="仿宋_GB2312" w:cs="仿宋_GB2312" w:eastAsia="仿宋_GB2312"/>
                <w:sz w:val="20"/>
              </w:rPr>
              <w:t>服务，</w:t>
            </w:r>
            <w:r>
              <w:rPr>
                <w:rFonts w:ascii="仿宋_GB2312" w:hAnsi="仿宋_GB2312" w:cs="仿宋_GB2312" w:eastAsia="仿宋_GB2312"/>
                <w:sz w:val="20"/>
              </w:rPr>
              <w:t>平台及直接管理的终端</w:t>
            </w:r>
            <w:r>
              <w:rPr>
                <w:rFonts w:ascii="仿宋_GB2312" w:hAnsi="仿宋_GB2312" w:cs="仿宋_GB2312" w:eastAsia="仿宋_GB2312"/>
                <w:sz w:val="20"/>
              </w:rPr>
              <w:t>尚未</w:t>
            </w:r>
            <w:r>
              <w:rPr>
                <w:rFonts w:ascii="仿宋_GB2312" w:hAnsi="仿宋_GB2312" w:cs="仿宋_GB2312" w:eastAsia="仿宋_GB2312"/>
                <w:sz w:val="20"/>
              </w:rPr>
              <w:t>开展运维服务</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2023年3月，最高检决定在全国各级人民检察院开展移动</w:t>
            </w:r>
            <w:r>
              <w:rPr>
                <w:rFonts w:ascii="仿宋_GB2312" w:hAnsi="仿宋_GB2312" w:cs="仿宋_GB2312" w:eastAsia="仿宋_GB2312"/>
                <w:sz w:val="20"/>
              </w:rPr>
              <w:t>办案办公</w:t>
            </w:r>
            <w:r>
              <w:rPr>
                <w:rFonts w:ascii="仿宋_GB2312" w:hAnsi="仿宋_GB2312" w:cs="仿宋_GB2312" w:eastAsia="仿宋_GB2312"/>
                <w:sz w:val="20"/>
              </w:rPr>
              <w:t>服务工作，制定了《移动办案办公边界防护标准》，要求</w:t>
            </w:r>
            <w:r>
              <w:rPr>
                <w:rFonts w:ascii="仿宋_GB2312" w:hAnsi="仿宋_GB2312" w:cs="仿宋_GB2312" w:eastAsia="仿宋_GB2312"/>
                <w:sz w:val="20"/>
              </w:rPr>
              <w:t>“各省级院按照自身应用需求自主建立运维保障体系，满足服务的及时性和个性化需要”。</w:t>
            </w:r>
          </w:p>
          <w:p>
            <w:pPr>
              <w:pStyle w:val="null3"/>
              <w:ind w:firstLine="480"/>
              <w:jc w:val="both"/>
            </w:pPr>
            <w:r>
              <w:rPr>
                <w:rFonts w:ascii="仿宋_GB2312" w:hAnsi="仿宋_GB2312" w:cs="仿宋_GB2312" w:eastAsia="仿宋_GB2312"/>
                <w:sz w:val="20"/>
                <w:b/>
              </w:rPr>
              <w:t>3.存在问题</w:t>
            </w:r>
          </w:p>
          <w:p>
            <w:pPr>
              <w:pStyle w:val="null3"/>
              <w:ind w:firstLine="480"/>
              <w:jc w:val="both"/>
            </w:pPr>
            <w:r>
              <w:rPr>
                <w:rFonts w:ascii="仿宋_GB2312" w:hAnsi="仿宋_GB2312" w:cs="仿宋_GB2312" w:eastAsia="仿宋_GB2312"/>
                <w:sz w:val="20"/>
              </w:rPr>
              <w:t>陕西省检察</w:t>
            </w:r>
            <w:r>
              <w:rPr>
                <w:rFonts w:ascii="仿宋_GB2312" w:hAnsi="仿宋_GB2312" w:cs="仿宋_GB2312" w:eastAsia="仿宋_GB2312"/>
                <w:sz w:val="20"/>
              </w:rPr>
              <w:t>机关</w:t>
            </w:r>
            <w:r>
              <w:rPr>
                <w:rFonts w:ascii="仿宋_GB2312" w:hAnsi="仿宋_GB2312" w:cs="仿宋_GB2312" w:eastAsia="仿宋_GB2312"/>
                <w:sz w:val="20"/>
              </w:rPr>
              <w:t>移动</w:t>
            </w:r>
            <w:r>
              <w:rPr>
                <w:rFonts w:ascii="仿宋_GB2312" w:hAnsi="仿宋_GB2312" w:cs="仿宋_GB2312" w:eastAsia="仿宋_GB2312"/>
                <w:sz w:val="20"/>
              </w:rPr>
              <w:t>办案办公</w:t>
            </w:r>
            <w:r>
              <w:rPr>
                <w:rFonts w:ascii="仿宋_GB2312" w:hAnsi="仿宋_GB2312" w:cs="仿宋_GB2312" w:eastAsia="仿宋_GB2312"/>
                <w:sz w:val="20"/>
              </w:rPr>
              <w:t>平台及直接管理终端</w:t>
            </w:r>
            <w:r>
              <w:rPr>
                <w:rFonts w:ascii="仿宋_GB2312" w:hAnsi="仿宋_GB2312" w:cs="仿宋_GB2312" w:eastAsia="仿宋_GB2312"/>
                <w:sz w:val="20"/>
              </w:rPr>
              <w:t>服务方面，面临的主要问题有以下几方面：</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人民群众对法律服务需求的增加，法律服务需求迫切。</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随着检察业务的拓展，移动</w:t>
            </w:r>
            <w:r>
              <w:rPr>
                <w:rFonts w:ascii="仿宋_GB2312" w:hAnsi="仿宋_GB2312" w:cs="仿宋_GB2312" w:eastAsia="仿宋_GB2312"/>
                <w:sz w:val="20"/>
              </w:rPr>
              <w:t>办案办公</w:t>
            </w:r>
            <w:r>
              <w:rPr>
                <w:rFonts w:ascii="仿宋_GB2312" w:hAnsi="仿宋_GB2312" w:cs="仿宋_GB2312" w:eastAsia="仿宋_GB2312"/>
                <w:sz w:val="20"/>
              </w:rPr>
              <w:t>运维服务管理涵盖的领域也变得更加广泛，业务需求增加。</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实施信创工程后，移动</w:t>
            </w:r>
            <w:r>
              <w:rPr>
                <w:rFonts w:ascii="仿宋_GB2312" w:hAnsi="仿宋_GB2312" w:cs="仿宋_GB2312" w:eastAsia="仿宋_GB2312"/>
                <w:sz w:val="20"/>
              </w:rPr>
              <w:t>办案办公</w:t>
            </w:r>
            <w:r>
              <w:rPr>
                <w:rFonts w:ascii="仿宋_GB2312" w:hAnsi="仿宋_GB2312" w:cs="仿宋_GB2312" w:eastAsia="仿宋_GB2312"/>
                <w:sz w:val="20"/>
              </w:rPr>
              <w:t>服务已经具备条件，需要投入更多的精力去学习新的系统并渡过适应期。</w:t>
            </w:r>
          </w:p>
          <w:p>
            <w:pPr>
              <w:pStyle w:val="null3"/>
              <w:ind w:left="480"/>
              <w:jc w:val="both"/>
              <w:outlineLvl w:val="1"/>
            </w:pPr>
            <w:r>
              <w:rPr>
                <w:rFonts w:ascii="仿宋_GB2312" w:hAnsi="仿宋_GB2312" w:cs="仿宋_GB2312" w:eastAsia="仿宋_GB2312"/>
                <w:sz w:val="20"/>
                <w:b/>
              </w:rPr>
              <w:t>4. 服务目标</w:t>
            </w:r>
          </w:p>
          <w:p>
            <w:pPr>
              <w:pStyle w:val="null3"/>
              <w:ind w:firstLine="480"/>
              <w:jc w:val="both"/>
            </w:pPr>
            <w:r>
              <w:rPr>
                <w:rFonts w:ascii="仿宋_GB2312" w:hAnsi="仿宋_GB2312" w:cs="仿宋_GB2312" w:eastAsia="仿宋_GB2312"/>
                <w:sz w:val="20"/>
              </w:rPr>
              <w:t>采购移动</w:t>
            </w:r>
            <w:r>
              <w:rPr>
                <w:rFonts w:ascii="仿宋_GB2312" w:hAnsi="仿宋_GB2312" w:cs="仿宋_GB2312" w:eastAsia="仿宋_GB2312"/>
                <w:sz w:val="20"/>
              </w:rPr>
              <w:t>办案办公</w:t>
            </w:r>
            <w:r>
              <w:rPr>
                <w:rFonts w:ascii="仿宋_GB2312" w:hAnsi="仿宋_GB2312" w:cs="仿宋_GB2312" w:eastAsia="仿宋_GB2312"/>
                <w:sz w:val="20"/>
              </w:rPr>
              <w:t>服务，打破检察工作受地域空间的限制，检察干警可通过使用安装在移动终端上的移动</w:t>
            </w:r>
            <w:r>
              <w:rPr>
                <w:rFonts w:ascii="仿宋_GB2312" w:hAnsi="仿宋_GB2312" w:cs="仿宋_GB2312" w:eastAsia="仿宋_GB2312"/>
                <w:sz w:val="20"/>
              </w:rPr>
              <w:t>办案办公</w:t>
            </w:r>
            <w:r>
              <w:rPr>
                <w:rFonts w:ascii="仿宋_GB2312" w:hAnsi="仿宋_GB2312" w:cs="仿宋_GB2312" w:eastAsia="仿宋_GB2312"/>
                <w:sz w:val="20"/>
              </w:rPr>
              <w:t>、</w:t>
            </w:r>
            <w:r>
              <w:rPr>
                <w:rFonts w:ascii="仿宋_GB2312" w:hAnsi="仿宋_GB2312" w:cs="仿宋_GB2312" w:eastAsia="仿宋_GB2312"/>
                <w:sz w:val="20"/>
              </w:rPr>
              <w:t>检察服务平台</w:t>
            </w:r>
            <w:r>
              <w:rPr>
                <w:rFonts w:ascii="仿宋_GB2312" w:hAnsi="仿宋_GB2312" w:cs="仿宋_GB2312" w:eastAsia="仿宋_GB2312"/>
                <w:sz w:val="20"/>
              </w:rPr>
              <w:t>随时随地获知院内资讯、邮件内容、公文流转情况、案件办理进度等信息，能够及时、便捷地完成移动审批、移动信息查询等工作。</w:t>
            </w:r>
          </w:p>
          <w:p>
            <w:pPr>
              <w:pStyle w:val="null3"/>
              <w:ind w:firstLine="480"/>
              <w:jc w:val="both"/>
            </w:pPr>
            <w:r>
              <w:rPr>
                <w:rFonts w:ascii="仿宋_GB2312" w:hAnsi="仿宋_GB2312" w:cs="仿宋_GB2312" w:eastAsia="仿宋_GB2312"/>
                <w:sz w:val="20"/>
              </w:rPr>
              <w:t>利用现有的移动专网和检察工作网之间的数据安全交互，实现接入应用系统和设备的身份可信，保护数据安全共享，抵御网络恶意攻击，满足机密性、完整性和可用性要求，确保跨网数据共享和业务协同的网络安全、主机安全、应用安全和数据安全。</w:t>
            </w:r>
          </w:p>
          <w:p>
            <w:pPr>
              <w:pStyle w:val="null3"/>
              <w:ind w:left="480"/>
              <w:jc w:val="both"/>
              <w:outlineLvl w:val="1"/>
            </w:pPr>
            <w:r>
              <w:rPr>
                <w:rFonts w:ascii="仿宋_GB2312" w:hAnsi="仿宋_GB2312" w:cs="仿宋_GB2312" w:eastAsia="仿宋_GB2312"/>
                <w:sz w:val="20"/>
                <w:b/>
              </w:rPr>
              <w:t>5. 运维内容</w:t>
            </w:r>
          </w:p>
          <w:tbl>
            <w:tblPr>
              <w:tblInd w:type="dxa" w:w="90"/>
              <w:tblBorders>
                <w:top w:val="none" w:color="000000" w:sz="4"/>
                <w:left w:val="none" w:color="000000" w:sz="4"/>
                <w:bottom w:val="none" w:color="000000" w:sz="4"/>
                <w:right w:val="none" w:color="000000" w:sz="4"/>
                <w:insideH w:val="none"/>
                <w:insideV w:val="none"/>
              </w:tblBorders>
            </w:tblPr>
            <w:tblGrid>
              <w:gridCol w:w="215"/>
              <w:gridCol w:w="382"/>
              <w:gridCol w:w="1543"/>
              <w:gridCol w:w="413"/>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服务项目</w:t>
                  </w:r>
                </w:p>
              </w:tc>
              <w:tc>
                <w:tcPr>
                  <w:tcW w:type="dxa" w:w="1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服务内容</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平台运维服务</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rPr>
                    <w:t>移动专网安全接入从智能终端到移动</w:t>
                  </w:r>
                  <w:r>
                    <w:rPr>
                      <w:rFonts w:ascii="仿宋_GB2312" w:hAnsi="仿宋_GB2312" w:cs="仿宋_GB2312" w:eastAsia="仿宋_GB2312"/>
                      <w:sz w:val="20"/>
                    </w:rPr>
                    <w:t>办案办公</w:t>
                  </w:r>
                  <w:r>
                    <w:rPr>
                      <w:rFonts w:ascii="仿宋_GB2312" w:hAnsi="仿宋_GB2312" w:cs="仿宋_GB2312" w:eastAsia="仿宋_GB2312"/>
                      <w:sz w:val="20"/>
                    </w:rPr>
                    <w:t>系统搭建移动终端安全管控平台的</w:t>
                  </w:r>
                  <w:r>
                    <w:rPr>
                      <w:rFonts w:ascii="仿宋_GB2312" w:hAnsi="仿宋_GB2312" w:cs="仿宋_GB2312" w:eastAsia="仿宋_GB2312"/>
                      <w:sz w:val="20"/>
                    </w:rPr>
                    <w:t>4G/5G安全接入，采用VPN/VPDN技术保障智能终端的安全接入和双因子认证，实现与检察院移动</w:t>
                  </w:r>
                  <w:r>
                    <w:rPr>
                      <w:rFonts w:ascii="仿宋_GB2312" w:hAnsi="仿宋_GB2312" w:cs="仿宋_GB2312" w:eastAsia="仿宋_GB2312"/>
                      <w:sz w:val="20"/>
                    </w:rPr>
                    <w:t>办案办公</w:t>
                  </w:r>
                  <w:r>
                    <w:rPr>
                      <w:rFonts w:ascii="仿宋_GB2312" w:hAnsi="仿宋_GB2312" w:cs="仿宋_GB2312" w:eastAsia="仿宋_GB2312"/>
                      <w:sz w:val="20"/>
                    </w:rPr>
                    <w:t>平台</w:t>
                  </w:r>
                  <w:r>
                    <w:rPr>
                      <w:rFonts w:ascii="仿宋_GB2312" w:hAnsi="仿宋_GB2312" w:cs="仿宋_GB2312" w:eastAsia="仿宋_GB2312"/>
                      <w:sz w:val="20"/>
                    </w:rPr>
                    <w:t>的安全对接。</w:t>
                  </w:r>
                </w:p>
                <w:p>
                  <w:pPr>
                    <w:pStyle w:val="null3"/>
                    <w:ind w:firstLine="400"/>
                  </w:pPr>
                  <w:r>
                    <w:rPr>
                      <w:rFonts w:ascii="仿宋_GB2312" w:hAnsi="仿宋_GB2312" w:cs="仿宋_GB2312" w:eastAsia="仿宋_GB2312"/>
                      <w:sz w:val="20"/>
                    </w:rPr>
                    <w:t>服务期满后，软件所有权归供应商。</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硬件平台</w:t>
                  </w:r>
                  <w:r>
                    <w:rPr>
                      <w:rFonts w:ascii="仿宋_GB2312" w:hAnsi="仿宋_GB2312" w:cs="仿宋_GB2312" w:eastAsia="仿宋_GB2312"/>
                      <w:sz w:val="20"/>
                    </w:rPr>
                    <w:t>由</w:t>
                  </w:r>
                  <w:r>
                    <w:rPr>
                      <w:rFonts w:ascii="仿宋_GB2312" w:hAnsi="仿宋_GB2312" w:cs="仿宋_GB2312" w:eastAsia="仿宋_GB2312"/>
                      <w:sz w:val="20"/>
                    </w:rPr>
                    <w:t>采购人</w:t>
                  </w:r>
                  <w:r>
                    <w:rPr>
                      <w:rFonts w:ascii="仿宋_GB2312" w:hAnsi="仿宋_GB2312" w:cs="仿宋_GB2312" w:eastAsia="仿宋_GB2312"/>
                      <w:sz w:val="20"/>
                    </w:rPr>
                    <w:t>提供</w:t>
                  </w:r>
                  <w:r>
                    <w:rPr>
                      <w:rFonts w:ascii="仿宋_GB2312" w:hAnsi="仿宋_GB2312" w:cs="仿宋_GB2312" w:eastAsia="仿宋_GB2312"/>
                      <w:sz w:val="20"/>
                    </w:rPr>
                    <w:t>，</w:t>
                  </w:r>
                  <w:r>
                    <w:rPr>
                      <w:rFonts w:ascii="仿宋_GB2312" w:hAnsi="仿宋_GB2312" w:cs="仿宋_GB2312" w:eastAsia="仿宋_GB2312"/>
                      <w:sz w:val="20"/>
                    </w:rPr>
                    <w:t>软件由供应商提供，并完成整个系统的运维服务。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移动办案办公运维服务</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rPr>
                    <w:t>在</w:t>
                  </w:r>
                  <w:r>
                    <w:rPr>
                      <w:rFonts w:ascii="仿宋_GB2312" w:hAnsi="仿宋_GB2312" w:cs="仿宋_GB2312" w:eastAsia="仿宋_GB2312"/>
                      <w:sz w:val="20"/>
                    </w:rPr>
                    <w:t>办案办公</w:t>
                  </w:r>
                  <w:r>
                    <w:rPr>
                      <w:rFonts w:ascii="仿宋_GB2312" w:hAnsi="仿宋_GB2312" w:cs="仿宋_GB2312" w:eastAsia="仿宋_GB2312"/>
                      <w:sz w:val="20"/>
                    </w:rPr>
                    <w:t>专用网络区，</w:t>
                  </w:r>
                  <w:r>
                    <w:rPr>
                      <w:rFonts w:ascii="仿宋_GB2312" w:hAnsi="仿宋_GB2312" w:cs="仿宋_GB2312" w:eastAsia="仿宋_GB2312"/>
                      <w:sz w:val="20"/>
                    </w:rPr>
                    <w:t>结合现有检察业务系统功能，在智能终端上</w:t>
                  </w:r>
                  <w:r>
                    <w:rPr>
                      <w:rFonts w:ascii="仿宋_GB2312" w:hAnsi="仿宋_GB2312" w:cs="仿宋_GB2312" w:eastAsia="仿宋_GB2312"/>
                      <w:sz w:val="20"/>
                    </w:rPr>
                    <w:t>通过检察工作网网页版或</w:t>
                  </w:r>
                  <w:r>
                    <w:rPr>
                      <w:rFonts w:ascii="仿宋_GB2312" w:hAnsi="仿宋_GB2312" w:cs="仿宋_GB2312" w:eastAsia="仿宋_GB2312"/>
                      <w:sz w:val="20"/>
                    </w:rPr>
                    <w:t>CoCall版</w:t>
                  </w:r>
                  <w:r>
                    <w:rPr>
                      <w:rFonts w:ascii="仿宋_GB2312" w:hAnsi="仿宋_GB2312" w:cs="仿宋_GB2312" w:eastAsia="仿宋_GB2312"/>
                      <w:sz w:val="20"/>
                    </w:rPr>
                    <w:t>实现</w:t>
                  </w:r>
                  <w:r>
                    <w:rPr>
                      <w:rFonts w:ascii="仿宋_GB2312" w:hAnsi="仿宋_GB2312" w:cs="仿宋_GB2312" w:eastAsia="仿宋_GB2312"/>
                      <w:sz w:val="20"/>
                    </w:rPr>
                    <w:t>远程办案办公；</w:t>
                  </w:r>
                </w:p>
                <w:p>
                  <w:pPr>
                    <w:pStyle w:val="null3"/>
                    <w:ind w:firstLine="400"/>
                  </w:pPr>
                  <w:r>
                    <w:rPr>
                      <w:rFonts w:ascii="仿宋_GB2312" w:hAnsi="仿宋_GB2312" w:cs="仿宋_GB2312" w:eastAsia="仿宋_GB2312"/>
                      <w:sz w:val="20"/>
                    </w:rPr>
                    <w:t>在互联网办公区，在智能终端上通过</w:t>
                  </w:r>
                  <w:r>
                    <w:rPr>
                      <w:rFonts w:ascii="仿宋_GB2312" w:hAnsi="仿宋_GB2312" w:cs="仿宋_GB2312" w:eastAsia="仿宋_GB2312"/>
                      <w:sz w:val="20"/>
                    </w:rPr>
                    <w:t>12309APP、益心为公APP、秦政通等实现检察为民服务、代表委员联络、案件线索收集等功能</w:t>
                  </w:r>
                  <w:r>
                    <w:rPr>
                      <w:rFonts w:ascii="仿宋_GB2312" w:hAnsi="仿宋_GB2312" w:cs="仿宋_GB2312" w:eastAsia="仿宋_GB2312"/>
                      <w:sz w:val="20"/>
                    </w:rPr>
                    <w:t>。</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采购人已有</w:t>
                  </w:r>
                  <w:r>
                    <w:rPr>
                      <w:rFonts w:ascii="仿宋_GB2312" w:hAnsi="仿宋_GB2312" w:cs="仿宋_GB2312" w:eastAsia="仿宋_GB2312"/>
                      <w:sz w:val="20"/>
                    </w:rPr>
                    <w:t>移动办案办公，</w:t>
                  </w:r>
                  <w:r>
                    <w:rPr>
                      <w:rFonts w:ascii="仿宋_GB2312" w:hAnsi="仿宋_GB2312" w:cs="仿宋_GB2312" w:eastAsia="仿宋_GB2312"/>
                      <w:sz w:val="20"/>
                    </w:rPr>
                    <w:t>由</w:t>
                  </w:r>
                  <w:r>
                    <w:rPr>
                      <w:rFonts w:ascii="仿宋_GB2312" w:hAnsi="仿宋_GB2312" w:cs="仿宋_GB2312" w:eastAsia="仿宋_GB2312"/>
                      <w:sz w:val="20"/>
                    </w:rPr>
                    <w:t>供应商提供系统的运维服务。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安全管理运维服务</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rPr>
                    <w:t>严格控制智能终端上的移动应用下载安装行为，保障专网办公应用与</w:t>
                  </w:r>
                  <w:r>
                    <w:rPr>
                      <w:rFonts w:ascii="仿宋_GB2312" w:hAnsi="仿宋_GB2312" w:cs="仿宋_GB2312" w:eastAsia="仿宋_GB2312"/>
                      <w:sz w:val="20"/>
                    </w:rPr>
                    <w:t>互联网</w:t>
                  </w:r>
                  <w:r>
                    <w:rPr>
                      <w:rFonts w:ascii="仿宋_GB2312" w:hAnsi="仿宋_GB2312" w:cs="仿宋_GB2312" w:eastAsia="仿宋_GB2312"/>
                      <w:sz w:val="20"/>
                    </w:rPr>
                    <w:t>办公应用的数据隔离，并实现针对移动应用的数据级防泄漏能力，在办公</w:t>
                  </w:r>
                  <w:r>
                    <w:rPr>
                      <w:rFonts w:ascii="仿宋_GB2312" w:hAnsi="仿宋_GB2312" w:cs="仿宋_GB2312" w:eastAsia="仿宋_GB2312"/>
                      <w:sz w:val="20"/>
                    </w:rPr>
                    <w:t>APP退出后，系统不残留敏感数据，确保移动应用和工作数据安全。</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供应商提供运维服务。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检察服务平台运维服务</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rPr>
                    <w:t>互联网</w:t>
                  </w:r>
                  <w:r>
                    <w:rPr>
                      <w:rFonts w:ascii="仿宋_GB2312" w:hAnsi="仿宋_GB2312" w:cs="仿宋_GB2312" w:eastAsia="仿宋_GB2312"/>
                      <w:sz w:val="20"/>
                    </w:rPr>
                    <w:t>办公区，在智能终端上通过检察服务平台实现检察为民服务、案件办理等功能。</w:t>
                  </w:r>
                  <w:r>
                    <w:rPr>
                      <w:rFonts w:ascii="仿宋_GB2312" w:hAnsi="仿宋_GB2312" w:cs="仿宋_GB2312" w:eastAsia="仿宋_GB2312"/>
                      <w:sz w:val="20"/>
                    </w:rPr>
                    <w:t>平台软件由供应商提供，服务期满后，软件所有权归供应商。</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采购人已有检察服务平台，供应商提供运维服务。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终端服务</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rPr>
                    <w:t>提供干警移动</w:t>
                  </w:r>
                  <w:r>
                    <w:rPr>
                      <w:rFonts w:ascii="仿宋_GB2312" w:hAnsi="仿宋_GB2312" w:cs="仿宋_GB2312" w:eastAsia="仿宋_GB2312"/>
                      <w:sz w:val="20"/>
                    </w:rPr>
                    <w:t>办案办公</w:t>
                  </w:r>
                  <w:r>
                    <w:rPr>
                      <w:rFonts w:ascii="仿宋_GB2312" w:hAnsi="仿宋_GB2312" w:cs="仿宋_GB2312" w:eastAsia="仿宋_GB2312"/>
                      <w:sz w:val="20"/>
                    </w:rPr>
                    <w:t>所需的安全智能终端，安全智能终端应具备双域安全能力。对移动</w:t>
                  </w:r>
                  <w:r>
                    <w:rPr>
                      <w:rFonts w:ascii="仿宋_GB2312" w:hAnsi="仿宋_GB2312" w:cs="仿宋_GB2312" w:eastAsia="仿宋_GB2312"/>
                      <w:sz w:val="20"/>
                    </w:rPr>
                    <w:t>办案办公</w:t>
                  </w:r>
                  <w:r>
                    <w:rPr>
                      <w:rFonts w:ascii="仿宋_GB2312" w:hAnsi="仿宋_GB2312" w:cs="仿宋_GB2312" w:eastAsia="仿宋_GB2312"/>
                      <w:sz w:val="20"/>
                    </w:rPr>
                    <w:t>智能终端的安全管控，能够防止非法用户获取超级权限，在智能终端不慎丢失时能远程擦除终端上的敏感工作数据，销毁加密卡，取消流量卡对移动专网的接入权限，以及能远程采取其它的必要措施，确保移动专网不被非法用户入侵，安全终端上的敏感数据不失控。</w:t>
                  </w:r>
                </w:p>
                <w:p>
                  <w:pPr>
                    <w:pStyle w:val="null3"/>
                    <w:ind w:firstLine="400"/>
                  </w:pPr>
                  <w:r>
                    <w:rPr>
                      <w:rFonts w:ascii="仿宋_GB2312" w:hAnsi="仿宋_GB2312" w:cs="仿宋_GB2312" w:eastAsia="仿宋_GB2312"/>
                      <w:sz w:val="20"/>
                    </w:rPr>
                    <w:t>5G 接入套餐，保障配套的智能终端在不接入移动专网时，能够安全访问移动</w:t>
                  </w:r>
                  <w:r>
                    <w:rPr>
                      <w:rFonts w:ascii="仿宋_GB2312" w:hAnsi="仿宋_GB2312" w:cs="仿宋_GB2312" w:eastAsia="仿宋_GB2312"/>
                      <w:sz w:val="20"/>
                    </w:rPr>
                    <w:t>互联网</w:t>
                  </w:r>
                  <w:r>
                    <w:rPr>
                      <w:rFonts w:ascii="仿宋_GB2312" w:hAnsi="仿宋_GB2312" w:cs="仿宋_GB2312" w:eastAsia="仿宋_GB2312"/>
                      <w:sz w:val="20"/>
                    </w:rPr>
                    <w:t>，满足检察干警在智能终端上检索信息、查阅法律资料、参加学习强国、中国检察教育培训网络学院、陕西干部网络学院的学习培训等。</w:t>
                  </w:r>
                </w:p>
                <w:p>
                  <w:pPr>
                    <w:pStyle w:val="null3"/>
                    <w:ind w:firstLine="400"/>
                  </w:pPr>
                  <w:r>
                    <w:rPr>
                      <w:rFonts w:ascii="仿宋_GB2312" w:hAnsi="仿宋_GB2312" w:cs="仿宋_GB2312" w:eastAsia="仿宋_GB2312"/>
                      <w:sz w:val="20"/>
                    </w:rPr>
                    <w:t>虚拟专网服务，组建全省检察干警移动终端号虚拟专网，网内用户互打免费。开通短号码功能，方便检察干警快捷的进行日常通信及内部沟通。</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终端及服务由供应商提供。</w:t>
                  </w:r>
                </w:p>
              </w:tc>
            </w:tr>
          </w:tbl>
          <w:p>
            <w:pPr>
              <w:pStyle w:val="null3"/>
              <w:jc w:val="both"/>
            </w:pPr>
            <w:r>
              <w:rPr>
                <w:rFonts w:ascii="仿宋_GB2312" w:hAnsi="仿宋_GB2312" w:cs="仿宋_GB2312" w:eastAsia="仿宋_GB2312"/>
                <w:sz w:val="20"/>
                <w:b/>
              </w:rPr>
              <w:t xml:space="preserve">   6. 服务</w:t>
            </w:r>
            <w:r>
              <w:rPr>
                <w:rFonts w:ascii="仿宋_GB2312" w:hAnsi="仿宋_GB2312" w:cs="仿宋_GB2312" w:eastAsia="仿宋_GB2312"/>
                <w:sz w:val="20"/>
                <w:b/>
              </w:rPr>
              <w:t>要求</w:t>
            </w:r>
          </w:p>
          <w:p>
            <w:pPr>
              <w:pStyle w:val="null3"/>
              <w:jc w:val="both"/>
              <w:outlineLvl w:val="2"/>
            </w:pPr>
            <w:r>
              <w:rPr>
                <w:rFonts w:ascii="仿宋_GB2312" w:hAnsi="仿宋_GB2312" w:cs="仿宋_GB2312" w:eastAsia="仿宋_GB2312"/>
                <w:sz w:val="20"/>
                <w:b/>
              </w:rPr>
              <w:t xml:space="preserve">        6.1平台运维服务</w:t>
            </w:r>
          </w:p>
          <w:p>
            <w:pPr>
              <w:pStyle w:val="null3"/>
              <w:jc w:val="both"/>
              <w:outlineLvl w:val="3"/>
            </w:pPr>
            <w:r>
              <w:rPr>
                <w:rFonts w:ascii="仿宋_GB2312" w:hAnsi="仿宋_GB2312" w:cs="仿宋_GB2312" w:eastAsia="仿宋_GB2312"/>
                <w:sz w:val="20"/>
                <w:b/>
              </w:rPr>
              <w:t xml:space="preserve">       6.1.1移动专网安全接入服务</w:t>
            </w:r>
            <w:r>
              <w:rPr>
                <w:rFonts w:ascii="仿宋_GB2312" w:hAnsi="仿宋_GB2312" w:cs="仿宋_GB2312" w:eastAsia="仿宋_GB2312"/>
                <w:sz w:val="20"/>
                <w:b/>
              </w:rPr>
              <w:t>要求</w:t>
            </w:r>
          </w:p>
          <w:p>
            <w:pPr>
              <w:pStyle w:val="null3"/>
              <w:jc w:val="both"/>
              <w:outlineLvl w:val="3"/>
            </w:pPr>
            <w:r>
              <w:rPr>
                <w:rFonts w:ascii="仿宋_GB2312" w:hAnsi="仿宋_GB2312" w:cs="仿宋_GB2312" w:eastAsia="仿宋_GB2312"/>
                <w:sz w:val="20"/>
                <w:b/>
              </w:rPr>
              <w:t xml:space="preserve">       6.1.1.1 数据传输加密</w:t>
            </w:r>
          </w:p>
          <w:p>
            <w:pPr>
              <w:pStyle w:val="null3"/>
              <w:ind w:firstLine="480"/>
              <w:jc w:val="both"/>
            </w:pPr>
            <w:r>
              <w:rPr>
                <w:rFonts w:ascii="仿宋_GB2312" w:hAnsi="仿宋_GB2312" w:cs="仿宋_GB2312" w:eastAsia="仿宋_GB2312"/>
                <w:sz w:val="20"/>
              </w:rPr>
              <w:t>6.1.1.1.1在智能终端上，</w:t>
            </w:r>
            <w:r>
              <w:rPr>
                <w:rFonts w:ascii="仿宋_GB2312" w:hAnsi="仿宋_GB2312" w:cs="仿宋_GB2312" w:eastAsia="仿宋_GB2312"/>
                <w:sz w:val="20"/>
              </w:rPr>
              <w:t>办案办公</w:t>
            </w:r>
            <w:r>
              <w:rPr>
                <w:rFonts w:ascii="仿宋_GB2312" w:hAnsi="仿宋_GB2312" w:cs="仿宋_GB2312" w:eastAsia="仿宋_GB2312"/>
                <w:sz w:val="20"/>
              </w:rPr>
              <w:t>等敏感数据支持存储加密，并对客户端数据库进行整体加密，确保数据不泄露。可以由管理员设置终端数据不落地，文件只能在线预览和编辑。</w:t>
            </w:r>
          </w:p>
          <w:p>
            <w:pPr>
              <w:pStyle w:val="null3"/>
              <w:ind w:firstLine="480"/>
              <w:jc w:val="both"/>
            </w:pPr>
            <w:r>
              <w:rPr>
                <w:rFonts w:ascii="仿宋_GB2312" w:hAnsi="仿宋_GB2312" w:cs="仿宋_GB2312" w:eastAsia="仿宋_GB2312"/>
                <w:sz w:val="20"/>
              </w:rPr>
              <w:t>6.1.1.1.2在VPN通道上，消息传输基于TLS的自定义协议加密通道，支持国密算法；web服务基于https传输协议和CA数字证书，确保传输安全。</w:t>
            </w:r>
          </w:p>
          <w:p>
            <w:pPr>
              <w:pStyle w:val="null3"/>
              <w:ind w:firstLine="480"/>
              <w:jc w:val="both"/>
            </w:pPr>
            <w:r>
              <w:rPr>
                <w:rFonts w:ascii="仿宋_GB2312" w:hAnsi="仿宋_GB2312" w:cs="仿宋_GB2312" w:eastAsia="仿宋_GB2312"/>
                <w:sz w:val="20"/>
              </w:rPr>
              <w:t>6.1.1.1.3在</w:t>
            </w:r>
            <w:r>
              <w:rPr>
                <w:rFonts w:ascii="仿宋_GB2312" w:hAnsi="仿宋_GB2312" w:cs="仿宋_GB2312" w:eastAsia="仿宋_GB2312"/>
                <w:sz w:val="20"/>
              </w:rPr>
              <w:t>已有的</w:t>
            </w:r>
            <w:r>
              <w:rPr>
                <w:rFonts w:ascii="仿宋_GB2312" w:hAnsi="仿宋_GB2312" w:cs="仿宋_GB2312" w:eastAsia="仿宋_GB2312"/>
                <w:sz w:val="20"/>
              </w:rPr>
              <w:t>内外两侧服务器群上，有明确的访问控制策略与机制确保检察工作网安全和信息输出可控，防止信息信息失控和流向互联网。</w:t>
            </w:r>
          </w:p>
          <w:p>
            <w:pPr>
              <w:pStyle w:val="null3"/>
              <w:jc w:val="both"/>
              <w:outlineLvl w:val="3"/>
            </w:pPr>
            <w:r>
              <w:rPr>
                <w:rFonts w:ascii="仿宋_GB2312" w:hAnsi="仿宋_GB2312" w:cs="仿宋_GB2312" w:eastAsia="仿宋_GB2312"/>
                <w:sz w:val="20"/>
                <w:b/>
              </w:rPr>
              <w:t xml:space="preserve">          6.1.1.2安全接入服务</w:t>
            </w:r>
          </w:p>
          <w:p>
            <w:pPr>
              <w:pStyle w:val="null3"/>
              <w:ind w:firstLine="480"/>
              <w:jc w:val="both"/>
            </w:pPr>
            <w:r>
              <w:rPr>
                <w:rFonts w:ascii="仿宋_GB2312" w:hAnsi="仿宋_GB2312" w:cs="仿宋_GB2312" w:eastAsia="仿宋_GB2312"/>
                <w:sz w:val="20"/>
              </w:rPr>
              <w:t>移动安全接入服务，实现全省移动</w:t>
            </w:r>
            <w:r>
              <w:rPr>
                <w:rFonts w:ascii="仿宋_GB2312" w:hAnsi="仿宋_GB2312" w:cs="仿宋_GB2312" w:eastAsia="仿宋_GB2312"/>
                <w:sz w:val="20"/>
              </w:rPr>
              <w:t>办案办公</w:t>
            </w:r>
            <w:r>
              <w:rPr>
                <w:rFonts w:ascii="仿宋_GB2312" w:hAnsi="仿宋_GB2312" w:cs="仿宋_GB2312" w:eastAsia="仿宋_GB2312"/>
                <w:sz w:val="20"/>
              </w:rPr>
              <w:t>终端安全接入，并与移动办案办公服务器连接。提供基于</w:t>
            </w:r>
            <w:r>
              <w:rPr>
                <w:rFonts w:ascii="仿宋_GB2312" w:hAnsi="仿宋_GB2312" w:cs="仿宋_GB2312" w:eastAsia="仿宋_GB2312"/>
                <w:sz w:val="20"/>
              </w:rPr>
              <w:t>5G 移动网络建立的基于 L2TP 隧道的虚拟专用拨号网安全接入通道；安全接入需具备 2 次认证，认证成功才可接入安全接入区；安全接入区提供500M的</w:t>
            </w:r>
            <w:r>
              <w:rPr>
                <w:rFonts w:ascii="仿宋_GB2312" w:hAnsi="仿宋_GB2312" w:cs="仿宋_GB2312" w:eastAsia="仿宋_GB2312"/>
                <w:sz w:val="20"/>
              </w:rPr>
              <w:t>互联网</w:t>
            </w:r>
            <w:r>
              <w:rPr>
                <w:rFonts w:ascii="仿宋_GB2312" w:hAnsi="仿宋_GB2312" w:cs="仿宋_GB2312" w:eastAsia="仿宋_GB2312"/>
                <w:sz w:val="20"/>
              </w:rPr>
              <w:t>安全通道，实现移动</w:t>
            </w:r>
            <w:r>
              <w:rPr>
                <w:rFonts w:ascii="仿宋_GB2312" w:hAnsi="仿宋_GB2312" w:cs="仿宋_GB2312" w:eastAsia="仿宋_GB2312"/>
                <w:sz w:val="20"/>
              </w:rPr>
              <w:t>办案办公</w:t>
            </w:r>
            <w:r>
              <w:rPr>
                <w:rFonts w:ascii="仿宋_GB2312" w:hAnsi="仿宋_GB2312" w:cs="仿宋_GB2312" w:eastAsia="仿宋_GB2312"/>
                <w:sz w:val="20"/>
              </w:rPr>
              <w:t>终端接入虚拟专用拨号网时可安全访问</w:t>
            </w:r>
            <w:r>
              <w:rPr>
                <w:rFonts w:ascii="仿宋_GB2312" w:hAnsi="仿宋_GB2312" w:cs="仿宋_GB2312" w:eastAsia="仿宋_GB2312"/>
                <w:sz w:val="20"/>
              </w:rPr>
              <w:t>互联网</w:t>
            </w:r>
            <w:r>
              <w:rPr>
                <w:rFonts w:ascii="仿宋_GB2312" w:hAnsi="仿宋_GB2312" w:cs="仿宋_GB2312" w:eastAsia="仿宋_GB2312"/>
                <w:sz w:val="20"/>
              </w:rPr>
              <w:t>，</w:t>
            </w:r>
            <w:r>
              <w:rPr>
                <w:rFonts w:ascii="仿宋_GB2312" w:hAnsi="仿宋_GB2312" w:cs="仿宋_GB2312" w:eastAsia="仿宋_GB2312"/>
                <w:sz w:val="20"/>
              </w:rPr>
              <w:t>互联网</w:t>
            </w:r>
            <w:r>
              <w:rPr>
                <w:rFonts w:ascii="仿宋_GB2312" w:hAnsi="仿宋_GB2312" w:cs="仿宋_GB2312" w:eastAsia="仿宋_GB2312"/>
                <w:sz w:val="20"/>
              </w:rPr>
              <w:t>出口需具备防火墙及上网行为管控设备。</w:t>
            </w:r>
          </w:p>
          <w:p>
            <w:pPr>
              <w:pStyle w:val="null3"/>
              <w:jc w:val="both"/>
              <w:outlineLvl w:val="3"/>
            </w:pPr>
            <w:r>
              <w:rPr>
                <w:rFonts w:ascii="仿宋_GB2312" w:hAnsi="仿宋_GB2312" w:cs="仿宋_GB2312" w:eastAsia="仿宋_GB2312"/>
                <w:sz w:val="20"/>
                <w:b/>
              </w:rPr>
              <w:t xml:space="preserve">           6.1.1.3流量和通话服务</w:t>
            </w:r>
          </w:p>
          <w:p>
            <w:pPr>
              <w:pStyle w:val="null3"/>
              <w:ind w:firstLine="480"/>
              <w:jc w:val="both"/>
            </w:pPr>
            <w:r>
              <w:rPr>
                <w:rFonts w:ascii="仿宋_GB2312" w:hAnsi="仿宋_GB2312" w:cs="仿宋_GB2312" w:eastAsia="仿宋_GB2312"/>
                <w:sz w:val="20"/>
              </w:rPr>
              <w:t>通信服务办案</w:t>
            </w:r>
            <w:r>
              <w:rPr>
                <w:rFonts w:ascii="仿宋_GB2312" w:hAnsi="仿宋_GB2312" w:cs="仿宋_GB2312" w:eastAsia="仿宋_GB2312"/>
                <w:sz w:val="20"/>
              </w:rPr>
              <w:t>办案办公</w:t>
            </w:r>
            <w:r>
              <w:rPr>
                <w:rFonts w:ascii="仿宋_GB2312" w:hAnsi="仿宋_GB2312" w:cs="仿宋_GB2312" w:eastAsia="仿宋_GB2312"/>
                <w:sz w:val="20"/>
              </w:rPr>
              <w:t>区不计流量，不受限制。互联网办案办公区为每个接入的智能终端提供每月不少于</w:t>
            </w:r>
            <w:r>
              <w:rPr>
                <w:rFonts w:ascii="仿宋_GB2312" w:hAnsi="仿宋_GB2312" w:cs="仿宋_GB2312" w:eastAsia="仿宋_GB2312"/>
                <w:sz w:val="20"/>
              </w:rPr>
              <w:t>80G流量、1000分钟通话时长，</w:t>
            </w:r>
            <w:r>
              <w:rPr>
                <w:rFonts w:ascii="仿宋_GB2312" w:hAnsi="仿宋_GB2312" w:cs="仿宋_GB2312" w:eastAsia="仿宋_GB2312"/>
                <w:sz w:val="21"/>
              </w:rPr>
              <w:t>保证三个办公区信号全覆盖，通信畅通。</w:t>
            </w:r>
          </w:p>
          <w:p>
            <w:pPr>
              <w:pStyle w:val="null3"/>
              <w:jc w:val="both"/>
              <w:outlineLvl w:val="2"/>
            </w:pPr>
            <w:r>
              <w:rPr>
                <w:rFonts w:ascii="仿宋_GB2312" w:hAnsi="仿宋_GB2312" w:cs="仿宋_GB2312" w:eastAsia="仿宋_GB2312"/>
                <w:sz w:val="20"/>
                <w:b/>
              </w:rPr>
              <w:t xml:space="preserve">         6.1.2移动终端安全管控服务</w:t>
            </w:r>
          </w:p>
          <w:p>
            <w:pPr>
              <w:pStyle w:val="null3"/>
              <w:jc w:val="both"/>
              <w:outlineLvl w:val="3"/>
            </w:pPr>
            <w:r>
              <w:rPr>
                <w:rFonts w:ascii="仿宋_GB2312" w:hAnsi="仿宋_GB2312" w:cs="仿宋_GB2312" w:eastAsia="仿宋_GB2312"/>
                <w:sz w:val="20"/>
                <w:b/>
              </w:rPr>
              <w:t xml:space="preserve">     </w:t>
            </w:r>
            <w:r>
              <w:rPr>
                <w:rFonts w:ascii="仿宋_GB2312" w:hAnsi="仿宋_GB2312" w:cs="仿宋_GB2312" w:eastAsia="仿宋_GB2312"/>
                <w:sz w:val="20"/>
                <w:b/>
              </w:rPr>
              <w:t xml:space="preserve"> 搭建移动终端安全管控平台，系统具备自主知识产权，且提供终端的授权安全接入服务，要求安全管控服务客户端内置于终端，对办案终端及移动应用的安全管理，防范办案终端及移动应用的安全风险，移动终端管理系统功能需求说明如下：</w:t>
            </w:r>
          </w:p>
          <w:p>
            <w:pPr>
              <w:pStyle w:val="null3"/>
              <w:jc w:val="both"/>
              <w:outlineLvl w:val="3"/>
            </w:pPr>
            <w:r>
              <w:rPr>
                <w:rFonts w:ascii="仿宋_GB2312" w:hAnsi="仿宋_GB2312" w:cs="仿宋_GB2312" w:eastAsia="仿宋_GB2312"/>
                <w:sz w:val="20"/>
                <w:b/>
              </w:rPr>
              <w:t xml:space="preserve">       6.1.2.1终端应用管理功能</w:t>
            </w:r>
          </w:p>
          <w:p>
            <w:pPr>
              <w:pStyle w:val="null3"/>
              <w:jc w:val="both"/>
              <w:outlineLvl w:val="3"/>
            </w:pPr>
            <w:r>
              <w:rPr>
                <w:rFonts w:ascii="仿宋_GB2312" w:hAnsi="仿宋_GB2312" w:cs="仿宋_GB2312" w:eastAsia="仿宋_GB2312"/>
                <w:sz w:val="20"/>
                <w:b/>
              </w:rPr>
              <w:t xml:space="preserve">     </w:t>
            </w:r>
            <w:r>
              <w:rPr>
                <w:rFonts w:ascii="仿宋_GB2312" w:hAnsi="仿宋_GB2312" w:cs="仿宋_GB2312" w:eastAsia="仿宋_GB2312"/>
                <w:sz w:val="20"/>
                <w:b/>
              </w:rPr>
              <w:t xml:space="preserve"> 支持应用黑白名单功能、应用静默安装</w:t>
            </w:r>
            <w:r>
              <w:rPr>
                <w:rFonts w:ascii="仿宋_GB2312" w:hAnsi="仿宋_GB2312" w:cs="仿宋_GB2312" w:eastAsia="仿宋_GB2312"/>
                <w:sz w:val="20"/>
                <w:b/>
              </w:rPr>
              <w:t>/卸载、应用防卸载、应用资产管理、提供应用商店功能，推送应用支持全局更新，错峰智能化定时推送，对终端设备安装应用进行安全管理。</w:t>
            </w:r>
          </w:p>
          <w:p>
            <w:pPr>
              <w:pStyle w:val="null3"/>
              <w:jc w:val="both"/>
              <w:outlineLvl w:val="3"/>
            </w:pPr>
            <w:r>
              <w:rPr>
                <w:rFonts w:ascii="仿宋_GB2312" w:hAnsi="仿宋_GB2312" w:cs="仿宋_GB2312" w:eastAsia="仿宋_GB2312"/>
                <w:sz w:val="20"/>
                <w:b/>
              </w:rPr>
              <w:t xml:space="preserve">        6.1.2.2 终端外设管理功能</w:t>
            </w:r>
          </w:p>
          <w:p>
            <w:pPr>
              <w:pStyle w:val="null3"/>
              <w:ind w:firstLine="400"/>
              <w:jc w:val="left"/>
            </w:pPr>
            <w:r>
              <w:rPr>
                <w:rFonts w:ascii="仿宋_GB2312" w:hAnsi="仿宋_GB2312" w:cs="仿宋_GB2312" w:eastAsia="仿宋_GB2312"/>
                <w:sz w:val="20"/>
              </w:rPr>
              <w:t>支持控制终端上相关端口功能的开启和关闭，包括：蓝牙开启</w:t>
            </w:r>
            <w:r>
              <w:rPr>
                <w:rFonts w:ascii="仿宋_GB2312" w:hAnsi="仿宋_GB2312" w:cs="仿宋_GB2312" w:eastAsia="仿宋_GB2312"/>
                <w:sz w:val="20"/>
              </w:rPr>
              <w:t>/关闭、摄像头开启/关闭、麦克风开启/关闭、网络访问开关（WIFI开启/关闭、移动数据开启/关闭）、个人热点开启/关闭、位置信息开启/关闭、USB开启/关闭、飞行模式、截屏、录屏功能开启/关闭。</w:t>
            </w:r>
          </w:p>
          <w:p>
            <w:pPr>
              <w:pStyle w:val="null3"/>
              <w:jc w:val="both"/>
              <w:outlineLvl w:val="3"/>
            </w:pPr>
            <w:r>
              <w:rPr>
                <w:rFonts w:ascii="仿宋_GB2312" w:hAnsi="仿宋_GB2312" w:cs="仿宋_GB2312" w:eastAsia="仿宋_GB2312"/>
                <w:sz w:val="20"/>
                <w:b/>
              </w:rPr>
              <w:t xml:space="preserve">       6.1.2.3终端设备管理功能</w:t>
            </w:r>
          </w:p>
          <w:p>
            <w:pPr>
              <w:pStyle w:val="null3"/>
              <w:ind w:firstLine="400"/>
              <w:jc w:val="left"/>
            </w:pPr>
            <w:r>
              <w:rPr>
                <w:rFonts w:ascii="仿宋_GB2312" w:hAnsi="仿宋_GB2312" w:cs="仿宋_GB2312" w:eastAsia="仿宋_GB2312"/>
                <w:sz w:val="20"/>
              </w:rPr>
              <w:t>支持终端机卡绑定功能，当终端上使用的号卡发生变化时，终端将进行异常行为监管，将终端锁定，防止终端的违规使用。支持对终端数据进行远程管控。</w:t>
            </w:r>
          </w:p>
          <w:p>
            <w:pPr>
              <w:pStyle w:val="null3"/>
              <w:jc w:val="both"/>
              <w:outlineLvl w:val="3"/>
            </w:pPr>
            <w:r>
              <w:rPr>
                <w:rFonts w:ascii="仿宋_GB2312" w:hAnsi="仿宋_GB2312" w:cs="仿宋_GB2312" w:eastAsia="仿宋_GB2312"/>
                <w:sz w:val="20"/>
                <w:b/>
              </w:rPr>
              <w:t xml:space="preserve">        6.1.2.4终端设备定位功能</w:t>
            </w:r>
          </w:p>
          <w:p>
            <w:pPr>
              <w:pStyle w:val="null3"/>
              <w:ind w:firstLine="400"/>
            </w:pPr>
            <w:r>
              <w:rPr>
                <w:rFonts w:ascii="仿宋_GB2312" w:hAnsi="仿宋_GB2312" w:cs="仿宋_GB2312" w:eastAsia="仿宋_GB2312"/>
                <w:sz w:val="20"/>
              </w:rPr>
              <w:t>支持终端定位数据上报，支持终端定位轨迹查询，定位采集频率可在后台进行配置。</w:t>
            </w:r>
          </w:p>
          <w:p>
            <w:pPr>
              <w:pStyle w:val="null3"/>
              <w:jc w:val="both"/>
              <w:outlineLvl w:val="3"/>
            </w:pPr>
            <w:r>
              <w:rPr>
                <w:rFonts w:ascii="仿宋_GB2312" w:hAnsi="仿宋_GB2312" w:cs="仿宋_GB2312" w:eastAsia="仿宋_GB2312"/>
                <w:sz w:val="20"/>
                <w:b/>
              </w:rPr>
              <w:t xml:space="preserve">        6.1.2.5终端设备功能</w:t>
            </w:r>
          </w:p>
          <w:p>
            <w:pPr>
              <w:pStyle w:val="null3"/>
              <w:ind w:firstLine="400"/>
              <w:jc w:val="left"/>
            </w:pPr>
            <w:r>
              <w:rPr>
                <w:rFonts w:ascii="仿宋_GB2312" w:hAnsi="仿宋_GB2312" w:cs="仿宋_GB2312" w:eastAsia="仿宋_GB2312"/>
                <w:sz w:val="20"/>
              </w:rPr>
              <w:t>支持终端管理平台查询所有注册终端的型号、软件版本、内存、设备串号、已注册、在线、失联、外出、</w:t>
            </w:r>
            <w:r>
              <w:rPr>
                <w:rFonts w:ascii="仿宋_GB2312" w:hAnsi="仿宋_GB2312" w:cs="仿宋_GB2312" w:eastAsia="仿宋_GB2312"/>
                <w:sz w:val="20"/>
              </w:rPr>
              <w:t>Root、已注销等设备管理状态。禁止修改终端时间、支持违规终端进行终端锁定。</w:t>
            </w:r>
          </w:p>
          <w:p>
            <w:pPr>
              <w:pStyle w:val="null3"/>
              <w:jc w:val="both"/>
              <w:outlineLvl w:val="3"/>
            </w:pPr>
            <w:r>
              <w:rPr>
                <w:rFonts w:ascii="仿宋_GB2312" w:hAnsi="仿宋_GB2312" w:cs="仿宋_GB2312" w:eastAsia="仿宋_GB2312"/>
                <w:sz w:val="20"/>
                <w:b/>
              </w:rPr>
              <w:t xml:space="preserve">        6.1.2.6水印功能</w:t>
            </w:r>
          </w:p>
          <w:p>
            <w:pPr>
              <w:pStyle w:val="null3"/>
              <w:ind w:firstLine="400"/>
              <w:jc w:val="left"/>
            </w:pPr>
            <w:r>
              <w:rPr>
                <w:rFonts w:ascii="仿宋_GB2312" w:hAnsi="仿宋_GB2312" w:cs="仿宋_GB2312" w:eastAsia="仿宋_GB2312"/>
                <w:sz w:val="20"/>
              </w:rPr>
              <w:t>为终端提供全局水印功能。水印内容支持自定义。</w:t>
            </w:r>
          </w:p>
          <w:p>
            <w:pPr>
              <w:pStyle w:val="null3"/>
              <w:jc w:val="both"/>
              <w:outlineLvl w:val="3"/>
            </w:pPr>
            <w:r>
              <w:rPr>
                <w:rFonts w:ascii="仿宋_GB2312" w:hAnsi="仿宋_GB2312" w:cs="仿宋_GB2312" w:eastAsia="仿宋_GB2312"/>
                <w:sz w:val="20"/>
                <w:b/>
              </w:rPr>
              <w:t xml:space="preserve">        6.1.2.7人员组织管理</w:t>
            </w:r>
          </w:p>
          <w:p>
            <w:pPr>
              <w:pStyle w:val="null3"/>
              <w:ind w:firstLine="400"/>
            </w:pPr>
            <w:r>
              <w:rPr>
                <w:rFonts w:ascii="仿宋_GB2312" w:hAnsi="仿宋_GB2312" w:cs="仿宋_GB2312" w:eastAsia="仿宋_GB2312"/>
                <w:sz w:val="20"/>
              </w:rPr>
              <w:t>支持人员的增、改、查、批量导入，可根据组织机构的方式进行管理外，后台还可为根据管理要求创建不同的人员分组，通过分组进行策略管理。</w:t>
            </w:r>
          </w:p>
          <w:p>
            <w:pPr>
              <w:pStyle w:val="null3"/>
              <w:jc w:val="both"/>
              <w:outlineLvl w:val="3"/>
            </w:pPr>
            <w:r>
              <w:rPr>
                <w:rFonts w:ascii="仿宋_GB2312" w:hAnsi="仿宋_GB2312" w:cs="仿宋_GB2312" w:eastAsia="仿宋_GB2312"/>
                <w:sz w:val="20"/>
                <w:b/>
              </w:rPr>
              <w:t xml:space="preserve">       6.1.2.8入网管理</w:t>
            </w:r>
          </w:p>
          <w:p>
            <w:pPr>
              <w:pStyle w:val="null3"/>
              <w:ind w:firstLine="400"/>
            </w:pPr>
            <w:r>
              <w:rPr>
                <w:rFonts w:ascii="仿宋_GB2312" w:hAnsi="仿宋_GB2312" w:cs="仿宋_GB2312" w:eastAsia="仿宋_GB2312"/>
                <w:sz w:val="20"/>
              </w:rPr>
              <w:t>支持未注册终端开机后，即停留在终端注册界面，终端注册后才能正常使用。禁止从终端设置界面中恢复出厂，终端被硬键组合开机后恢复出厂依然被管控。</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rPr>
              <w:t>6.1.2.9多级密码管理</w:t>
            </w:r>
          </w:p>
          <w:p>
            <w:pPr>
              <w:pStyle w:val="null3"/>
              <w:ind w:firstLine="400"/>
            </w:pPr>
            <w:r>
              <w:rPr>
                <w:rFonts w:ascii="仿宋_GB2312" w:hAnsi="仿宋_GB2312" w:cs="仿宋_GB2312" w:eastAsia="仿宋_GB2312"/>
                <w:sz w:val="20"/>
              </w:rPr>
              <w:t>支持隐私信息的查询，需要输入多级密码方可访问，多级密码验证通过方可进行查询。</w:t>
            </w:r>
          </w:p>
          <w:p>
            <w:pPr>
              <w:pStyle w:val="null3"/>
              <w:ind w:firstLine="400"/>
              <w:jc w:val="left"/>
            </w:pPr>
            <w:r>
              <w:rPr>
                <w:rFonts w:ascii="仿宋_GB2312" w:hAnsi="仿宋_GB2312" w:cs="仿宋_GB2312" w:eastAsia="仿宋_GB2312"/>
                <w:sz w:val="20"/>
              </w:rPr>
              <w:t>6.1.2.10系统管理</w:t>
            </w:r>
          </w:p>
          <w:p>
            <w:pPr>
              <w:pStyle w:val="null3"/>
              <w:ind w:firstLine="400"/>
              <w:jc w:val="left"/>
            </w:pPr>
            <w:r>
              <w:rPr>
                <w:rFonts w:ascii="仿宋_GB2312" w:hAnsi="仿宋_GB2312" w:cs="仿宋_GB2312" w:eastAsia="仿宋_GB2312"/>
                <w:sz w:val="20"/>
              </w:rPr>
              <w:t>支持管控软件防卸载、管控软件系统权限保活，记录管理员操作内容、终端、</w:t>
            </w:r>
            <w:r>
              <w:rPr>
                <w:rFonts w:ascii="仿宋_GB2312" w:hAnsi="仿宋_GB2312" w:cs="仿宋_GB2312" w:eastAsia="仿宋_GB2312"/>
                <w:sz w:val="20"/>
              </w:rPr>
              <w:t>IP、时间。支持日志按时间查询、筛选、终端安装应用历史记录。</w:t>
            </w:r>
          </w:p>
          <w:p>
            <w:pPr>
              <w:pStyle w:val="null3"/>
              <w:ind w:firstLine="400"/>
              <w:jc w:val="left"/>
            </w:pPr>
            <w:r>
              <w:rPr>
                <w:rFonts w:ascii="仿宋_GB2312" w:hAnsi="仿宋_GB2312" w:cs="仿宋_GB2312" w:eastAsia="仿宋_GB2312"/>
                <w:sz w:val="20"/>
              </w:rPr>
              <w:t>6.1.2.11终端激活</w:t>
            </w:r>
          </w:p>
          <w:p>
            <w:pPr>
              <w:pStyle w:val="null3"/>
              <w:ind w:firstLine="400"/>
              <w:jc w:val="left"/>
            </w:pPr>
            <w:r>
              <w:rPr>
                <w:rFonts w:ascii="仿宋_GB2312" w:hAnsi="仿宋_GB2312" w:cs="仿宋_GB2312" w:eastAsia="仿宋_GB2312"/>
                <w:sz w:val="20"/>
              </w:rPr>
              <w:t>终端插入</w:t>
            </w:r>
            <w:r>
              <w:rPr>
                <w:rFonts w:ascii="仿宋_GB2312" w:hAnsi="仿宋_GB2312" w:cs="仿宋_GB2312" w:eastAsia="仿宋_GB2312"/>
                <w:sz w:val="20"/>
              </w:rPr>
              <w:t>SIM卡，通过扫描注册二维码，并通过后台导入的用户信息、SIM卡(IMSI)等验证后，进行关联绑定，并且激活。</w:t>
            </w:r>
          </w:p>
          <w:p>
            <w:pPr>
              <w:pStyle w:val="null3"/>
              <w:jc w:val="both"/>
              <w:outlineLvl w:val="2"/>
            </w:pPr>
            <w:r>
              <w:rPr>
                <w:rFonts w:ascii="仿宋_GB2312" w:hAnsi="仿宋_GB2312" w:cs="仿宋_GB2312" w:eastAsia="仿宋_GB2312"/>
                <w:sz w:val="20"/>
                <w:b/>
              </w:rPr>
              <w:t xml:space="preserve">       6.2移动</w:t>
            </w:r>
            <w:r>
              <w:rPr>
                <w:rFonts w:ascii="仿宋_GB2312" w:hAnsi="仿宋_GB2312" w:cs="仿宋_GB2312" w:eastAsia="仿宋_GB2312"/>
                <w:sz w:val="20"/>
                <w:b/>
              </w:rPr>
              <w:t>办案办公</w:t>
            </w:r>
            <w:r>
              <w:rPr>
                <w:rFonts w:ascii="仿宋_GB2312" w:hAnsi="仿宋_GB2312" w:cs="仿宋_GB2312" w:eastAsia="仿宋_GB2312"/>
                <w:sz w:val="20"/>
                <w:b/>
              </w:rPr>
              <w:t>运维服务</w:t>
            </w:r>
          </w:p>
          <w:p>
            <w:pPr>
              <w:pStyle w:val="null3"/>
              <w:jc w:val="both"/>
              <w:outlineLvl w:val="3"/>
            </w:pPr>
            <w:r>
              <w:rPr>
                <w:rFonts w:ascii="仿宋_GB2312" w:hAnsi="仿宋_GB2312" w:cs="仿宋_GB2312" w:eastAsia="仿宋_GB2312"/>
                <w:sz w:val="20"/>
                <w:b/>
              </w:rPr>
              <w:t xml:space="preserve">      6.2.1互联网办公应用服务</w:t>
            </w:r>
          </w:p>
          <w:p>
            <w:pPr>
              <w:pStyle w:val="null3"/>
              <w:ind w:firstLine="480"/>
              <w:jc w:val="both"/>
            </w:pPr>
            <w:r>
              <w:rPr>
                <w:rFonts w:ascii="仿宋_GB2312" w:hAnsi="仿宋_GB2312" w:cs="仿宋_GB2312" w:eastAsia="仿宋_GB2312"/>
                <w:sz w:val="20"/>
              </w:rPr>
              <w:t>在互联网办公区，在智能终端上通过</w:t>
            </w:r>
            <w:r>
              <w:rPr>
                <w:rFonts w:ascii="仿宋_GB2312" w:hAnsi="仿宋_GB2312" w:cs="仿宋_GB2312" w:eastAsia="仿宋_GB2312"/>
                <w:sz w:val="20"/>
              </w:rPr>
              <w:t>12309APP、益心为公APP、秦政通等实现检察为民服务、代表委员联络、案件线索收集等功能。满足检察干警在智能终端上检索信息、查阅法律资料，参加学习强国、中国检察教育培训网络学院、陕西干部网络学院的学习培训等。</w:t>
            </w:r>
          </w:p>
          <w:p>
            <w:pPr>
              <w:pStyle w:val="null3"/>
              <w:jc w:val="both"/>
              <w:outlineLvl w:val="3"/>
            </w:pPr>
            <w:r>
              <w:rPr>
                <w:rFonts w:ascii="仿宋_GB2312" w:hAnsi="仿宋_GB2312" w:cs="仿宋_GB2312" w:eastAsia="仿宋_GB2312"/>
                <w:sz w:val="20"/>
                <w:b/>
              </w:rPr>
              <w:t xml:space="preserve">         6.2.2专网</w:t>
            </w:r>
            <w:r>
              <w:rPr>
                <w:rFonts w:ascii="仿宋_GB2312" w:hAnsi="仿宋_GB2312" w:cs="仿宋_GB2312" w:eastAsia="仿宋_GB2312"/>
                <w:sz w:val="20"/>
                <w:b/>
              </w:rPr>
              <w:t>办案办公</w:t>
            </w:r>
            <w:r>
              <w:rPr>
                <w:rFonts w:ascii="仿宋_GB2312" w:hAnsi="仿宋_GB2312" w:cs="仿宋_GB2312" w:eastAsia="仿宋_GB2312"/>
                <w:sz w:val="20"/>
                <w:b/>
              </w:rPr>
              <w:t>区功能要求</w:t>
            </w:r>
          </w:p>
          <w:p>
            <w:pPr>
              <w:pStyle w:val="null3"/>
              <w:ind w:firstLine="480"/>
              <w:jc w:val="both"/>
            </w:pPr>
            <w:r>
              <w:rPr>
                <w:rFonts w:ascii="仿宋_GB2312" w:hAnsi="仿宋_GB2312" w:cs="仿宋_GB2312" w:eastAsia="仿宋_GB2312"/>
                <w:sz w:val="20"/>
              </w:rPr>
              <w:t>6.2.2.1应用远程管控</w:t>
            </w:r>
          </w:p>
          <w:p>
            <w:pPr>
              <w:pStyle w:val="null3"/>
              <w:ind w:firstLine="480"/>
              <w:jc w:val="both"/>
            </w:pPr>
            <w:r>
              <w:rPr>
                <w:rFonts w:ascii="仿宋_GB2312" w:hAnsi="仿宋_GB2312" w:cs="仿宋_GB2312" w:eastAsia="仿宋_GB2312"/>
                <w:sz w:val="20"/>
              </w:rPr>
              <w:t>供应商应提供移动应用安全管理服务，能严格控制智能终端上的移动应用下载安装与更新行为，保障专网</w:t>
            </w:r>
            <w:r>
              <w:rPr>
                <w:rFonts w:ascii="仿宋_GB2312" w:hAnsi="仿宋_GB2312" w:cs="仿宋_GB2312" w:eastAsia="仿宋_GB2312"/>
                <w:sz w:val="20"/>
              </w:rPr>
              <w:t>办案办公</w:t>
            </w:r>
            <w:r>
              <w:rPr>
                <w:rFonts w:ascii="仿宋_GB2312" w:hAnsi="仿宋_GB2312" w:cs="仿宋_GB2312" w:eastAsia="仿宋_GB2312"/>
                <w:sz w:val="20"/>
              </w:rPr>
              <w:t>应用与互联网办公应用的数据隔离。</w:t>
            </w:r>
          </w:p>
          <w:p>
            <w:pPr>
              <w:pStyle w:val="null3"/>
              <w:ind w:firstLine="480"/>
              <w:jc w:val="both"/>
            </w:pPr>
            <w:r>
              <w:rPr>
                <w:rFonts w:ascii="仿宋_GB2312" w:hAnsi="仿宋_GB2312" w:cs="仿宋_GB2312" w:eastAsia="仿宋_GB2312"/>
                <w:sz w:val="20"/>
              </w:rPr>
              <w:t>6.2.2.2登录与验证</w:t>
            </w:r>
          </w:p>
          <w:p>
            <w:pPr>
              <w:pStyle w:val="null3"/>
              <w:ind w:firstLine="480"/>
              <w:jc w:val="both"/>
            </w:pPr>
            <w:r>
              <w:rPr>
                <w:rFonts w:ascii="仿宋_GB2312" w:hAnsi="仿宋_GB2312" w:cs="仿宋_GB2312" w:eastAsia="仿宋_GB2312"/>
                <w:sz w:val="20"/>
              </w:rPr>
              <w:t>系统提供用户登录与验证功能。系统通过检察工作网门户系统的用户信息为检察人员提供账户信息，设置用户名和密码，检察工作人员可通过用户名和密码进入移动办案办公首页，系统支持指纹登录，用户可通过录入指纹信息使用指纹验证登录。</w:t>
            </w:r>
          </w:p>
          <w:p>
            <w:pPr>
              <w:pStyle w:val="null3"/>
              <w:ind w:firstLine="480"/>
              <w:jc w:val="both"/>
            </w:pPr>
            <w:r>
              <w:rPr>
                <w:rFonts w:ascii="仿宋_GB2312" w:hAnsi="仿宋_GB2312" w:cs="仿宋_GB2312" w:eastAsia="仿宋_GB2312"/>
                <w:sz w:val="20"/>
              </w:rPr>
              <w:t>系统支持与检察工作网门户系统对接，可获取检察工作网系统的用户信息，并支持与检察工作网门户系统同步用户信息，移动办案办公平台不单独存储用户信息。</w:t>
            </w:r>
          </w:p>
          <w:p>
            <w:pPr>
              <w:pStyle w:val="null3"/>
              <w:ind w:firstLine="480"/>
              <w:jc w:val="both"/>
            </w:pPr>
            <w:r>
              <w:rPr>
                <w:rFonts w:ascii="仿宋_GB2312" w:hAnsi="仿宋_GB2312" w:cs="仿宋_GB2312" w:eastAsia="仿宋_GB2312"/>
                <w:sz w:val="20"/>
              </w:rPr>
              <w:t>密码需强制使用字母、符号与数字的组合，用户输入用户名密码认证环节，系统首先会对终端进行授权认证，认证通过后再对用户信息进行身份认证，通过后可进入移动</w:t>
            </w:r>
            <w:r>
              <w:rPr>
                <w:rFonts w:ascii="仿宋_GB2312" w:hAnsi="仿宋_GB2312" w:cs="仿宋_GB2312" w:eastAsia="仿宋_GB2312"/>
                <w:sz w:val="20"/>
              </w:rPr>
              <w:t>办案办公</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6.2.2.3工作台</w:t>
            </w:r>
          </w:p>
          <w:p>
            <w:pPr>
              <w:pStyle w:val="null3"/>
              <w:ind w:firstLine="480"/>
              <w:jc w:val="both"/>
            </w:pPr>
            <w:r>
              <w:rPr>
                <w:rFonts w:ascii="仿宋_GB2312" w:hAnsi="仿宋_GB2312" w:cs="仿宋_GB2312" w:eastAsia="仿宋_GB2312"/>
                <w:sz w:val="20"/>
              </w:rPr>
              <w:t>功能与检察工作网</w:t>
            </w:r>
            <w:r>
              <w:rPr>
                <w:rFonts w:ascii="仿宋_GB2312" w:hAnsi="仿宋_GB2312" w:cs="仿宋_GB2312" w:eastAsia="仿宋_GB2312"/>
                <w:sz w:val="20"/>
              </w:rPr>
              <w:t>PC 终端保持同步，实现网页版和cocall版</w:t>
            </w:r>
            <w:r>
              <w:rPr>
                <w:rFonts w:ascii="仿宋_GB2312" w:hAnsi="仿宋_GB2312" w:cs="仿宋_GB2312" w:eastAsia="仿宋_GB2312"/>
                <w:sz w:val="20"/>
              </w:rPr>
              <w:t>办案办公</w:t>
            </w:r>
            <w:r>
              <w:rPr>
                <w:rFonts w:ascii="仿宋_GB2312" w:hAnsi="仿宋_GB2312" w:cs="仿宋_GB2312" w:eastAsia="仿宋_GB2312"/>
                <w:sz w:val="20"/>
              </w:rPr>
              <w:t>自动化。</w:t>
            </w:r>
          </w:p>
          <w:p>
            <w:pPr>
              <w:pStyle w:val="null3"/>
              <w:ind w:firstLine="480"/>
              <w:jc w:val="both"/>
            </w:pPr>
            <w:r>
              <w:rPr>
                <w:rFonts w:ascii="仿宋_GB2312" w:hAnsi="仿宋_GB2312" w:cs="仿宋_GB2312" w:eastAsia="仿宋_GB2312"/>
                <w:sz w:val="20"/>
              </w:rPr>
              <w:t>6.2.2.4个人中心</w:t>
            </w:r>
          </w:p>
          <w:p>
            <w:pPr>
              <w:pStyle w:val="null3"/>
              <w:ind w:firstLine="480"/>
              <w:jc w:val="both"/>
            </w:pPr>
            <w:r>
              <w:rPr>
                <w:rFonts w:ascii="仿宋_GB2312" w:hAnsi="仿宋_GB2312" w:cs="仿宋_GB2312" w:eastAsia="仿宋_GB2312"/>
                <w:sz w:val="20"/>
              </w:rPr>
              <w:t>系统提供个人中心功能，可实现历史通知、我的收藏查看，密码重置、个人偏好设置等功能。</w:t>
            </w:r>
          </w:p>
          <w:p>
            <w:pPr>
              <w:pStyle w:val="null3"/>
              <w:jc w:val="both"/>
              <w:outlineLvl w:val="3"/>
            </w:pPr>
            <w:r>
              <w:rPr>
                <w:rFonts w:ascii="仿宋_GB2312" w:hAnsi="仿宋_GB2312" w:cs="仿宋_GB2312" w:eastAsia="仿宋_GB2312"/>
                <w:sz w:val="20"/>
                <w:b/>
              </w:rPr>
              <w:t xml:space="preserve">         6.2.3移动</w:t>
            </w:r>
            <w:r>
              <w:rPr>
                <w:rFonts w:ascii="仿宋_GB2312" w:hAnsi="仿宋_GB2312" w:cs="仿宋_GB2312" w:eastAsia="仿宋_GB2312"/>
                <w:sz w:val="20"/>
                <w:b/>
              </w:rPr>
              <w:t>办案办公</w:t>
            </w:r>
            <w:r>
              <w:rPr>
                <w:rFonts w:ascii="仿宋_GB2312" w:hAnsi="仿宋_GB2312" w:cs="仿宋_GB2312" w:eastAsia="仿宋_GB2312"/>
                <w:sz w:val="20"/>
                <w:b/>
              </w:rPr>
              <w:t>平台支撑服务</w:t>
            </w:r>
          </w:p>
          <w:p>
            <w:pPr>
              <w:pStyle w:val="null3"/>
              <w:jc w:val="both"/>
              <w:outlineLvl w:val="4"/>
            </w:pPr>
            <w:r>
              <w:rPr>
                <w:rFonts w:ascii="仿宋_GB2312" w:hAnsi="仿宋_GB2312" w:cs="仿宋_GB2312" w:eastAsia="仿宋_GB2312"/>
                <w:sz w:val="20"/>
                <w:b/>
              </w:rPr>
              <w:t xml:space="preserve">         对移动办案办公平台提供运维服务，目前平台功能如下：</w:t>
            </w:r>
          </w:p>
          <w:p>
            <w:pPr>
              <w:pStyle w:val="null3"/>
              <w:jc w:val="both"/>
              <w:outlineLvl w:val="4"/>
            </w:pPr>
            <w:r>
              <w:rPr>
                <w:rFonts w:ascii="仿宋_GB2312" w:hAnsi="仿宋_GB2312" w:cs="仿宋_GB2312" w:eastAsia="仿宋_GB2312"/>
                <w:sz w:val="20"/>
                <w:b/>
              </w:rPr>
              <w:t xml:space="preserve">          6.2.3.1自主可控</w:t>
            </w:r>
          </w:p>
          <w:p>
            <w:pPr>
              <w:pStyle w:val="null3"/>
              <w:ind w:firstLine="480"/>
              <w:jc w:val="both"/>
            </w:pPr>
            <w:r>
              <w:rPr>
                <w:rFonts w:ascii="仿宋_GB2312" w:hAnsi="仿宋_GB2312" w:cs="仿宋_GB2312" w:eastAsia="仿宋_GB2312"/>
                <w:sz w:val="20"/>
              </w:rPr>
              <w:t>移动</w:t>
            </w:r>
            <w:r>
              <w:rPr>
                <w:rFonts w:ascii="仿宋_GB2312" w:hAnsi="仿宋_GB2312" w:cs="仿宋_GB2312" w:eastAsia="仿宋_GB2312"/>
                <w:sz w:val="20"/>
              </w:rPr>
              <w:t>办案办公</w:t>
            </w:r>
            <w:r>
              <w:rPr>
                <w:rFonts w:ascii="仿宋_GB2312" w:hAnsi="仿宋_GB2312" w:cs="仿宋_GB2312" w:eastAsia="仿宋_GB2312"/>
                <w:sz w:val="20"/>
              </w:rPr>
              <w:t>平台基于国密密码算法，实现可信身份管理、网络传输安全、数据使用与存储安全等方面进行综合防护。此外，在系统关键设备或模块，基于国产自主可控软硬件平台开发，实现移动</w:t>
            </w:r>
            <w:r>
              <w:rPr>
                <w:rFonts w:ascii="仿宋_GB2312" w:hAnsi="仿宋_GB2312" w:cs="仿宋_GB2312" w:eastAsia="仿宋_GB2312"/>
                <w:sz w:val="20"/>
              </w:rPr>
              <w:t>办案办公</w:t>
            </w:r>
            <w:r>
              <w:rPr>
                <w:rFonts w:ascii="仿宋_GB2312" w:hAnsi="仿宋_GB2312" w:cs="仿宋_GB2312" w:eastAsia="仿宋_GB2312"/>
                <w:sz w:val="20"/>
              </w:rPr>
              <w:t>的安全可信。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1）身份鉴别</w:t>
            </w:r>
          </w:p>
          <w:p>
            <w:pPr>
              <w:pStyle w:val="null3"/>
              <w:ind w:firstLine="480"/>
              <w:jc w:val="both"/>
            </w:pPr>
            <w:r>
              <w:rPr>
                <w:rFonts w:ascii="仿宋_GB2312" w:hAnsi="仿宋_GB2312" w:cs="仿宋_GB2312" w:eastAsia="仿宋_GB2312"/>
                <w:sz w:val="20"/>
              </w:rPr>
              <w:t>系统用户的身份标识应具有唯一性；</w:t>
            </w:r>
          </w:p>
          <w:p>
            <w:pPr>
              <w:pStyle w:val="null3"/>
              <w:ind w:firstLine="480"/>
              <w:jc w:val="both"/>
            </w:pPr>
            <w:r>
              <w:rPr>
                <w:rFonts w:ascii="仿宋_GB2312" w:hAnsi="仿宋_GB2312" w:cs="仿宋_GB2312" w:eastAsia="仿宋_GB2312"/>
                <w:sz w:val="20"/>
              </w:rPr>
              <w:t>应对登录的用户进行身份标识和鉴别；</w:t>
            </w:r>
          </w:p>
          <w:p>
            <w:pPr>
              <w:pStyle w:val="null3"/>
              <w:ind w:firstLine="480"/>
              <w:jc w:val="both"/>
            </w:pPr>
            <w:r>
              <w:rPr>
                <w:rFonts w:ascii="仿宋_GB2312" w:hAnsi="仿宋_GB2312" w:cs="仿宋_GB2312" w:eastAsia="仿宋_GB2312"/>
                <w:sz w:val="20"/>
              </w:rPr>
              <w:t>系统用户的身份鉴别信息具有不易被冒用的特点，例如口令长度、复杂性和定期的更新等；</w:t>
            </w:r>
          </w:p>
          <w:p>
            <w:pPr>
              <w:pStyle w:val="null3"/>
              <w:ind w:firstLine="480"/>
              <w:jc w:val="both"/>
            </w:pPr>
            <w:r>
              <w:rPr>
                <w:rFonts w:ascii="仿宋_GB2312" w:hAnsi="仿宋_GB2312" w:cs="仿宋_GB2312" w:eastAsia="仿宋_GB2312"/>
                <w:sz w:val="20"/>
              </w:rPr>
              <w:t>同一用户采用两种或两种以上组合的鉴别技术实现用户身份鉴别；</w:t>
            </w:r>
          </w:p>
          <w:p>
            <w:pPr>
              <w:pStyle w:val="null3"/>
              <w:ind w:firstLine="480"/>
              <w:jc w:val="both"/>
            </w:pPr>
            <w:r>
              <w:rPr>
                <w:rFonts w:ascii="仿宋_GB2312" w:hAnsi="仿宋_GB2312" w:cs="仿宋_GB2312" w:eastAsia="仿宋_GB2312"/>
                <w:sz w:val="20"/>
              </w:rPr>
              <w:t>具有登录失败处理功能，如：结束会话、限制非法登录次数，当登录连接超时，自动退出；</w:t>
            </w:r>
          </w:p>
          <w:p>
            <w:pPr>
              <w:pStyle w:val="null3"/>
              <w:ind w:firstLine="480"/>
              <w:jc w:val="both"/>
            </w:pPr>
            <w:r>
              <w:rPr>
                <w:rFonts w:ascii="仿宋_GB2312" w:hAnsi="仿宋_GB2312" w:cs="仿宋_GB2312" w:eastAsia="仿宋_GB2312"/>
                <w:sz w:val="20"/>
              </w:rPr>
              <w:t>系统及时清除存储空间中动态使用的鉴别信息。</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2）访问控制</w:t>
            </w:r>
          </w:p>
          <w:p>
            <w:pPr>
              <w:pStyle w:val="null3"/>
              <w:ind w:firstLine="480"/>
              <w:jc w:val="both"/>
            </w:pPr>
            <w:r>
              <w:rPr>
                <w:rFonts w:ascii="仿宋_GB2312" w:hAnsi="仿宋_GB2312" w:cs="仿宋_GB2312" w:eastAsia="仿宋_GB2312"/>
                <w:sz w:val="20"/>
              </w:rPr>
              <w:t>依据安全策略控制用户对客体的访问；</w:t>
            </w:r>
          </w:p>
          <w:p>
            <w:pPr>
              <w:pStyle w:val="null3"/>
              <w:ind w:firstLine="480"/>
              <w:jc w:val="both"/>
            </w:pPr>
            <w:r>
              <w:rPr>
                <w:rFonts w:ascii="仿宋_GB2312" w:hAnsi="仿宋_GB2312" w:cs="仿宋_GB2312" w:eastAsia="仿宋_GB2312"/>
                <w:sz w:val="20"/>
              </w:rPr>
              <w:t>自主访问控制的覆盖范围应包括与信息安全直接相关的主体、客体及它们之间的操作；</w:t>
            </w:r>
          </w:p>
          <w:p>
            <w:pPr>
              <w:pStyle w:val="null3"/>
              <w:ind w:firstLine="480"/>
              <w:jc w:val="both"/>
            </w:pPr>
            <w:r>
              <w:rPr>
                <w:rFonts w:ascii="仿宋_GB2312" w:hAnsi="仿宋_GB2312" w:cs="仿宋_GB2312" w:eastAsia="仿宋_GB2312"/>
                <w:sz w:val="20"/>
              </w:rPr>
              <w:t>自主访问控制的粒度应达到主体为用户级，客体为文件、数据库表级；</w:t>
            </w:r>
          </w:p>
          <w:p>
            <w:pPr>
              <w:pStyle w:val="null3"/>
              <w:ind w:firstLine="480"/>
              <w:jc w:val="both"/>
            </w:pPr>
            <w:r>
              <w:rPr>
                <w:rFonts w:ascii="仿宋_GB2312" w:hAnsi="仿宋_GB2312" w:cs="仿宋_GB2312" w:eastAsia="仿宋_GB2312"/>
                <w:sz w:val="20"/>
              </w:rPr>
              <w:t>由授权主体设置用户对系统功能操作和对数据访问的权限；</w:t>
            </w:r>
          </w:p>
          <w:p>
            <w:pPr>
              <w:pStyle w:val="null3"/>
              <w:ind w:firstLine="480"/>
              <w:jc w:val="both"/>
            </w:pPr>
            <w:r>
              <w:rPr>
                <w:rFonts w:ascii="仿宋_GB2312" w:hAnsi="仿宋_GB2312" w:cs="仿宋_GB2312" w:eastAsia="仿宋_GB2312"/>
                <w:sz w:val="20"/>
              </w:rPr>
              <w:t>应用系统特权用户的权限分离，例如将管理与审计的权限分配给不同的应用系统用户；</w:t>
            </w:r>
          </w:p>
          <w:p>
            <w:pPr>
              <w:pStyle w:val="null3"/>
              <w:ind w:firstLine="480"/>
              <w:jc w:val="both"/>
            </w:pPr>
            <w:r>
              <w:rPr>
                <w:rFonts w:ascii="仿宋_GB2312" w:hAnsi="仿宋_GB2312" w:cs="仿宋_GB2312" w:eastAsia="仿宋_GB2312"/>
                <w:sz w:val="20"/>
              </w:rPr>
              <w:t>权限分离应采用最小授权原则，分别授予不同用户各自为完成自己承担任务所需的最小权限，并在它们之间形成相互制约的关系；</w:t>
            </w:r>
          </w:p>
          <w:p>
            <w:pPr>
              <w:pStyle w:val="null3"/>
              <w:ind w:firstLine="480"/>
              <w:jc w:val="both"/>
            </w:pPr>
            <w:r>
              <w:rPr>
                <w:rFonts w:ascii="仿宋_GB2312" w:hAnsi="仿宋_GB2312" w:cs="仿宋_GB2312" w:eastAsia="仿宋_GB2312"/>
                <w:sz w:val="20"/>
              </w:rPr>
              <w:t>严格限制默认用户的访问权限；</w:t>
            </w:r>
          </w:p>
          <w:p>
            <w:pPr>
              <w:pStyle w:val="null3"/>
              <w:ind w:firstLine="480"/>
              <w:jc w:val="both"/>
            </w:pPr>
            <w:r>
              <w:rPr>
                <w:rFonts w:ascii="仿宋_GB2312" w:hAnsi="仿宋_GB2312" w:cs="仿宋_GB2312" w:eastAsia="仿宋_GB2312"/>
                <w:sz w:val="20"/>
              </w:rPr>
              <w:t>用户在访问移动端时，采用拍照、截屏等方式，在每个页面上会留下用户的唯一性信息，后续可进行溯源。</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3）资源控制</w:t>
            </w:r>
          </w:p>
          <w:p>
            <w:pPr>
              <w:pStyle w:val="null3"/>
              <w:ind w:firstLine="480"/>
              <w:jc w:val="both"/>
            </w:pPr>
            <w:r>
              <w:rPr>
                <w:rFonts w:ascii="仿宋_GB2312" w:hAnsi="仿宋_GB2312" w:cs="仿宋_GB2312" w:eastAsia="仿宋_GB2312"/>
                <w:sz w:val="20"/>
              </w:rPr>
              <w:t>同一用户只允许在移动端一端登录，发现其他设备登录时，其他终端强制下线；</w:t>
            </w:r>
          </w:p>
          <w:p>
            <w:pPr>
              <w:pStyle w:val="null3"/>
              <w:ind w:firstLine="480"/>
              <w:jc w:val="both"/>
            </w:pPr>
            <w:r>
              <w:rPr>
                <w:rFonts w:ascii="仿宋_GB2312" w:hAnsi="仿宋_GB2312" w:cs="仿宋_GB2312" w:eastAsia="仿宋_GB2312"/>
                <w:sz w:val="20"/>
              </w:rPr>
              <w:t>应用系统设置最大并发会话连接数；</w:t>
            </w:r>
          </w:p>
          <w:p>
            <w:pPr>
              <w:pStyle w:val="null3"/>
              <w:ind w:firstLine="480"/>
              <w:jc w:val="both"/>
            </w:pPr>
            <w:r>
              <w:rPr>
                <w:rFonts w:ascii="仿宋_GB2312" w:hAnsi="仿宋_GB2312" w:cs="仿宋_GB2312" w:eastAsia="仿宋_GB2312"/>
                <w:sz w:val="20"/>
              </w:rPr>
              <w:t>用户终端访问系统严格记录</w:t>
            </w:r>
            <w:r>
              <w:rPr>
                <w:rFonts w:ascii="仿宋_GB2312" w:hAnsi="仿宋_GB2312" w:cs="仿宋_GB2312" w:eastAsia="仿宋_GB2312"/>
                <w:sz w:val="20"/>
              </w:rPr>
              <w:t>IP、设备编号等信息。</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4）代码安全</w:t>
            </w:r>
          </w:p>
          <w:p>
            <w:pPr>
              <w:pStyle w:val="null3"/>
              <w:ind w:firstLine="480"/>
              <w:jc w:val="both"/>
            </w:pPr>
            <w:r>
              <w:rPr>
                <w:rFonts w:ascii="仿宋_GB2312" w:hAnsi="仿宋_GB2312" w:cs="仿宋_GB2312" w:eastAsia="仿宋_GB2312"/>
                <w:sz w:val="20"/>
              </w:rPr>
              <w:t>应用程序代码编写安全规范，要求开发人员参照规范编写代码；</w:t>
            </w:r>
          </w:p>
          <w:p>
            <w:pPr>
              <w:pStyle w:val="null3"/>
              <w:ind w:firstLine="480"/>
              <w:jc w:val="both"/>
            </w:pPr>
            <w:r>
              <w:rPr>
                <w:rFonts w:ascii="仿宋_GB2312" w:hAnsi="仿宋_GB2312" w:cs="仿宋_GB2312" w:eastAsia="仿宋_GB2312"/>
                <w:sz w:val="20"/>
              </w:rPr>
              <w:t>应用程序代码进行代码复审，识别可能存在的恶意代码；</w:t>
            </w:r>
          </w:p>
          <w:p>
            <w:pPr>
              <w:pStyle w:val="null3"/>
              <w:ind w:firstLine="480"/>
              <w:jc w:val="both"/>
            </w:pPr>
            <w:r>
              <w:rPr>
                <w:rFonts w:ascii="仿宋_GB2312" w:hAnsi="仿宋_GB2312" w:cs="仿宋_GB2312" w:eastAsia="仿宋_GB2312"/>
                <w:sz w:val="20"/>
              </w:rPr>
              <w:t>应用程序代码进行安全脆弱性分析；</w:t>
            </w:r>
          </w:p>
          <w:p>
            <w:pPr>
              <w:pStyle w:val="null3"/>
              <w:ind w:firstLine="480"/>
              <w:jc w:val="both"/>
            </w:pPr>
            <w:r>
              <w:rPr>
                <w:rFonts w:ascii="仿宋_GB2312" w:hAnsi="仿宋_GB2312" w:cs="仿宋_GB2312" w:eastAsia="仿宋_GB2312"/>
                <w:sz w:val="20"/>
              </w:rPr>
              <w:t>应用程序代码进行穿透性测试；</w:t>
            </w:r>
          </w:p>
          <w:p>
            <w:pPr>
              <w:pStyle w:val="null3"/>
              <w:ind w:firstLine="480"/>
              <w:jc w:val="both"/>
            </w:pPr>
            <w:r>
              <w:rPr>
                <w:rFonts w:ascii="仿宋_GB2312" w:hAnsi="仿宋_GB2312" w:cs="仿宋_GB2312" w:eastAsia="仿宋_GB2312"/>
                <w:sz w:val="20"/>
              </w:rPr>
              <w:t>程序加固，对抗反编译逆向工具，防止</w:t>
            </w:r>
            <w:r>
              <w:rPr>
                <w:rFonts w:ascii="仿宋_GB2312" w:hAnsi="仿宋_GB2312" w:cs="仿宋_GB2312" w:eastAsia="仿宋_GB2312"/>
                <w:sz w:val="20"/>
              </w:rPr>
              <w:t>APP被破解剽窃；</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5）通信安全</w:t>
            </w:r>
          </w:p>
          <w:p>
            <w:pPr>
              <w:pStyle w:val="null3"/>
              <w:ind w:firstLine="480"/>
              <w:jc w:val="both"/>
            </w:pPr>
            <w:r>
              <w:rPr>
                <w:rFonts w:ascii="仿宋_GB2312" w:hAnsi="仿宋_GB2312" w:cs="仿宋_GB2312" w:eastAsia="仿宋_GB2312"/>
                <w:sz w:val="20"/>
              </w:rPr>
              <w:t>当移动应用进入后台时，系统自动断开登录，下次进入需要重新登录；</w:t>
            </w:r>
          </w:p>
          <w:p>
            <w:pPr>
              <w:pStyle w:val="null3"/>
              <w:ind w:firstLine="480"/>
              <w:jc w:val="both"/>
            </w:pPr>
            <w:r>
              <w:rPr>
                <w:rFonts w:ascii="仿宋_GB2312" w:hAnsi="仿宋_GB2312" w:cs="仿宋_GB2312" w:eastAsia="仿宋_GB2312"/>
                <w:sz w:val="20"/>
              </w:rPr>
              <w:t>在通信过程中，应对整个报文或会话过程进行采用</w:t>
            </w:r>
            <w:r>
              <w:rPr>
                <w:rFonts w:ascii="仿宋_GB2312" w:hAnsi="仿宋_GB2312" w:cs="仿宋_GB2312" w:eastAsia="仿宋_GB2312"/>
                <w:sz w:val="20"/>
              </w:rPr>
              <w:t>RSA算法加密；</w:t>
            </w:r>
          </w:p>
          <w:p>
            <w:pPr>
              <w:pStyle w:val="null3"/>
              <w:ind w:firstLine="480"/>
              <w:jc w:val="both"/>
            </w:pPr>
            <w:r>
              <w:rPr>
                <w:rFonts w:ascii="仿宋_GB2312" w:hAnsi="仿宋_GB2312" w:cs="仿宋_GB2312" w:eastAsia="仿宋_GB2312"/>
                <w:sz w:val="20"/>
              </w:rPr>
              <w:t>在通信过程中，存在文件传输的，文件落地后进行加密存储，查看文件时进行解密。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6）安全审计</w:t>
            </w:r>
          </w:p>
          <w:p>
            <w:pPr>
              <w:pStyle w:val="null3"/>
              <w:ind w:firstLine="480"/>
              <w:jc w:val="both"/>
            </w:pPr>
            <w:r>
              <w:rPr>
                <w:rFonts w:ascii="仿宋_GB2312" w:hAnsi="仿宋_GB2312" w:cs="仿宋_GB2312" w:eastAsia="仿宋_GB2312"/>
                <w:sz w:val="20"/>
              </w:rPr>
              <w:t>安全审计会覆盖到每一个用户；</w:t>
            </w:r>
          </w:p>
          <w:p>
            <w:pPr>
              <w:pStyle w:val="null3"/>
              <w:ind w:firstLine="480"/>
              <w:jc w:val="both"/>
            </w:pPr>
            <w:r>
              <w:rPr>
                <w:rFonts w:ascii="仿宋_GB2312" w:hAnsi="仿宋_GB2312" w:cs="仿宋_GB2312" w:eastAsia="仿宋_GB2312"/>
                <w:sz w:val="20"/>
              </w:rPr>
              <w:t>用户每一次操作信息都会进行日志记录，包含时间、类型、功能、设备编号、时间结果等；</w:t>
            </w:r>
          </w:p>
          <w:p>
            <w:pPr>
              <w:pStyle w:val="null3"/>
              <w:ind w:firstLine="480"/>
              <w:jc w:val="both"/>
            </w:pPr>
            <w:r>
              <w:rPr>
                <w:rFonts w:ascii="仿宋_GB2312" w:hAnsi="仿宋_GB2312" w:cs="仿宋_GB2312" w:eastAsia="仿宋_GB2312"/>
                <w:sz w:val="20"/>
              </w:rPr>
              <w:t>后台服务会有审计结果查询。</w:t>
            </w:r>
          </w:p>
          <w:p>
            <w:pPr>
              <w:pStyle w:val="null3"/>
              <w:jc w:val="both"/>
              <w:outlineLvl w:val="4"/>
            </w:pPr>
            <w:r>
              <w:rPr>
                <w:rFonts w:ascii="仿宋_GB2312" w:hAnsi="仿宋_GB2312" w:cs="仿宋_GB2312" w:eastAsia="仿宋_GB2312"/>
                <w:sz w:val="20"/>
                <w:b/>
              </w:rPr>
              <w:t xml:space="preserve">            6.2.3.2数据安全</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1）数据完整性</w:t>
            </w:r>
          </w:p>
          <w:p>
            <w:pPr>
              <w:pStyle w:val="null3"/>
              <w:ind w:firstLine="480"/>
              <w:jc w:val="both"/>
            </w:pPr>
            <w:r>
              <w:rPr>
                <w:rFonts w:ascii="仿宋_GB2312" w:hAnsi="仿宋_GB2312" w:cs="仿宋_GB2312" w:eastAsia="仿宋_GB2312"/>
                <w:sz w:val="20"/>
              </w:rPr>
              <w:t>应用系统在数据传输过程中，对数据进行加密传输，解密时校验数据完整性。</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2）数据保密性</w:t>
            </w:r>
          </w:p>
          <w:p>
            <w:pPr>
              <w:pStyle w:val="null3"/>
              <w:ind w:firstLine="480"/>
              <w:jc w:val="both"/>
            </w:pPr>
            <w:r>
              <w:rPr>
                <w:rFonts w:ascii="仿宋_GB2312" w:hAnsi="仿宋_GB2312" w:cs="仿宋_GB2312" w:eastAsia="仿宋_GB2312"/>
                <w:sz w:val="20"/>
              </w:rPr>
              <w:t>数据传输过程所有参数及报文采用</w:t>
            </w:r>
            <w:r>
              <w:rPr>
                <w:rFonts w:ascii="仿宋_GB2312" w:hAnsi="仿宋_GB2312" w:cs="仿宋_GB2312" w:eastAsia="仿宋_GB2312"/>
                <w:sz w:val="20"/>
              </w:rPr>
              <w:t>Base64 加密方式进行加密。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3）数据备份与恢复</w:t>
            </w:r>
          </w:p>
          <w:p>
            <w:pPr>
              <w:pStyle w:val="null3"/>
              <w:ind w:firstLine="480"/>
              <w:jc w:val="both"/>
            </w:pPr>
            <w:r>
              <w:rPr>
                <w:rFonts w:ascii="仿宋_GB2312" w:hAnsi="仿宋_GB2312" w:cs="仿宋_GB2312" w:eastAsia="仿宋_GB2312"/>
                <w:sz w:val="20"/>
              </w:rPr>
              <w:t>系统提供数据本地备份和异地备份。</w:t>
            </w:r>
          </w:p>
          <w:p>
            <w:pPr>
              <w:pStyle w:val="null3"/>
              <w:jc w:val="both"/>
              <w:outlineLvl w:val="4"/>
            </w:pPr>
            <w:r>
              <w:rPr>
                <w:rFonts w:ascii="仿宋_GB2312" w:hAnsi="仿宋_GB2312" w:cs="仿宋_GB2312" w:eastAsia="仿宋_GB2312"/>
                <w:sz w:val="20"/>
                <w:b/>
              </w:rPr>
              <w:t xml:space="preserve">         6.2.3.3数据传输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结构化数据：检察工作网数据一经变更，工作网数据监听系统会将变动的数据通过数据解析程序进行业务整理，形成数据包，然后进行RSA文件加密，传输至工作网光闸指定文件目录；外网前置机即接收到加密文件，数据解析程序进行解密获取到数据，对数据进行存储，将加密数据包删除。</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非结构化数据：非结构化数据通过指定的文件传输通道进行传输，传输成功后外网文件监听系统对文件进行加密存储，移动端的数据展示需要对文件进行解密；对于有时效性的文件，系统会在文件过期后进行物理删除处理。</w:t>
            </w:r>
          </w:p>
          <w:p>
            <w:pPr>
              <w:pStyle w:val="null3"/>
              <w:jc w:val="both"/>
              <w:outlineLvl w:val="4"/>
            </w:pPr>
            <w:r>
              <w:rPr>
                <w:rFonts w:ascii="仿宋_GB2312" w:hAnsi="仿宋_GB2312" w:cs="仿宋_GB2312" w:eastAsia="仿宋_GB2312"/>
                <w:sz w:val="20"/>
                <w:b/>
              </w:rPr>
              <w:t xml:space="preserve">        6.2.3.4数据交互</w:t>
            </w:r>
          </w:p>
          <w:p>
            <w:pPr>
              <w:pStyle w:val="null3"/>
              <w:ind w:firstLine="400"/>
              <w:jc w:val="both"/>
            </w:pPr>
            <w:r>
              <w:rPr>
                <w:rFonts w:ascii="仿宋_GB2312" w:hAnsi="仿宋_GB2312" w:cs="仿宋_GB2312" w:eastAsia="仿宋_GB2312"/>
                <w:sz w:val="20"/>
              </w:rPr>
              <w:t>移动端进行数据请求时，携带的所有数据参数全部加密传输，通过终端认证服务器授权后到达服务端，服务器对接口参数进行解密后处理请求。所有的请求都需要携带移动端设备唯一标识及用户唯一标识进行双认证，双认证通过后才能正常请求移动</w:t>
            </w:r>
            <w:r>
              <w:rPr>
                <w:rFonts w:ascii="仿宋_GB2312" w:hAnsi="仿宋_GB2312" w:cs="仿宋_GB2312" w:eastAsia="仿宋_GB2312"/>
                <w:sz w:val="20"/>
              </w:rPr>
              <w:t>办案办公</w:t>
            </w:r>
            <w:r>
              <w:rPr>
                <w:rFonts w:ascii="仿宋_GB2312" w:hAnsi="仿宋_GB2312" w:cs="仿宋_GB2312" w:eastAsia="仿宋_GB2312"/>
                <w:sz w:val="20"/>
              </w:rPr>
              <w:t>服务。</w:t>
            </w:r>
          </w:p>
          <w:p>
            <w:pPr>
              <w:pStyle w:val="null3"/>
              <w:jc w:val="both"/>
              <w:outlineLvl w:val="2"/>
            </w:pPr>
            <w:r>
              <w:rPr>
                <w:rFonts w:ascii="仿宋_GB2312" w:hAnsi="仿宋_GB2312" w:cs="仿宋_GB2312" w:eastAsia="仿宋_GB2312"/>
                <w:sz w:val="20"/>
                <w:b/>
              </w:rPr>
              <w:t xml:space="preserve">        6.3安全管理运维服务</w:t>
            </w:r>
          </w:p>
          <w:p>
            <w:pPr>
              <w:pStyle w:val="null3"/>
              <w:ind w:firstLine="400"/>
              <w:jc w:val="both"/>
            </w:pPr>
            <w:r>
              <w:rPr>
                <w:rFonts w:ascii="仿宋_GB2312" w:hAnsi="仿宋_GB2312" w:cs="仿宋_GB2312" w:eastAsia="仿宋_GB2312"/>
                <w:sz w:val="20"/>
              </w:rPr>
              <w:t>根据移动终端系列标准要求，结合检察业务高安全性的特点，通过在安全系统应用严格的安群策略确保工作系统信息不会泄露，移动终端设备需按标准要求开展操作系统层面的定制（需要终端厂商完全开放底层接口，一般由原厂商或其授权厂商负责定制），确保互联网系统与工作系统安全隔离，保障专网办公应用与互联网办公应用的数据隔离。管理移动终端上的移动应用下载安装行为，工作系统中不得安装未经过允许的应用。通过应用管理，实现应用防卸载功能。提供针对移动应用的仿泄露能力，确保移动应用和工作数据安全。</w:t>
            </w:r>
          </w:p>
          <w:p>
            <w:pPr>
              <w:pStyle w:val="null3"/>
              <w:jc w:val="both"/>
              <w:outlineLvl w:val="2"/>
            </w:pPr>
            <w:r>
              <w:rPr>
                <w:rFonts w:ascii="仿宋_GB2312" w:hAnsi="仿宋_GB2312" w:cs="仿宋_GB2312" w:eastAsia="仿宋_GB2312"/>
                <w:sz w:val="20"/>
                <w:b/>
              </w:rPr>
              <w:t xml:space="preserve">        6.4检察服务平台运维服务</w:t>
            </w:r>
          </w:p>
          <w:p>
            <w:pPr>
              <w:pStyle w:val="null3"/>
              <w:ind w:firstLine="400"/>
            </w:pPr>
            <w:r>
              <w:rPr>
                <w:rFonts w:ascii="仿宋_GB2312" w:hAnsi="仿宋_GB2312" w:cs="仿宋_GB2312" w:eastAsia="仿宋_GB2312"/>
                <w:sz w:val="20"/>
              </w:rPr>
              <w:t>互联网</w:t>
            </w:r>
            <w:r>
              <w:rPr>
                <w:rFonts w:ascii="仿宋_GB2312" w:hAnsi="仿宋_GB2312" w:cs="仿宋_GB2312" w:eastAsia="仿宋_GB2312"/>
                <w:sz w:val="20"/>
              </w:rPr>
              <w:t>办公区，在智能终端上通过检察服务平台实现相关刑事检察案件办理、国家司法救助申请、未成人保护、法律文书辅助送达、代表委员联络等服务功能，为检察人员和人民群众、案件当事人、人大代表、政协委员搭建便利沟通渠道。</w:t>
            </w:r>
            <w:r>
              <w:rPr>
                <w:rFonts w:ascii="仿宋_GB2312" w:hAnsi="仿宋_GB2312" w:cs="仿宋_GB2312" w:eastAsia="仿宋_GB2312"/>
                <w:sz w:val="20"/>
              </w:rPr>
              <w:t>平台与陕西省检察机关互联网门户网站集群集成，使用一套用户、权限、日志等管理功能体系；与陕西省人民检察院</w:t>
            </w:r>
            <w:r>
              <w:rPr>
                <w:rFonts w:ascii="仿宋_GB2312" w:hAnsi="仿宋_GB2312" w:cs="仿宋_GB2312" w:eastAsia="仿宋_GB2312"/>
                <w:sz w:val="20"/>
              </w:rPr>
              <w:t>“两微一端”系统对接，可以通过平台访问相关栏目链接，平台实现全省三级检察院的数据隔离管理，各检察院数据独立互不可见，省检察院统一进行数据和业务管理。</w:t>
            </w:r>
          </w:p>
          <w:p>
            <w:pPr>
              <w:pStyle w:val="null3"/>
              <w:jc w:val="both"/>
              <w:outlineLvl w:val="2"/>
            </w:pPr>
            <w:r>
              <w:rPr>
                <w:rFonts w:ascii="仿宋_GB2312" w:hAnsi="仿宋_GB2312" w:cs="仿宋_GB2312" w:eastAsia="仿宋_GB2312"/>
                <w:sz w:val="20"/>
                <w:b/>
              </w:rPr>
              <w:t xml:space="preserve">        6.5终端服务</w:t>
            </w:r>
          </w:p>
          <w:p>
            <w:pPr>
              <w:pStyle w:val="null3"/>
              <w:jc w:val="both"/>
              <w:outlineLvl w:val="3"/>
            </w:pPr>
            <w:r>
              <w:rPr>
                <w:rFonts w:ascii="仿宋_GB2312" w:hAnsi="仿宋_GB2312" w:cs="仿宋_GB2312" w:eastAsia="仿宋_GB2312"/>
                <w:sz w:val="20"/>
                <w:b/>
              </w:rPr>
              <w:t xml:space="preserve">        6.5.1终端要求</w:t>
            </w:r>
          </w:p>
          <w:p>
            <w:pPr>
              <w:pStyle w:val="null3"/>
              <w:jc w:val="both"/>
              <w:outlineLvl w:val="3"/>
            </w:pPr>
            <w:r>
              <w:rPr>
                <w:rFonts w:ascii="仿宋_GB2312" w:hAnsi="仿宋_GB2312" w:cs="仿宋_GB2312" w:eastAsia="仿宋_GB2312"/>
                <w:sz w:val="20"/>
                <w:b/>
              </w:rPr>
              <w:t xml:space="preserve">      </w:t>
            </w:r>
            <w:r>
              <w:rPr>
                <w:rFonts w:ascii="仿宋_GB2312" w:hAnsi="仿宋_GB2312" w:cs="仿宋_GB2312" w:eastAsia="仿宋_GB2312"/>
                <w:sz w:val="20"/>
                <w:b/>
              </w:rPr>
              <w:t xml:space="preserve">  本次移动办案办公服务所提供的终端须为国产品牌智能终端，满足开机界面定制、深层数据安全措施定制等要求。</w:t>
            </w:r>
          </w:p>
          <w:p>
            <w:pPr>
              <w:pStyle w:val="null3"/>
              <w:jc w:val="both"/>
              <w:outlineLvl w:val="3"/>
            </w:pPr>
            <w:r>
              <w:rPr>
                <w:rFonts w:ascii="仿宋_GB2312" w:hAnsi="仿宋_GB2312" w:cs="仿宋_GB2312" w:eastAsia="仿宋_GB2312"/>
                <w:sz w:val="20"/>
                <w:b/>
              </w:rPr>
              <w:t xml:space="preserve">       6.5.2终端定制要求</w:t>
            </w:r>
          </w:p>
          <w:tbl>
            <w:tblPr>
              <w:tblInd w:type="dxa" w:w="135"/>
              <w:tblBorders>
                <w:top w:val="none" w:color="000000" w:sz="4"/>
                <w:left w:val="none" w:color="000000" w:sz="4"/>
                <w:bottom w:val="none" w:color="000000" w:sz="4"/>
                <w:right w:val="none" w:color="000000" w:sz="4"/>
                <w:insideH w:val="none"/>
                <w:insideV w:val="none"/>
              </w:tblBorders>
            </w:tblPr>
            <w:tblGrid>
              <w:gridCol w:w="173"/>
              <w:gridCol w:w="2405"/>
              <w:gridCol w:w="601"/>
            </w:tblGrid>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品目</w:t>
                  </w:r>
                </w:p>
              </w:tc>
              <w:tc>
                <w:tcPr>
                  <w:tcW w:type="dxa" w:w="24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基本配置参数</w:t>
                  </w:r>
                </w:p>
              </w:tc>
              <w:tc>
                <w:tcPr>
                  <w:tcW w:type="dxa" w:w="6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w:t>
                  </w:r>
                  <w:r>
                    <w:rPr>
                      <w:rFonts w:ascii="仿宋_GB2312" w:hAnsi="仿宋_GB2312" w:cs="仿宋_GB2312" w:eastAsia="仿宋_GB2312"/>
                      <w:sz w:val="20"/>
                    </w:rPr>
                    <w:t>办案办公</w:t>
                  </w:r>
                  <w:r>
                    <w:rPr>
                      <w:rFonts w:ascii="仿宋_GB2312" w:hAnsi="仿宋_GB2312" w:cs="仿宋_GB2312" w:eastAsia="仿宋_GB2312"/>
                      <w:sz w:val="20"/>
                    </w:rPr>
                    <w:t>终端</w:t>
                  </w:r>
                </w:p>
              </w:tc>
              <w:tc>
                <w:tcPr>
                  <w:tcW w:type="dxa" w:w="2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pPr>
                  <w:r>
                    <w:rPr>
                      <w:rFonts w:ascii="仿宋_GB2312" w:hAnsi="仿宋_GB2312" w:cs="仿宋_GB2312" w:eastAsia="仿宋_GB2312"/>
                      <w:sz w:val="20"/>
                    </w:rPr>
                    <w:t>1、存储要求：主机自带机身内存不小于512G，运行内存不小于12G；</w:t>
                  </w:r>
                </w:p>
                <w:p>
                  <w:pPr>
                    <w:pStyle w:val="null3"/>
                    <w:ind w:firstLine="200"/>
                  </w:pPr>
                  <w:r>
                    <w:rPr>
                      <w:rFonts w:ascii="仿宋_GB2312" w:hAnsi="仿宋_GB2312" w:cs="仿宋_GB2312" w:eastAsia="仿宋_GB2312"/>
                      <w:sz w:val="20"/>
                    </w:rPr>
                    <w:t>▲2、操作系统：具有互联网系统、专网系统两个独立的操作系统，系统间相互隔离、但可实时进行切换，需按用户方需求开展相关定制；</w:t>
                  </w:r>
                </w:p>
                <w:p>
                  <w:pPr>
                    <w:pStyle w:val="null3"/>
                    <w:ind w:firstLine="200"/>
                  </w:pPr>
                  <w:r>
                    <w:rPr>
                      <w:rFonts w:ascii="仿宋_GB2312" w:hAnsi="仿宋_GB2312" w:cs="仿宋_GB2312" w:eastAsia="仿宋_GB2312"/>
                      <w:sz w:val="20"/>
                    </w:rPr>
                    <w:t>3、移动网络支持：支持移动 5G/4G+/4G/，电信 5G/4G+/4G，联通5G/4G+/4G，广电5G/4G+/4G，支持终端双系统同时在线；</w:t>
                  </w:r>
                </w:p>
                <w:p>
                  <w:pPr>
                    <w:pStyle w:val="null3"/>
                    <w:ind w:firstLine="200"/>
                  </w:pPr>
                  <w:r>
                    <w:rPr>
                      <w:rFonts w:ascii="仿宋_GB2312" w:hAnsi="仿宋_GB2312" w:cs="仿宋_GB2312" w:eastAsia="仿宋_GB2312"/>
                      <w:sz w:val="20"/>
                    </w:rPr>
                    <w:t>▲4、摄像头：后置摄像头不小于5000万像素摄像头+4000万像素摄像头+1200万像素超广角摄像头；前置摄像头不小于1300万像素摄像头；</w:t>
                  </w:r>
                </w:p>
                <w:p>
                  <w:pPr>
                    <w:pStyle w:val="null3"/>
                    <w:ind w:firstLine="200"/>
                  </w:pPr>
                  <w:r>
                    <w:rPr>
                      <w:rFonts w:ascii="仿宋_GB2312" w:hAnsi="仿宋_GB2312" w:cs="仿宋_GB2312" w:eastAsia="仿宋_GB2312"/>
                      <w:sz w:val="20"/>
                    </w:rPr>
                    <w:t>▲5、屏幕规格要求：屏幕类型OLED，屏幕尺寸不小于6.5英寸；</w:t>
                  </w:r>
                </w:p>
                <w:p>
                  <w:pPr>
                    <w:pStyle w:val="null3"/>
                    <w:ind w:firstLine="200"/>
                  </w:pPr>
                  <w:r>
                    <w:rPr>
                      <w:rFonts w:ascii="仿宋_GB2312" w:hAnsi="仿宋_GB2312" w:cs="仿宋_GB2312" w:eastAsia="仿宋_GB2312"/>
                      <w:sz w:val="20"/>
                    </w:rPr>
                    <w:t>▲6、电池：电池容量不小于5300毫安时，手机支持不低于66W超级快充；</w:t>
                  </w:r>
                </w:p>
                <w:p>
                  <w:pPr>
                    <w:pStyle w:val="null3"/>
                    <w:ind w:firstLine="200"/>
                    <w:jc w:val="left"/>
                  </w:pPr>
                  <w:r>
                    <w:rPr>
                      <w:rFonts w:ascii="仿宋_GB2312" w:hAnsi="仿宋_GB2312" w:cs="仿宋_GB2312" w:eastAsia="仿宋_GB2312"/>
                      <w:sz w:val="20"/>
                    </w:rPr>
                    <w:t>★7、所投终端可无缝安全对接陕西省检察院移动办案办公平台，提供相应证明材料。</w:t>
                  </w:r>
                </w:p>
                <w:p>
                  <w:pPr>
                    <w:pStyle w:val="null3"/>
                    <w:ind w:firstLine="200"/>
                    <w:jc w:val="left"/>
                  </w:pPr>
                  <w:r>
                    <w:rPr>
                      <w:rFonts w:ascii="仿宋_GB2312" w:hAnsi="仿宋_GB2312" w:cs="仿宋_GB2312" w:eastAsia="仿宋_GB2312"/>
                      <w:sz w:val="20"/>
                    </w:rPr>
                    <w:t>8.安全要求：终端具备TEE安全系统功能，支持密码保护功能。</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320台</w:t>
                  </w:r>
                </w:p>
              </w:tc>
            </w:tr>
          </w:tbl>
          <w:p>
            <w:pPr>
              <w:pStyle w:val="null3"/>
              <w:ind w:left="420"/>
              <w:jc w:val="both"/>
            </w:pPr>
            <w:r>
              <w:rPr>
                <w:rFonts w:ascii="仿宋_GB2312" w:hAnsi="仿宋_GB2312" w:cs="仿宋_GB2312" w:eastAsia="仿宋_GB2312"/>
                <w:sz w:val="20"/>
              </w:rPr>
              <w:t>6.5.2.1双系统：终端两个操作系统运行在不同 ROM 空间，两个系统独立运</w:t>
            </w:r>
          </w:p>
          <w:p>
            <w:pPr>
              <w:pStyle w:val="null3"/>
              <w:jc w:val="both"/>
            </w:pPr>
            <w:r>
              <w:rPr>
                <w:rFonts w:ascii="仿宋_GB2312" w:hAnsi="仿宋_GB2312" w:cs="仿宋_GB2312" w:eastAsia="仿宋_GB2312"/>
                <w:sz w:val="20"/>
              </w:rPr>
              <w:t>行，完全隔离。两个系统的蓝牙、</w:t>
            </w:r>
            <w:r>
              <w:rPr>
                <w:rFonts w:ascii="仿宋_GB2312" w:hAnsi="仿宋_GB2312" w:cs="仿宋_GB2312" w:eastAsia="仿宋_GB2312"/>
                <w:sz w:val="20"/>
              </w:rPr>
              <w:t>WIFI、NFC 等外设独立配置；任何一个系统不能删除、创建或控制另外一个系统；一个系统恢复出厂设置不影响另外一个系统；支持公共 APN 和专属 APN 同时接入、同时在线；当前系统能接收到另外一个系统的通知栏消息，但看不到数据；</w:t>
            </w:r>
          </w:p>
          <w:p>
            <w:pPr>
              <w:pStyle w:val="null3"/>
              <w:ind w:left="420"/>
              <w:jc w:val="both"/>
            </w:pPr>
            <w:r>
              <w:rPr>
                <w:rFonts w:ascii="仿宋_GB2312" w:hAnsi="仿宋_GB2312" w:cs="仿宋_GB2312" w:eastAsia="仿宋_GB2312"/>
                <w:sz w:val="20"/>
              </w:rPr>
              <w:t>6.5.2.2</w:t>
            </w:r>
            <w:r>
              <w:rPr>
                <w:rFonts w:ascii="仿宋_GB2312" w:hAnsi="仿宋_GB2312" w:cs="仿宋_GB2312" w:eastAsia="仿宋_GB2312"/>
                <w:sz w:val="21"/>
              </w:rPr>
              <w:t>支持安全证书远程管理功能</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6.5.2.3工作区蓝牙与wifi热点由MDM远程控制，不能随意开启，可通过蓝</w:t>
            </w:r>
          </w:p>
          <w:p>
            <w:pPr>
              <w:pStyle w:val="null3"/>
              <w:jc w:val="both"/>
            </w:pPr>
            <w:r>
              <w:rPr>
                <w:rFonts w:ascii="仿宋_GB2312" w:hAnsi="仿宋_GB2312" w:cs="仿宋_GB2312" w:eastAsia="仿宋_GB2312"/>
                <w:sz w:val="20"/>
              </w:rPr>
              <w:t>牙设备类型或</w:t>
            </w:r>
            <w:r>
              <w:rPr>
                <w:rFonts w:ascii="仿宋_GB2312" w:hAnsi="仿宋_GB2312" w:cs="仿宋_GB2312" w:eastAsia="仿宋_GB2312"/>
                <w:sz w:val="20"/>
              </w:rPr>
              <w:t>Mac地址白名单机制限制蓝牙仅可连接指定设备；支持有线投屏；</w:t>
            </w:r>
          </w:p>
          <w:p>
            <w:pPr>
              <w:pStyle w:val="null3"/>
              <w:ind w:left="420"/>
              <w:jc w:val="both"/>
            </w:pPr>
            <w:r>
              <w:rPr>
                <w:rFonts w:ascii="仿宋_GB2312" w:hAnsi="仿宋_GB2312" w:cs="仿宋_GB2312" w:eastAsia="仿宋_GB2312"/>
                <w:sz w:val="20"/>
              </w:rPr>
              <w:t>6.5.2.4系统需防Root，须定制双系统ROM包，禁止刷成普通消费者版本；</w:t>
            </w:r>
          </w:p>
          <w:p>
            <w:pPr>
              <w:pStyle w:val="null3"/>
              <w:ind w:left="420"/>
              <w:jc w:val="both"/>
            </w:pPr>
            <w:r>
              <w:rPr>
                <w:rFonts w:ascii="仿宋_GB2312" w:hAnsi="仿宋_GB2312" w:cs="仿宋_GB2312" w:eastAsia="仿宋_GB2312"/>
                <w:sz w:val="20"/>
              </w:rPr>
              <w:t>6.5.2.5支持系统级全局水印功能，防止偷拍屏幕造成信息泄露，同时支持防</w:t>
            </w:r>
          </w:p>
          <w:p>
            <w:pPr>
              <w:pStyle w:val="null3"/>
              <w:jc w:val="both"/>
            </w:pPr>
            <w:r>
              <w:rPr>
                <w:rFonts w:ascii="仿宋_GB2312" w:hAnsi="仿宋_GB2312" w:cs="仿宋_GB2312" w:eastAsia="仿宋_GB2312"/>
                <w:sz w:val="20"/>
              </w:rPr>
              <w:t>截屏、防录屏；</w:t>
            </w:r>
          </w:p>
          <w:p>
            <w:pPr>
              <w:pStyle w:val="null3"/>
              <w:ind w:left="420"/>
              <w:jc w:val="both"/>
            </w:pPr>
            <w:r>
              <w:rPr>
                <w:rFonts w:ascii="仿宋_GB2312" w:hAnsi="仿宋_GB2312" w:cs="仿宋_GB2312" w:eastAsia="仿宋_GB2312"/>
                <w:sz w:val="20"/>
              </w:rPr>
              <w:t>6.5.2.6系统预置运营商定制APN接入点，只能通过VPDN接入专网做数据</w:t>
            </w:r>
          </w:p>
          <w:p>
            <w:pPr>
              <w:pStyle w:val="null3"/>
              <w:jc w:val="both"/>
            </w:pPr>
            <w:r>
              <w:rPr>
                <w:rFonts w:ascii="仿宋_GB2312" w:hAnsi="仿宋_GB2312" w:cs="仿宋_GB2312" w:eastAsia="仿宋_GB2312"/>
                <w:sz w:val="20"/>
              </w:rPr>
              <w:t>业务；</w:t>
            </w:r>
            <w:r>
              <w:rPr>
                <w:rFonts w:ascii="仿宋_GB2312" w:hAnsi="仿宋_GB2312" w:cs="仿宋_GB2312" w:eastAsia="仿宋_GB2312"/>
                <w:sz w:val="20"/>
              </w:rPr>
              <w:t>APN 接入点中身份验证类型默认为 pap or chap，可修改；</w:t>
            </w:r>
          </w:p>
          <w:p>
            <w:pPr>
              <w:pStyle w:val="null3"/>
              <w:ind w:left="420"/>
              <w:jc w:val="both"/>
            </w:pPr>
            <w:r>
              <w:rPr>
                <w:rFonts w:ascii="仿宋_GB2312" w:hAnsi="仿宋_GB2312" w:cs="仿宋_GB2312" w:eastAsia="仿宋_GB2312"/>
                <w:sz w:val="20"/>
              </w:rPr>
              <w:t>6.5.2.7支持通过互联网系统进行在线OTA升级服务；</w:t>
            </w:r>
          </w:p>
          <w:p>
            <w:pPr>
              <w:pStyle w:val="null3"/>
              <w:ind w:left="420"/>
              <w:jc w:val="both"/>
            </w:pPr>
            <w:r>
              <w:rPr>
                <w:rFonts w:ascii="仿宋_GB2312" w:hAnsi="仿宋_GB2312" w:cs="仿宋_GB2312" w:eastAsia="仿宋_GB2312"/>
                <w:sz w:val="20"/>
              </w:rPr>
              <w:t>6.5.2.8具备电信设备进网许可证、无线电发射设备型号核准证、中国国家强</w:t>
            </w:r>
          </w:p>
          <w:p>
            <w:pPr>
              <w:pStyle w:val="null3"/>
              <w:jc w:val="both"/>
            </w:pPr>
            <w:r>
              <w:rPr>
                <w:rFonts w:ascii="仿宋_GB2312" w:hAnsi="仿宋_GB2312" w:cs="仿宋_GB2312" w:eastAsia="仿宋_GB2312"/>
                <w:sz w:val="20"/>
              </w:rPr>
              <w:t>制性产品（</w:t>
            </w:r>
            <w:r>
              <w:rPr>
                <w:rFonts w:ascii="仿宋_GB2312" w:hAnsi="仿宋_GB2312" w:cs="仿宋_GB2312" w:eastAsia="仿宋_GB2312"/>
                <w:sz w:val="20"/>
              </w:rPr>
              <w:t>3C）认证证书、绿色环保认证</w:t>
            </w:r>
            <w:r>
              <w:rPr>
                <w:rFonts w:ascii="仿宋_GB2312" w:hAnsi="仿宋_GB2312" w:cs="仿宋_GB2312" w:eastAsia="仿宋_GB2312"/>
                <w:sz w:val="20"/>
              </w:rPr>
              <w:t>证书</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6.5.2.</w:t>
            </w:r>
            <w:r>
              <w:rPr>
                <w:rFonts w:ascii="仿宋_GB2312" w:hAnsi="仿宋_GB2312" w:cs="仿宋_GB2312" w:eastAsia="仿宋_GB2312"/>
                <w:sz w:val="20"/>
              </w:rPr>
              <w:t>9</w:t>
            </w:r>
            <w:r>
              <w:rPr>
                <w:rFonts w:ascii="仿宋_GB2312" w:hAnsi="仿宋_GB2312" w:cs="仿宋_GB2312" w:eastAsia="仿宋_GB2312"/>
                <w:sz w:val="20"/>
              </w:rPr>
              <w:t>支持对终端在不拆机的情况下，擦除终端敏感数据，将定制系统版本</w:t>
            </w:r>
          </w:p>
          <w:p>
            <w:pPr>
              <w:pStyle w:val="null3"/>
              <w:jc w:val="both"/>
            </w:pPr>
            <w:r>
              <w:rPr>
                <w:rFonts w:ascii="仿宋_GB2312" w:hAnsi="仿宋_GB2312" w:cs="仿宋_GB2312" w:eastAsia="仿宋_GB2312"/>
                <w:sz w:val="20"/>
              </w:rPr>
              <w:t>回退成普通消费者版本；</w:t>
            </w:r>
          </w:p>
          <w:p>
            <w:pPr>
              <w:pStyle w:val="null3"/>
              <w:ind w:left="420"/>
              <w:jc w:val="both"/>
            </w:pPr>
            <w:r>
              <w:rPr>
                <w:rFonts w:ascii="仿宋_GB2312" w:hAnsi="仿宋_GB2312" w:cs="仿宋_GB2312" w:eastAsia="仿宋_GB2312"/>
                <w:sz w:val="20"/>
              </w:rPr>
              <w:t>6.5.2.1</w:t>
            </w:r>
            <w:r>
              <w:rPr>
                <w:rFonts w:ascii="仿宋_GB2312" w:hAnsi="仿宋_GB2312" w:cs="仿宋_GB2312" w:eastAsia="仿宋_GB2312"/>
                <w:sz w:val="20"/>
              </w:rPr>
              <w:t>0 在3年服务期内，提供定制彩铃服务，确保终端满足正常办案办公服务要</w:t>
            </w:r>
          </w:p>
          <w:p>
            <w:pPr>
              <w:pStyle w:val="null3"/>
              <w:jc w:val="both"/>
            </w:pPr>
            <w:r>
              <w:rPr>
                <w:rFonts w:ascii="仿宋_GB2312" w:hAnsi="仿宋_GB2312" w:cs="仿宋_GB2312" w:eastAsia="仿宋_GB2312"/>
                <w:sz w:val="20"/>
              </w:rPr>
              <w:t>求。</w:t>
            </w:r>
          </w:p>
          <w:p>
            <w:pPr>
              <w:pStyle w:val="null3"/>
              <w:ind w:left="420"/>
              <w:jc w:val="both"/>
            </w:pPr>
            <w:r>
              <w:rPr>
                <w:rFonts w:ascii="仿宋_GB2312" w:hAnsi="仿宋_GB2312" w:cs="仿宋_GB2312" w:eastAsia="仿宋_GB2312"/>
                <w:sz w:val="20"/>
              </w:rPr>
              <w:t>6.5.2.1</w:t>
            </w:r>
            <w:r>
              <w:rPr>
                <w:rFonts w:ascii="仿宋_GB2312" w:hAnsi="仿宋_GB2312" w:cs="仿宋_GB2312" w:eastAsia="仿宋_GB2312"/>
                <w:sz w:val="20"/>
              </w:rPr>
              <w:t>1</w:t>
            </w:r>
            <w:r>
              <w:rPr>
                <w:rFonts w:ascii="仿宋_GB2312" w:hAnsi="仿宋_GB2312" w:cs="仿宋_GB2312" w:eastAsia="仿宋_GB2312"/>
                <w:sz w:val="20"/>
              </w:rPr>
              <w:t xml:space="preserve"> </w:t>
            </w:r>
            <w:r>
              <w:rPr>
                <w:rFonts w:ascii="仿宋_GB2312" w:hAnsi="仿宋_GB2312" w:cs="仿宋_GB2312" w:eastAsia="仿宋_GB2312"/>
                <w:sz w:val="20"/>
              </w:rPr>
              <w:t>3年服务期满后，移动终端</w:t>
            </w:r>
            <w:r>
              <w:rPr>
                <w:rFonts w:ascii="仿宋_GB2312" w:hAnsi="仿宋_GB2312" w:cs="仿宋_GB2312" w:eastAsia="仿宋_GB2312"/>
                <w:sz w:val="20"/>
              </w:rPr>
              <w:t>经采购方脱敏处理后，交供应商。</w:t>
            </w:r>
          </w:p>
          <w:p>
            <w:pPr>
              <w:pStyle w:val="null3"/>
              <w:ind w:left="420"/>
              <w:jc w:val="both"/>
            </w:pPr>
            <w:r>
              <w:rPr>
                <w:rFonts w:ascii="仿宋_GB2312" w:hAnsi="仿宋_GB2312" w:cs="仿宋_GB2312" w:eastAsia="仿宋_GB2312"/>
                <w:sz w:val="20"/>
              </w:rPr>
              <w:t>6.5.2.1</w:t>
            </w:r>
            <w:r>
              <w:rPr>
                <w:rFonts w:ascii="仿宋_GB2312" w:hAnsi="仿宋_GB2312" w:cs="仿宋_GB2312" w:eastAsia="仿宋_GB2312"/>
                <w:sz w:val="20"/>
              </w:rPr>
              <w:t>2</w:t>
            </w:r>
            <w:r>
              <w:rPr>
                <w:rFonts w:ascii="仿宋_GB2312" w:hAnsi="仿宋_GB2312" w:cs="仿宋_GB2312" w:eastAsia="仿宋_GB2312"/>
                <w:sz w:val="20"/>
              </w:rPr>
              <w:t>终端管理使用人员每月支付互联网办公区套餐费用。</w:t>
            </w:r>
            <w:r>
              <w:rPr>
                <w:rFonts w:ascii="仿宋_GB2312" w:hAnsi="仿宋_GB2312" w:cs="仿宋_GB2312" w:eastAsia="仿宋_GB2312"/>
                <w:sz w:val="21"/>
              </w:rPr>
              <w:t xml:space="preserve"> </w:t>
            </w:r>
          </w:p>
          <w:p>
            <w:pPr>
              <w:pStyle w:val="null3"/>
              <w:jc w:val="both"/>
              <w:outlineLvl w:val="2"/>
            </w:pPr>
            <w:r>
              <w:rPr>
                <w:rFonts w:ascii="仿宋_GB2312" w:hAnsi="仿宋_GB2312" w:cs="仿宋_GB2312" w:eastAsia="仿宋_GB2312"/>
                <w:sz w:val="20"/>
                <w:b/>
              </w:rPr>
              <w:t xml:space="preserve">         6.5.3移动</w:t>
            </w:r>
            <w:r>
              <w:rPr>
                <w:rFonts w:ascii="仿宋_GB2312" w:hAnsi="仿宋_GB2312" w:cs="仿宋_GB2312" w:eastAsia="仿宋_GB2312"/>
                <w:sz w:val="20"/>
                <w:b/>
              </w:rPr>
              <w:t>互联网</w:t>
            </w:r>
            <w:r>
              <w:rPr>
                <w:rFonts w:ascii="仿宋_GB2312" w:hAnsi="仿宋_GB2312" w:cs="仿宋_GB2312" w:eastAsia="仿宋_GB2312"/>
                <w:sz w:val="20"/>
                <w:b/>
              </w:rPr>
              <w:t>安全访问服务</w:t>
            </w:r>
          </w:p>
          <w:p>
            <w:pPr>
              <w:pStyle w:val="null3"/>
              <w:ind w:firstLine="400"/>
              <w:jc w:val="both"/>
            </w:pPr>
            <w:r>
              <w:rPr>
                <w:rFonts w:ascii="仿宋_GB2312" w:hAnsi="仿宋_GB2312" w:cs="仿宋_GB2312" w:eastAsia="仿宋_GB2312"/>
                <w:sz w:val="20"/>
              </w:rPr>
              <w:t>供应商提供的</w:t>
            </w:r>
            <w:r>
              <w:rPr>
                <w:rFonts w:ascii="仿宋_GB2312" w:hAnsi="仿宋_GB2312" w:cs="仿宋_GB2312" w:eastAsia="仿宋_GB2312"/>
                <w:sz w:val="20"/>
              </w:rPr>
              <w:t>5G 接入套餐，要保障配套的智能终端在不接入移动专网时，要能够安全访问移动互联网，满足检察干警在智能终端上开展检索信息、查阅法律资料、参加学习强国、中国检察教育培训网络学院、陕西干部网络学院的学习培训等需求。</w:t>
            </w:r>
          </w:p>
          <w:p>
            <w:pPr>
              <w:pStyle w:val="null3"/>
              <w:jc w:val="both"/>
              <w:outlineLvl w:val="2"/>
            </w:pPr>
            <w:r>
              <w:rPr>
                <w:rFonts w:ascii="仿宋_GB2312" w:hAnsi="仿宋_GB2312" w:cs="仿宋_GB2312" w:eastAsia="仿宋_GB2312"/>
                <w:sz w:val="20"/>
                <w:b/>
              </w:rPr>
              <w:t xml:space="preserve">         6.5.4虚拟专网服务</w:t>
            </w:r>
          </w:p>
          <w:p>
            <w:pPr>
              <w:pStyle w:val="null3"/>
              <w:ind w:firstLine="480"/>
              <w:jc w:val="both"/>
            </w:pPr>
            <w:r>
              <w:rPr>
                <w:rFonts w:ascii="仿宋_GB2312" w:hAnsi="仿宋_GB2312" w:cs="仿宋_GB2312" w:eastAsia="仿宋_GB2312"/>
                <w:sz w:val="20"/>
              </w:rPr>
              <w:t>对接入本次移动专网的移动电话号码组建虚拟专网。网内用户互打免费。每个号码赋予一个</w:t>
            </w:r>
            <w:r>
              <w:rPr>
                <w:rFonts w:ascii="仿宋_GB2312" w:hAnsi="仿宋_GB2312" w:cs="仿宋_GB2312" w:eastAsia="仿宋_GB2312"/>
                <w:sz w:val="20"/>
              </w:rPr>
              <w:t>5位或6位短号码，方便干警之间联系沟通。短号码前冠字号应按地市划分，同一个地市用相同的前冠字号，不同地市用不同的前冠字号。</w:t>
            </w:r>
            <w:r>
              <w:rPr>
                <w:rFonts w:ascii="仿宋_GB2312" w:hAnsi="仿宋_GB2312" w:cs="仿宋_GB2312" w:eastAsia="仿宋_GB2312"/>
                <w:sz w:val="20"/>
              </w:rPr>
              <w:t>供应商条件具备时，应将检察院固定办公电话纳入虚拟专网，并分配短号码。</w:t>
            </w:r>
          </w:p>
          <w:p>
            <w:pPr>
              <w:pStyle w:val="null3"/>
              <w:jc w:val="both"/>
              <w:outlineLvl w:val="3"/>
            </w:pPr>
            <w:r>
              <w:rPr>
                <w:rFonts w:ascii="仿宋_GB2312" w:hAnsi="仿宋_GB2312" w:cs="仿宋_GB2312" w:eastAsia="仿宋_GB2312"/>
                <w:sz w:val="20"/>
                <w:b/>
              </w:rPr>
              <w:t xml:space="preserve">         6.5.4.1总体业务流程</w:t>
            </w:r>
          </w:p>
          <w:p>
            <w:pPr>
              <w:pStyle w:val="null3"/>
              <w:ind w:firstLine="480"/>
              <w:jc w:val="both"/>
            </w:pPr>
            <w:r>
              <w:rPr>
                <w:rFonts w:ascii="仿宋_GB2312" w:hAnsi="仿宋_GB2312" w:cs="仿宋_GB2312" w:eastAsia="仿宋_GB2312"/>
                <w:sz w:val="20"/>
              </w:rPr>
              <w:t>移动</w:t>
            </w:r>
            <w:r>
              <w:rPr>
                <w:rFonts w:ascii="仿宋_GB2312" w:hAnsi="仿宋_GB2312" w:cs="仿宋_GB2312" w:eastAsia="仿宋_GB2312"/>
                <w:sz w:val="20"/>
              </w:rPr>
              <w:t>办案办公</w:t>
            </w:r>
            <w:r>
              <w:rPr>
                <w:rFonts w:ascii="仿宋_GB2312" w:hAnsi="仿宋_GB2312" w:cs="仿宋_GB2312" w:eastAsia="仿宋_GB2312"/>
                <w:sz w:val="20"/>
              </w:rPr>
              <w:t>通过与检察工作网门户网站、办公系统、检察业务系统等进行对接，可获取检察工作网门户网站的新闻资讯、通知公告信息，以及办公系统、检察业务系统的相关数据，并将移动端数据与检察工作网数据进行同步，方便进行跨网远程处理办案办公。</w:t>
            </w:r>
          </w:p>
          <w:p>
            <w:pPr>
              <w:pStyle w:val="null3"/>
              <w:ind w:firstLine="480"/>
              <w:jc w:val="both"/>
            </w:pPr>
            <w:r>
              <w:rPr>
                <w:rFonts w:ascii="仿宋_GB2312" w:hAnsi="仿宋_GB2312" w:cs="仿宋_GB2312" w:eastAsia="仿宋_GB2312"/>
                <w:sz w:val="20"/>
              </w:rPr>
              <w:t>移动</w:t>
            </w:r>
            <w:r>
              <w:rPr>
                <w:rFonts w:ascii="仿宋_GB2312" w:hAnsi="仿宋_GB2312" w:cs="仿宋_GB2312" w:eastAsia="仿宋_GB2312"/>
                <w:sz w:val="20"/>
              </w:rPr>
              <w:t>办案办公</w:t>
            </w:r>
            <w:r>
              <w:rPr>
                <w:rFonts w:ascii="仿宋_GB2312" w:hAnsi="仿宋_GB2312" w:cs="仿宋_GB2312" w:eastAsia="仿宋_GB2312"/>
                <w:sz w:val="20"/>
              </w:rPr>
              <w:t>总体业务流程：干警通过账号登录移动办案办公系统，可查询、浏览检察工作网的新闻资讯、通知公告等信息，可进行收发邮件管理等。工作台提供办案办公业务办理，干警可在此处理公文、预约会议、事务审批等业务的申请及审，可登录检察业务应用系统办理案件。</w:t>
            </w:r>
          </w:p>
          <w:p>
            <w:pPr>
              <w:pStyle w:val="null3"/>
              <w:jc w:val="both"/>
              <w:outlineLvl w:val="3"/>
            </w:pPr>
            <w:r>
              <w:rPr>
                <w:rFonts w:ascii="仿宋_GB2312" w:hAnsi="仿宋_GB2312" w:cs="仿宋_GB2312" w:eastAsia="仿宋_GB2312"/>
                <w:sz w:val="20"/>
                <w:b/>
              </w:rPr>
              <w:t xml:space="preserve">         6.5.4.2数据流程</w:t>
            </w:r>
          </w:p>
          <w:p>
            <w:pPr>
              <w:pStyle w:val="null3"/>
              <w:ind w:firstLine="480"/>
              <w:jc w:val="both"/>
            </w:pPr>
            <w:r>
              <w:rPr>
                <w:rFonts w:ascii="仿宋_GB2312" w:hAnsi="仿宋_GB2312" w:cs="仿宋_GB2312" w:eastAsia="仿宋_GB2312"/>
                <w:sz w:val="20"/>
              </w:rPr>
              <w:t>移动端至检察工作网：移动端发起请求，调用移动专网应用程序接口，应用程序根据请求类型进行处理。</w:t>
            </w:r>
          </w:p>
          <w:p>
            <w:pPr>
              <w:pStyle w:val="null3"/>
              <w:ind w:firstLine="480"/>
              <w:jc w:val="both"/>
            </w:pPr>
            <w:r>
              <w:rPr>
                <w:rFonts w:ascii="仿宋_GB2312" w:hAnsi="仿宋_GB2312" w:cs="仿宋_GB2312" w:eastAsia="仿宋_GB2312"/>
                <w:sz w:val="20"/>
              </w:rPr>
              <w:t>6.5.4.2.1查询请求：查询移动专网数据库，直接返回结果。</w:t>
            </w:r>
          </w:p>
          <w:p>
            <w:pPr>
              <w:pStyle w:val="null3"/>
              <w:ind w:firstLine="480"/>
              <w:jc w:val="both"/>
            </w:pPr>
            <w:r>
              <w:rPr>
                <w:rFonts w:ascii="仿宋_GB2312" w:hAnsi="仿宋_GB2312" w:cs="仿宋_GB2312" w:eastAsia="仿宋_GB2312"/>
                <w:sz w:val="20"/>
              </w:rPr>
              <w:t>6.5.4.2.2数据提交请求：封装数据，将数据包通过 FGAP 发送至检察工作网服务器指定位置，工作网监听程序解析数据包，调用工作网接口进行处理，将处理结果返回至移动专网，移动专网处理程序接收结果对待办数据进行更新。</w:t>
            </w:r>
          </w:p>
          <w:p>
            <w:pPr>
              <w:pStyle w:val="null3"/>
              <w:ind w:firstLine="480"/>
              <w:jc w:val="both"/>
            </w:pPr>
            <w:r>
              <w:rPr>
                <w:rFonts w:ascii="仿宋_GB2312" w:hAnsi="仿宋_GB2312" w:cs="仿宋_GB2312" w:eastAsia="仿宋_GB2312"/>
                <w:sz w:val="20"/>
              </w:rPr>
              <w:t>检察工作网至移动端：</w:t>
            </w:r>
          </w:p>
          <w:p>
            <w:pPr>
              <w:pStyle w:val="null3"/>
              <w:ind w:firstLine="480"/>
              <w:jc w:val="both"/>
            </w:pPr>
            <w:r>
              <w:rPr>
                <w:rFonts w:ascii="仿宋_GB2312" w:hAnsi="仿宋_GB2312" w:cs="仿宋_GB2312" w:eastAsia="仿宋_GB2312"/>
                <w:sz w:val="20"/>
              </w:rPr>
              <w:t>检察工作网数据发生变更，将数据打包调用工作网监听程序发送至移动专网指定位置，移动专网监听程序解析数据包进行数据更新。工作网推送数据包需要保存推送记录。</w:t>
            </w:r>
          </w:p>
          <w:p>
            <w:pPr>
              <w:pStyle w:val="null3"/>
              <w:jc w:val="both"/>
              <w:outlineLvl w:val="3"/>
            </w:pPr>
            <w:r>
              <w:rPr>
                <w:rFonts w:ascii="仿宋_GB2312" w:hAnsi="仿宋_GB2312" w:cs="仿宋_GB2312" w:eastAsia="仿宋_GB2312"/>
                <w:sz w:val="20"/>
                <w:b/>
              </w:rPr>
              <w:t xml:space="preserve">          6.5.4.3数据安全</w:t>
            </w:r>
          </w:p>
          <w:p>
            <w:pPr>
              <w:pStyle w:val="null3"/>
              <w:ind w:firstLine="480"/>
              <w:jc w:val="both"/>
            </w:pPr>
            <w:r>
              <w:rPr>
                <w:rFonts w:ascii="仿宋_GB2312" w:hAnsi="仿宋_GB2312" w:cs="仿宋_GB2312" w:eastAsia="仿宋_GB2312"/>
                <w:sz w:val="20"/>
              </w:rPr>
              <w:t>从智能终端到数据处理服务器全程加密传输和存储，使用国密算法，满足《数据安全法》相关规定。</w:t>
            </w:r>
          </w:p>
          <w:p>
            <w:pPr>
              <w:pStyle w:val="null3"/>
              <w:spacing w:after="120"/>
              <w:jc w:val="both"/>
            </w:pPr>
            <w:r>
              <w:rPr>
                <w:rFonts w:ascii="仿宋_GB2312" w:hAnsi="仿宋_GB2312" w:cs="仿宋_GB2312" w:eastAsia="仿宋_GB2312"/>
                <w:sz w:val="20"/>
              </w:rPr>
              <w:t>终端之间的通讯可通过加密工具实现不同场景下的加密通讯、安全</w:t>
            </w:r>
            <w:r>
              <w:rPr>
                <w:rFonts w:ascii="仿宋_GB2312" w:hAnsi="仿宋_GB2312" w:cs="仿宋_GB2312" w:eastAsia="仿宋_GB2312"/>
                <w:sz w:val="20"/>
              </w:rPr>
              <w:t>办案办公</w:t>
            </w:r>
            <w:r>
              <w:rPr>
                <w:rFonts w:ascii="仿宋_GB2312" w:hAnsi="仿宋_GB2312" w:cs="仿宋_GB2312" w:eastAsia="仿宋_GB2312"/>
                <w:sz w:val="20"/>
              </w:rPr>
              <w:t>等需求。加密工具需有平台支撑，平台通过相关测评认证，具有抵御各种网络攻击的能力。</w:t>
            </w:r>
          </w:p>
          <w:p>
            <w:pPr>
              <w:pStyle w:val="null3"/>
              <w:ind w:firstLine="480"/>
              <w:jc w:val="both"/>
            </w:pPr>
            <w:r>
              <w:rPr>
                <w:rFonts w:ascii="仿宋_GB2312" w:hAnsi="仿宋_GB2312" w:cs="仿宋_GB2312" w:eastAsia="仿宋_GB2312"/>
                <w:sz w:val="20"/>
                <w:b/>
              </w:rPr>
              <w:t>6.6运维服务人员要求</w:t>
            </w:r>
          </w:p>
          <w:p>
            <w:pPr>
              <w:pStyle w:val="null3"/>
              <w:ind w:firstLine="480"/>
              <w:jc w:val="both"/>
            </w:pPr>
            <w:r>
              <w:rPr>
                <w:rFonts w:ascii="仿宋_GB2312" w:hAnsi="仿宋_GB2312" w:cs="仿宋_GB2312" w:eastAsia="仿宋_GB2312"/>
                <w:sz w:val="20"/>
              </w:rPr>
              <w:t>6.6.1移动平台运维服务：供应商提供不少于1名驻场服务人员，服务人员要求具备</w:t>
            </w:r>
            <w:r>
              <w:rPr>
                <w:rFonts w:ascii="仿宋_GB2312" w:hAnsi="仿宋_GB2312" w:cs="仿宋_GB2312" w:eastAsia="仿宋_GB2312"/>
                <w:sz w:val="20"/>
              </w:rPr>
              <w:t>初</w:t>
            </w:r>
            <w:r>
              <w:rPr>
                <w:rFonts w:ascii="仿宋_GB2312" w:hAnsi="仿宋_GB2312" w:cs="仿宋_GB2312" w:eastAsia="仿宋_GB2312"/>
                <w:sz w:val="20"/>
              </w:rPr>
              <w:t>级网络工程师资格。</w:t>
            </w:r>
          </w:p>
          <w:p>
            <w:pPr>
              <w:pStyle w:val="null3"/>
              <w:ind w:firstLine="480"/>
              <w:jc w:val="both"/>
            </w:pPr>
            <w:r>
              <w:rPr>
                <w:rFonts w:ascii="仿宋_GB2312" w:hAnsi="仿宋_GB2312" w:cs="仿宋_GB2312" w:eastAsia="仿宋_GB2312"/>
                <w:sz w:val="20"/>
              </w:rPr>
              <w:t>6.6.2办案办公系统运维服务：供应商提供不少于2名</w:t>
            </w:r>
            <w:r>
              <w:rPr>
                <w:rFonts w:ascii="仿宋_GB2312" w:hAnsi="仿宋_GB2312" w:cs="仿宋_GB2312" w:eastAsia="仿宋_GB2312"/>
                <w:sz w:val="20"/>
              </w:rPr>
              <w:t>运维工程师提供远程服务</w:t>
            </w:r>
            <w:r>
              <w:rPr>
                <w:rFonts w:ascii="仿宋_GB2312" w:hAnsi="仿宋_GB2312" w:cs="仿宋_GB2312" w:eastAsia="仿宋_GB2312"/>
                <w:sz w:val="20"/>
              </w:rPr>
              <w:t>，服务人员要求具备中级</w:t>
            </w:r>
            <w:r>
              <w:rPr>
                <w:rFonts w:ascii="仿宋_GB2312" w:hAnsi="仿宋_GB2312" w:cs="仿宋_GB2312" w:eastAsia="仿宋_GB2312"/>
                <w:sz w:val="20"/>
              </w:rPr>
              <w:t>网络</w:t>
            </w:r>
            <w:r>
              <w:rPr>
                <w:rFonts w:ascii="仿宋_GB2312" w:hAnsi="仿宋_GB2312" w:cs="仿宋_GB2312" w:eastAsia="仿宋_GB2312"/>
                <w:sz w:val="20"/>
              </w:rPr>
              <w:t>工程师资格。</w:t>
            </w:r>
          </w:p>
          <w:p>
            <w:pPr>
              <w:pStyle w:val="null3"/>
              <w:ind w:firstLine="480"/>
              <w:jc w:val="both"/>
            </w:pPr>
            <w:r>
              <w:rPr>
                <w:rFonts w:ascii="仿宋_GB2312" w:hAnsi="仿宋_GB2312" w:cs="仿宋_GB2312" w:eastAsia="仿宋_GB2312"/>
                <w:sz w:val="20"/>
              </w:rPr>
              <w:t>6.6.3安全管理运维服务：供应商提供不少于</w:t>
            </w:r>
            <w:r>
              <w:rPr>
                <w:rFonts w:ascii="仿宋_GB2312" w:hAnsi="仿宋_GB2312" w:cs="仿宋_GB2312" w:eastAsia="仿宋_GB2312"/>
                <w:sz w:val="20"/>
              </w:rPr>
              <w:t>1</w:t>
            </w:r>
            <w:r>
              <w:rPr>
                <w:rFonts w:ascii="仿宋_GB2312" w:hAnsi="仿宋_GB2312" w:cs="仿宋_GB2312" w:eastAsia="仿宋_GB2312"/>
                <w:sz w:val="20"/>
              </w:rPr>
              <w:t>名</w:t>
            </w:r>
            <w:r>
              <w:rPr>
                <w:rFonts w:ascii="仿宋_GB2312" w:hAnsi="仿宋_GB2312" w:cs="仿宋_GB2312" w:eastAsia="仿宋_GB2312"/>
                <w:sz w:val="20"/>
              </w:rPr>
              <w:t>运维工程师提供远程服务</w:t>
            </w:r>
            <w:r>
              <w:rPr>
                <w:rFonts w:ascii="仿宋_GB2312" w:hAnsi="仿宋_GB2312" w:cs="仿宋_GB2312" w:eastAsia="仿宋_GB2312"/>
                <w:sz w:val="20"/>
              </w:rPr>
              <w:t>，服务人员要求具备中级</w:t>
            </w:r>
            <w:r>
              <w:rPr>
                <w:rFonts w:ascii="仿宋_GB2312" w:hAnsi="仿宋_GB2312" w:cs="仿宋_GB2312" w:eastAsia="仿宋_GB2312"/>
                <w:sz w:val="20"/>
              </w:rPr>
              <w:t>网络</w:t>
            </w:r>
            <w:r>
              <w:rPr>
                <w:rFonts w:ascii="仿宋_GB2312" w:hAnsi="仿宋_GB2312" w:cs="仿宋_GB2312" w:eastAsia="仿宋_GB2312"/>
                <w:sz w:val="20"/>
              </w:rPr>
              <w:t>工程师资格。</w:t>
            </w:r>
          </w:p>
          <w:p>
            <w:pPr>
              <w:pStyle w:val="null3"/>
              <w:ind w:firstLine="480"/>
              <w:jc w:val="both"/>
            </w:pPr>
            <w:r>
              <w:rPr>
                <w:rFonts w:ascii="仿宋_GB2312" w:hAnsi="仿宋_GB2312" w:cs="仿宋_GB2312" w:eastAsia="仿宋_GB2312"/>
                <w:sz w:val="20"/>
              </w:rPr>
              <w:t>6.6.4 检察服务平台运维服务：供应商提供不少于3名驻场服务人员</w:t>
            </w:r>
            <w:r>
              <w:rPr>
                <w:rFonts w:ascii="仿宋_GB2312" w:hAnsi="仿宋_GB2312" w:cs="仿宋_GB2312" w:eastAsia="仿宋_GB2312"/>
                <w:sz w:val="20"/>
              </w:rPr>
              <w:t>，</w:t>
            </w:r>
            <w:r>
              <w:rPr>
                <w:rFonts w:ascii="仿宋_GB2312" w:hAnsi="仿宋_GB2312" w:cs="仿宋_GB2312" w:eastAsia="仿宋_GB2312"/>
                <w:sz w:val="20"/>
              </w:rPr>
              <w:t>服务人员要求具备中级工程师资格，具备相关平台运维服务经验。</w:t>
            </w:r>
            <w:r>
              <w:rPr>
                <w:rFonts w:ascii="仿宋_GB2312" w:hAnsi="仿宋_GB2312" w:cs="仿宋_GB2312" w:eastAsia="仿宋_GB2312"/>
                <w:sz w:val="20"/>
              </w:rPr>
              <w:t>熟悉平台管理功能体系，随时保障平台安全平稳运行，及时响应采购方提出的技术要求。</w:t>
            </w:r>
          </w:p>
          <w:p>
            <w:pPr>
              <w:pStyle w:val="null3"/>
              <w:numPr>
                <w:ilvl w:val="0"/>
                <w:numId w:val="1"/>
              </w:numPr>
              <w:ind w:firstLine="480"/>
              <w:jc w:val="both"/>
            </w:pPr>
            <w:r>
              <w:rPr>
                <w:rFonts w:ascii="仿宋_GB2312" w:hAnsi="仿宋_GB2312" w:cs="仿宋_GB2312" w:eastAsia="仿宋_GB2312"/>
                <w:sz w:val="20"/>
                <w:b/>
              </w:rPr>
              <w:t>运维服务要求</w:t>
            </w:r>
          </w:p>
          <w:p>
            <w:pPr>
              <w:pStyle w:val="null3"/>
              <w:jc w:val="both"/>
              <w:outlineLvl w:val="2"/>
            </w:pPr>
            <w:r>
              <w:rPr>
                <w:rFonts w:ascii="仿宋_GB2312" w:hAnsi="仿宋_GB2312" w:cs="仿宋_GB2312" w:eastAsia="仿宋_GB2312"/>
                <w:sz w:val="20"/>
                <w:b/>
              </w:rPr>
              <w:t xml:space="preserve">        7.1 运维制度依据</w:t>
            </w:r>
          </w:p>
          <w:p>
            <w:pPr>
              <w:pStyle w:val="null3"/>
              <w:ind w:firstLine="480"/>
              <w:jc w:val="both"/>
            </w:pPr>
            <w:r>
              <w:rPr>
                <w:rFonts w:ascii="仿宋_GB2312" w:hAnsi="仿宋_GB2312" w:cs="仿宋_GB2312" w:eastAsia="仿宋_GB2312"/>
                <w:sz w:val="20"/>
              </w:rPr>
              <w:t>陕西省人民检察院已经制定了《基础环境安全管理制度》《计算机联网使用安全管理制度》《数据中心安全管理制度》《数据中心存储介质使用安全管理制度》《数据中心计算机及软件管理制度》《数据中心设备管理制度》《数据中心设备维修、维护管理制度》等。</w:t>
            </w:r>
          </w:p>
          <w:p>
            <w:pPr>
              <w:pStyle w:val="null3"/>
              <w:jc w:val="both"/>
              <w:outlineLvl w:val="2"/>
            </w:pPr>
            <w:r>
              <w:rPr>
                <w:rFonts w:ascii="仿宋_GB2312" w:hAnsi="仿宋_GB2312" w:cs="仿宋_GB2312" w:eastAsia="仿宋_GB2312"/>
                <w:sz w:val="20"/>
                <w:b/>
              </w:rPr>
              <w:t xml:space="preserve">         7.2运维流程要求</w:t>
            </w:r>
          </w:p>
          <w:p>
            <w:pPr>
              <w:pStyle w:val="null3"/>
              <w:ind w:firstLine="480"/>
              <w:jc w:val="both"/>
            </w:pPr>
            <w:r>
              <w:rPr>
                <w:rFonts w:ascii="仿宋_GB2312" w:hAnsi="仿宋_GB2312" w:cs="仿宋_GB2312" w:eastAsia="仿宋_GB2312"/>
                <w:sz w:val="20"/>
              </w:rPr>
              <w:t>服务商需制定基本的运维服务策略，拟定各节点人员职责与规范。完善服务台、事件、问题、变更、配置、发布、服务连续性、容量等管理规范，形成一系列标准化的运维服务流程体系。对不同服务对象、服务过程和服务需求的能力要素进行抽象，并通过关键指标对服务能力进行评价；另外还需针对不同服务对象的运行维护服务提出要求。</w:t>
            </w:r>
          </w:p>
          <w:p>
            <w:pPr>
              <w:pStyle w:val="null3"/>
            </w:pPr>
            <w:r>
              <w:rPr>
                <w:rFonts w:ascii="仿宋_GB2312" w:hAnsi="仿宋_GB2312" w:cs="仿宋_GB2312" w:eastAsia="仿宋_GB2312"/>
                <w:sz w:val="21"/>
              </w:rPr>
              <w:t xml:space="preserve">   </w:t>
            </w:r>
            <w:r>
              <w:drawing>
                <wp:inline distT="0" distR="0" distB="0" distL="0">
                  <wp:extent cx="1621155" cy="124663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1246630"/>
                          </a:xfrm>
                          <a:prstGeom prst="rect">
                            <a:avLst/>
                          </a:prstGeom>
                        </pic:spPr>
                      </pic:pic>
                    </a:graphicData>
                  </a:graphic>
                </wp:inline>
              </w:drawing>
            </w:r>
          </w:p>
          <w:p>
            <w:pPr>
              <w:pStyle w:val="null3"/>
            </w:pPr>
            <w:r>
              <w:rPr>
                <w:rFonts w:ascii="仿宋_GB2312" w:hAnsi="仿宋_GB2312" w:cs="仿宋_GB2312" w:eastAsia="仿宋_GB2312"/>
                <w:sz w:val="21"/>
              </w:rPr>
              <w:t xml:space="preserve">                          运维服务框架示意图</w:t>
            </w:r>
          </w:p>
          <w:p>
            <w:pPr>
              <w:pStyle w:val="null3"/>
              <w:ind w:left="480"/>
              <w:jc w:val="both"/>
              <w:outlineLvl w:val="1"/>
            </w:pPr>
            <w:r>
              <w:rPr>
                <w:rFonts w:ascii="仿宋_GB2312" w:hAnsi="仿宋_GB2312" w:cs="仿宋_GB2312" w:eastAsia="仿宋_GB2312"/>
                <w:sz w:val="20"/>
                <w:b/>
              </w:rPr>
              <w:t>8.运维服务质量评价考核</w:t>
            </w:r>
          </w:p>
          <w:p>
            <w:pPr>
              <w:pStyle w:val="null3"/>
              <w:ind w:firstLine="480"/>
              <w:jc w:val="both"/>
            </w:pPr>
            <w:r>
              <w:rPr>
                <w:rFonts w:ascii="仿宋_GB2312" w:hAnsi="仿宋_GB2312" w:cs="仿宋_GB2312" w:eastAsia="仿宋_GB2312"/>
                <w:sz w:val="20"/>
                <w:b/>
              </w:rPr>
              <w:t>8.1服务质量评价考核结果：</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1）优秀：评价得分大于等于90分。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2）一般：评价得分大于等于70分而小于90分。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3）差：评价得分小于70分。</w:t>
            </w:r>
          </w:p>
          <w:p>
            <w:pPr>
              <w:pStyle w:val="null3"/>
              <w:ind w:firstLine="480"/>
              <w:jc w:val="both"/>
            </w:pPr>
            <w:r>
              <w:rPr>
                <w:rFonts w:ascii="仿宋_GB2312" w:hAnsi="仿宋_GB2312" w:cs="仿宋_GB2312" w:eastAsia="仿宋_GB2312"/>
                <w:sz w:val="20"/>
              </w:rPr>
              <w:t>备注：本评价结果与运维费用的支付直接挂钩。</w:t>
            </w:r>
          </w:p>
          <w:p>
            <w:pPr>
              <w:pStyle w:val="null3"/>
              <w:ind w:firstLine="480"/>
              <w:jc w:val="both"/>
            </w:pPr>
            <w:r>
              <w:rPr>
                <w:rFonts w:ascii="仿宋_GB2312" w:hAnsi="仿宋_GB2312" w:cs="仿宋_GB2312" w:eastAsia="仿宋_GB2312"/>
                <w:sz w:val="20"/>
                <w:b/>
              </w:rPr>
              <w:t>8.2服务质量评价考核要求</w:t>
            </w:r>
          </w:p>
          <w:p>
            <w:pPr>
              <w:pStyle w:val="null3"/>
              <w:ind w:firstLine="480"/>
              <w:jc w:val="both"/>
            </w:pPr>
            <w:r>
              <w:rPr>
                <w:rFonts w:ascii="仿宋_GB2312" w:hAnsi="仿宋_GB2312" w:cs="仿宋_GB2312" w:eastAsia="仿宋_GB2312"/>
                <w:sz w:val="20"/>
              </w:rPr>
              <w:t>8.2.1根据采购人根据8.3标准对中标人服务质量进行评价。</w:t>
            </w:r>
          </w:p>
          <w:p>
            <w:pPr>
              <w:pStyle w:val="null3"/>
              <w:ind w:firstLine="480"/>
              <w:jc w:val="both"/>
            </w:pPr>
            <w:r>
              <w:rPr>
                <w:rFonts w:ascii="仿宋_GB2312" w:hAnsi="仿宋_GB2312" w:cs="仿宋_GB2312" w:eastAsia="仿宋_GB2312"/>
                <w:sz w:val="20"/>
              </w:rPr>
              <w:t>8.2.2服务质量评价结果作为服务最终支付款额、合同是否继续履行的依据。采购人有权根据考评结果对中标人做出处罚。</w:t>
            </w:r>
          </w:p>
          <w:p>
            <w:pPr>
              <w:pStyle w:val="null3"/>
              <w:ind w:firstLine="480"/>
              <w:jc w:val="both"/>
            </w:pPr>
            <w:r>
              <w:rPr>
                <w:rFonts w:ascii="仿宋_GB2312" w:hAnsi="仿宋_GB2312" w:cs="仿宋_GB2312" w:eastAsia="仿宋_GB2312"/>
                <w:sz w:val="20"/>
              </w:rPr>
              <w:t>8.2.3服务质量结果评价：</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1）当服务质量考评结果为优秀时，表示中标人在服务期间内未发生重大事件，服务质量符合要求（不扣款）。</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2）当服务质量考评结果为一般时，表示中标人在服务期间内发生1-2次重大事件或有多次未按规定提供服务，服务质量基本满足要求（适当扣款）。</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3）当服务质量考评结果为差时，表示中标人在服务期间内发生多次重大事件或有多次未按规定提供重要服务，服务缺失，难以继续胜任服务工作，采购人有权单方面终止合同，并扣除履约保证金。</w:t>
            </w:r>
          </w:p>
          <w:p>
            <w:pPr>
              <w:pStyle w:val="null3"/>
              <w:ind w:firstLine="480"/>
              <w:jc w:val="both"/>
            </w:pPr>
            <w:r>
              <w:rPr>
                <w:rFonts w:ascii="仿宋_GB2312" w:hAnsi="仿宋_GB2312" w:cs="仿宋_GB2312" w:eastAsia="仿宋_GB2312"/>
                <w:sz w:val="20"/>
                <w:b/>
              </w:rPr>
              <w:t>8.3服务质量评价标准</w:t>
            </w:r>
          </w:p>
          <w:tbl>
            <w:tblPr>
              <w:tblInd w:type="dxa" w:w="120"/>
              <w:tblBorders>
                <w:top w:val="none" w:color="000000" w:sz="4"/>
                <w:left w:val="none" w:color="000000" w:sz="4"/>
                <w:bottom w:val="none" w:color="000000" w:sz="4"/>
                <w:right w:val="none" w:color="000000" w:sz="4"/>
                <w:insideH w:val="none"/>
                <w:insideV w:val="none"/>
              </w:tblBorders>
            </w:tblPr>
            <w:tblGrid>
              <w:gridCol w:w="185"/>
              <w:gridCol w:w="256"/>
              <w:gridCol w:w="1453"/>
              <w:gridCol w:w="222"/>
              <w:gridCol w:w="249"/>
              <w:gridCol w:w="187"/>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w:t>
                  </w:r>
                </w:p>
                <w:p>
                  <w:pPr>
                    <w:pStyle w:val="null3"/>
                    <w:jc w:val="center"/>
                  </w:pPr>
                  <w:r>
                    <w:rPr>
                      <w:rFonts w:ascii="仿宋_GB2312" w:hAnsi="仿宋_GB2312" w:cs="仿宋_GB2312" w:eastAsia="仿宋_GB2312"/>
                      <w:sz w:val="20"/>
                    </w:rPr>
                    <w:t>内容</w:t>
                  </w:r>
                </w:p>
              </w:tc>
              <w:tc>
                <w:tcPr>
                  <w:tcW w:type="dxa" w:w="1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评价标准（注：扣分至满</w:t>
                  </w:r>
                  <w:r>
                    <w:rPr>
                      <w:rFonts w:ascii="仿宋_GB2312" w:hAnsi="仿宋_GB2312" w:cs="仿宋_GB2312" w:eastAsia="仿宋_GB2312"/>
                      <w:sz w:val="20"/>
                    </w:rPr>
                    <w:t>100分止）</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评价频次</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扣分</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得分</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标准服务</w:t>
                  </w: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w:t>
                  </w:r>
                </w:p>
                <w:p>
                  <w:pPr>
                    <w:pStyle w:val="null3"/>
                    <w:jc w:val="center"/>
                  </w:pPr>
                  <w:r>
                    <w:rPr>
                      <w:rFonts w:ascii="仿宋_GB2312" w:hAnsi="仿宋_GB2312" w:cs="仿宋_GB2312" w:eastAsia="仿宋_GB2312"/>
                      <w:sz w:val="20"/>
                    </w:rPr>
                    <w:t>维护</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在服务期间，发生系统宕机、业务停顿、数据丢失、泄密及安全事故等重大事件</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在服务期间，硬件系统发生故障后未在规定时间内处理完毕并恢复正常</w:t>
                  </w:r>
                  <w:r>
                    <w:rPr>
                      <w:rFonts w:ascii="仿宋_GB2312" w:hAnsi="仿宋_GB2312" w:cs="仿宋_GB2312" w:eastAsia="仿宋_GB2312"/>
                      <w:sz w:val="20"/>
                    </w:rPr>
                    <w:t>,超出规定时间小于4小时</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在服务期间，硬件系统发生故障后未在规定时间内处理完毕并恢复正常</w:t>
                  </w:r>
                  <w:r>
                    <w:rPr>
                      <w:rFonts w:ascii="仿宋_GB2312" w:hAnsi="仿宋_GB2312" w:cs="仿宋_GB2312" w:eastAsia="仿宋_GB2312"/>
                      <w:sz w:val="20"/>
                    </w:rPr>
                    <w:t>,超出规定时间大于12小时</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在服务期间，硬件系统发生故障后未在规定时间内处理完毕并恢复正常次数大于等于</w:t>
                  </w:r>
                  <w:r>
                    <w:rPr>
                      <w:rFonts w:ascii="仿宋_GB2312" w:hAnsi="仿宋_GB2312" w:cs="仿宋_GB2312" w:eastAsia="仿宋_GB2312"/>
                      <w:sz w:val="20"/>
                    </w:rPr>
                    <w:t>2次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半年</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在服务期间，硬件系统发生故障后未在规定时间内处理完毕并恢复正常次数大于等于</w:t>
                  </w:r>
                  <w:r>
                    <w:rPr>
                      <w:rFonts w:ascii="仿宋_GB2312" w:hAnsi="仿宋_GB2312" w:cs="仿宋_GB2312" w:eastAsia="仿宋_GB2312"/>
                      <w:sz w:val="20"/>
                    </w:rPr>
                    <w:t>3次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未及时提供按招标文件、投标文件及合同要求规定的其它硬件系统服务或服务不到位</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w:t>
                  </w:r>
                </w:p>
                <w:p>
                  <w:pPr>
                    <w:pStyle w:val="null3"/>
                    <w:jc w:val="center"/>
                  </w:pPr>
                  <w:r>
                    <w:rPr>
                      <w:rFonts w:ascii="仿宋_GB2312" w:hAnsi="仿宋_GB2312" w:cs="仿宋_GB2312" w:eastAsia="仿宋_GB2312"/>
                      <w:sz w:val="20"/>
                    </w:rPr>
                    <w:t>维护</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支持服务专家未按时提交年度支持服务计划</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在故障发生后，未在规定时间内提供电话支持及响应</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在故障发生后，故障处理工程师</w:t>
                  </w:r>
                  <w:r>
                    <w:rPr>
                      <w:rFonts w:ascii="仿宋_GB2312" w:hAnsi="仿宋_GB2312" w:cs="仿宋_GB2312" w:eastAsia="仿宋_GB2312"/>
                      <w:sz w:val="20"/>
                    </w:rPr>
                    <w:t>1小时内未到达现场</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在故障发生后，故障处理工程师到达现场时间超过</w:t>
                  </w:r>
                  <w:r>
                    <w:rPr>
                      <w:rFonts w:ascii="仿宋_GB2312" w:hAnsi="仿宋_GB2312" w:cs="仿宋_GB2312" w:eastAsia="仿宋_GB2312"/>
                      <w:sz w:val="20"/>
                    </w:rPr>
                    <w:t>2小时</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在故障发生后，系统恢复时间超过规定时间</w:t>
                  </w:r>
                  <w:r>
                    <w:rPr>
                      <w:rFonts w:ascii="仿宋_GB2312" w:hAnsi="仿宋_GB2312" w:cs="仿宋_GB2312" w:eastAsia="仿宋_GB2312"/>
                      <w:sz w:val="20"/>
                    </w:rPr>
                    <w:t>4小时</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在故障发生后，系统恢复时间超过规定时间</w:t>
                  </w:r>
                  <w:r>
                    <w:rPr>
                      <w:rFonts w:ascii="仿宋_GB2312" w:hAnsi="仿宋_GB2312" w:cs="仿宋_GB2312" w:eastAsia="仿宋_GB2312"/>
                      <w:sz w:val="20"/>
                    </w:rPr>
                    <w:t>12小时</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故障处理完毕未按规定时间提交故障处理报告</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在服务期间，发生操作系统、数据库等系统瘫痪、不可操作、不可管理等事故</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未及时提供按招标文件、投标文件及合同要求规定的其它软件系统服务或服务不到位</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补丁安装及系统升级服务</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未及时发现系统软件隐患并提供解决方案及《补丁、微码升级计划和步骤》</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未及时提效《补丁、微码升级总结报告》</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补丁安装及系统升级过程中造成系统中断或数据丢失</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系统优化服务</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未按时提供主机、存储、数据库、网络、</w:t>
                  </w:r>
                  <w:r>
                    <w:rPr>
                      <w:rFonts w:ascii="仿宋_GB2312" w:hAnsi="仿宋_GB2312" w:cs="仿宋_GB2312" w:eastAsia="仿宋_GB2312"/>
                      <w:sz w:val="20"/>
                    </w:rPr>
                    <w:t>WEB、应用层等系统的《系统优化建议书》及《系统优化实施方案》</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未按时对系统进行优化并出具《系统优化实施总结报告》</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优化效果没达要求</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系统优化过程中造成业务中断或数据丢失</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培训</w:t>
                  </w:r>
                </w:p>
                <w:p>
                  <w:pPr>
                    <w:pStyle w:val="null3"/>
                    <w:jc w:val="center"/>
                  </w:pPr>
                  <w:r>
                    <w:rPr>
                      <w:rFonts w:ascii="仿宋_GB2312" w:hAnsi="仿宋_GB2312" w:cs="仿宋_GB2312" w:eastAsia="仿宋_GB2312"/>
                      <w:sz w:val="20"/>
                    </w:rPr>
                    <w:t>服务</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未按时提供现场培训服务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5"/>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培训内容与要求不符或未到达要求</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9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评价期测评总分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1"/>
            </w:pPr>
            <w:r>
              <w:rPr>
                <w:rFonts w:ascii="仿宋_GB2312" w:hAnsi="仿宋_GB2312" w:cs="仿宋_GB2312" w:eastAsia="仿宋_GB2312"/>
                <w:sz w:val="20"/>
                <w:b/>
              </w:rPr>
              <w:t>8.4绩效目标</w:t>
            </w:r>
          </w:p>
          <w:tbl>
            <w:tblPr>
              <w:tblInd w:type="dxa" w:w="120"/>
              <w:tblBorders>
                <w:top w:val="none" w:color="000000" w:sz="4"/>
                <w:left w:val="none" w:color="000000" w:sz="4"/>
                <w:bottom w:val="none" w:color="000000" w:sz="4"/>
                <w:right w:val="none" w:color="000000" w:sz="4"/>
                <w:insideH w:val="none"/>
                <w:insideV w:val="none"/>
              </w:tblBorders>
            </w:tblPr>
            <w:tblGrid>
              <w:gridCol w:w="255"/>
              <w:gridCol w:w="351"/>
              <w:gridCol w:w="593"/>
              <w:gridCol w:w="1036"/>
              <w:gridCol w:w="318"/>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总体</w:t>
                  </w:r>
                </w:p>
                <w:p>
                  <w:pPr>
                    <w:pStyle w:val="null3"/>
                  </w:pPr>
                  <w:r>
                    <w:rPr>
                      <w:rFonts w:ascii="仿宋_GB2312" w:hAnsi="仿宋_GB2312" w:cs="仿宋_GB2312" w:eastAsia="仿宋_GB2312"/>
                      <w:sz w:val="20"/>
                    </w:rPr>
                    <w:t>目标</w:t>
                  </w:r>
                </w:p>
              </w:tc>
              <w:tc>
                <w:tcPr>
                  <w:tcW w:type="dxa" w:w="22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该项目以全面提升陕西省检察机关移动</w:t>
                  </w:r>
                  <w:r>
                    <w:rPr>
                      <w:rFonts w:ascii="仿宋_GB2312" w:hAnsi="仿宋_GB2312" w:cs="仿宋_GB2312" w:eastAsia="仿宋_GB2312"/>
                      <w:sz w:val="20"/>
                    </w:rPr>
                    <w:t>办案办公</w:t>
                  </w:r>
                  <w:r>
                    <w:rPr>
                      <w:rFonts w:ascii="仿宋_GB2312" w:hAnsi="仿宋_GB2312" w:cs="仿宋_GB2312" w:eastAsia="仿宋_GB2312"/>
                      <w:sz w:val="20"/>
                    </w:rPr>
                    <w:t>平台、终端设备服务、</w:t>
                  </w:r>
                  <w:r>
                    <w:rPr>
                      <w:rFonts w:ascii="仿宋_GB2312" w:hAnsi="仿宋_GB2312" w:cs="仿宋_GB2312" w:eastAsia="仿宋_GB2312"/>
                      <w:sz w:val="20"/>
                    </w:rPr>
                    <w:t>检</w:t>
                  </w:r>
                  <w:r>
                    <w:rPr>
                      <w:rFonts w:ascii="仿宋_GB2312" w:hAnsi="仿宋_GB2312" w:cs="仿宋_GB2312" w:eastAsia="仿宋_GB2312"/>
                      <w:sz w:val="20"/>
                    </w:rPr>
                    <w:t>察服务的整体效能为目标，达到系统状态实时可知、故障预防、故障及时处理，提升业务系统的可靠性、稳定性，提高运行维护效率，降低业务系统整体风险。</w:t>
                  </w:r>
                </w:p>
              </w:tc>
            </w:tr>
            <w:tr>
              <w:tc>
                <w:tcPr>
                  <w:tcW w:type="dxa" w:w="255"/>
                  <w:vMerge w:val="restart"/>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绩效</w:t>
                  </w:r>
                </w:p>
                <w:p>
                  <w:pPr>
                    <w:pStyle w:val="null3"/>
                  </w:pPr>
                  <w:r>
                    <w:rPr>
                      <w:rFonts w:ascii="仿宋_GB2312" w:hAnsi="仿宋_GB2312" w:cs="仿宋_GB2312" w:eastAsia="仿宋_GB2312"/>
                      <w:sz w:val="20"/>
                    </w:rPr>
                    <w:t>指标</w:t>
                  </w:r>
                </w:p>
              </w:tc>
              <w:tc>
                <w:tcPr>
                  <w:tcW w:type="dxa" w:w="351"/>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一级指标</w:t>
                  </w:r>
                </w:p>
              </w:tc>
              <w:tc>
                <w:tcPr>
                  <w:tcW w:type="dxa" w:w="593"/>
                  <w:tcBorders>
                    <w:top w:val="singl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二级指标</w:t>
                  </w:r>
                </w:p>
              </w:tc>
              <w:tc>
                <w:tcPr>
                  <w:tcW w:type="dxa" w:w="1036"/>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20"/>
                    </w:rPr>
                    <w:t>三级指标</w:t>
                  </w:r>
                </w:p>
              </w:tc>
              <w:tc>
                <w:tcPr>
                  <w:tcW w:type="dxa" w:w="318"/>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20"/>
                    </w:rPr>
                    <w:t>指标值</w:t>
                  </w:r>
                </w:p>
              </w:tc>
            </w:tr>
            <w:tr>
              <w:tc>
                <w:tcPr>
                  <w:tcW w:type="dxa" w:w="255"/>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产出指标</w:t>
                  </w:r>
                </w:p>
              </w:tc>
              <w:tc>
                <w:tcPr>
                  <w:tcW w:type="dxa" w:w="593"/>
                  <w:vMerge w:val="restart"/>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数量指标</w:t>
                  </w:r>
                </w:p>
              </w:tc>
              <w:tc>
                <w:tcPr>
                  <w:tcW w:type="dxa" w:w="1036"/>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全省移动办案办公平台</w:t>
                  </w:r>
                </w:p>
              </w:tc>
              <w:tc>
                <w:tcPr>
                  <w:tcW w:type="dxa" w:w="318"/>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55"/>
                  <w:vMerge/>
                  <w:tcBorders>
                    <w:top w:val="none" w:color="000000" w:sz="4"/>
                    <w:left w:val="single" w:color="000000" w:sz="4"/>
                    <w:bottom w:val="single" w:color="000000" w:sz="4"/>
                    <w:right w:val="single" w:color="000000" w:sz="4"/>
                  </w:tcBorders>
                </w:tcPr>
                <w:p/>
              </w:tc>
              <w:tc>
                <w:tcPr>
                  <w:tcW w:type="dxa" w:w="351"/>
                  <w:vMerge/>
                  <w:tcBorders>
                    <w:top w:val="none" w:color="000000" w:sz="4"/>
                    <w:left w:val="single" w:color="000000" w:sz="4"/>
                    <w:bottom w:val="single" w:color="000000" w:sz="4"/>
                    <w:right w:val="single" w:color="000000" w:sz="4"/>
                  </w:tcBorders>
                </w:tcPr>
                <w:p/>
              </w:tc>
              <w:tc>
                <w:tcPr>
                  <w:tcW w:type="dxa" w:w="593"/>
                  <w:vMerge/>
                  <w:tcBorders>
                    <w:top w:val="none" w:color="000000" w:sz="4"/>
                    <w:left w:val="single" w:color="000000" w:sz="4"/>
                    <w:bottom w:val="single" w:color="000000" w:sz="4"/>
                    <w:right w:val="single" w:color="000000" w:sz="4"/>
                  </w:tcBorders>
                </w:tcPr>
                <w:p/>
              </w:tc>
              <w:tc>
                <w:tcPr>
                  <w:tcW w:type="dxa" w:w="1036"/>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全省</w:t>
                  </w:r>
                  <w:r>
                    <w:rPr>
                      <w:rFonts w:ascii="仿宋_GB2312" w:hAnsi="仿宋_GB2312" w:cs="仿宋_GB2312" w:eastAsia="仿宋_GB2312"/>
                      <w:sz w:val="20"/>
                    </w:rPr>
                    <w:t>检</w:t>
                  </w:r>
                  <w:r>
                    <w:rPr>
                      <w:rFonts w:ascii="仿宋_GB2312" w:hAnsi="仿宋_GB2312" w:cs="仿宋_GB2312" w:eastAsia="仿宋_GB2312"/>
                      <w:sz w:val="20"/>
                    </w:rPr>
                    <w:t>察服务平台</w:t>
                  </w:r>
                </w:p>
              </w:tc>
              <w:tc>
                <w:tcPr>
                  <w:tcW w:type="dxa" w:w="318"/>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55"/>
                  <w:vMerge/>
                  <w:tcBorders>
                    <w:top w:val="none" w:color="000000" w:sz="4"/>
                    <w:left w:val="single" w:color="000000" w:sz="4"/>
                    <w:bottom w:val="single" w:color="000000" w:sz="4"/>
                    <w:right w:val="single" w:color="000000" w:sz="4"/>
                  </w:tcBorders>
                </w:tcPr>
                <w:p/>
              </w:tc>
              <w:tc>
                <w:tcPr>
                  <w:tcW w:type="dxa" w:w="351"/>
                  <w:vMerge/>
                  <w:tcBorders>
                    <w:top w:val="none" w:color="000000" w:sz="4"/>
                    <w:left w:val="single" w:color="000000" w:sz="4"/>
                    <w:bottom w:val="single" w:color="000000" w:sz="4"/>
                    <w:right w:val="single" w:color="000000" w:sz="4"/>
                  </w:tcBorders>
                </w:tcPr>
                <w:p/>
              </w:tc>
              <w:tc>
                <w:tcPr>
                  <w:tcW w:type="dxa" w:w="593"/>
                  <w:vMerge/>
                  <w:tcBorders>
                    <w:top w:val="none" w:color="000000" w:sz="4"/>
                    <w:left w:val="single" w:color="000000" w:sz="4"/>
                    <w:bottom w:val="single" w:color="000000" w:sz="4"/>
                    <w:right w:val="single" w:color="000000" w:sz="4"/>
                  </w:tcBorders>
                </w:tcPr>
                <w:p/>
              </w:tc>
              <w:tc>
                <w:tcPr>
                  <w:tcW w:type="dxa" w:w="1036"/>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终端设备</w:t>
                  </w:r>
                </w:p>
              </w:tc>
              <w:tc>
                <w:tcPr>
                  <w:tcW w:type="dxa" w:w="318"/>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320</w:t>
                  </w:r>
                  <w:r>
                    <w:rPr>
                      <w:rFonts w:ascii="仿宋_GB2312" w:hAnsi="仿宋_GB2312" w:cs="仿宋_GB2312" w:eastAsia="仿宋_GB2312"/>
                      <w:sz w:val="20"/>
                    </w:rPr>
                    <w:t>台</w:t>
                  </w:r>
                </w:p>
              </w:tc>
            </w:tr>
            <w:tr>
              <w:tc>
                <w:tcPr>
                  <w:tcW w:type="dxa" w:w="255"/>
                  <w:vMerge/>
                  <w:tcBorders>
                    <w:top w:val="none" w:color="000000" w:sz="4"/>
                    <w:left w:val="single" w:color="000000" w:sz="4"/>
                    <w:bottom w:val="single" w:color="000000" w:sz="4"/>
                    <w:right w:val="single" w:color="000000" w:sz="4"/>
                  </w:tcBorders>
                </w:tcPr>
                <w:p/>
              </w:tc>
              <w:tc>
                <w:tcPr>
                  <w:tcW w:type="dxa" w:w="351"/>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时效指标</w:t>
                  </w:r>
                </w:p>
              </w:tc>
              <w:tc>
                <w:tcPr>
                  <w:tcW w:type="dxa" w:w="1036"/>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年度维护成本增长率</w:t>
                  </w:r>
                </w:p>
              </w:tc>
              <w:tc>
                <w:tcPr>
                  <w:tcW w:type="dxa" w:w="318"/>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15%</w:t>
                  </w:r>
                </w:p>
              </w:tc>
            </w:tr>
            <w:tr>
              <w:tc>
                <w:tcPr>
                  <w:tcW w:type="dxa" w:w="255"/>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效益指标</w:t>
                  </w:r>
                </w:p>
              </w:tc>
              <w:tc>
                <w:tcPr>
                  <w:tcW w:type="dxa" w:w="593"/>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社会效益指标</w:t>
                  </w:r>
                </w:p>
              </w:tc>
              <w:tc>
                <w:tcPr>
                  <w:tcW w:type="dxa" w:w="1036"/>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安全保障</w:t>
                  </w:r>
                </w:p>
              </w:tc>
              <w:tc>
                <w:tcPr>
                  <w:tcW w:type="dxa" w:w="318"/>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提升</w:t>
                  </w:r>
                </w:p>
              </w:tc>
            </w:tr>
            <w:tr>
              <w:tc>
                <w:tcPr>
                  <w:tcW w:type="dxa" w:w="255"/>
                  <w:vMerge/>
                  <w:tcBorders>
                    <w:top w:val="none" w:color="000000" w:sz="4"/>
                    <w:left w:val="single" w:color="000000" w:sz="4"/>
                    <w:bottom w:val="single" w:color="000000" w:sz="4"/>
                    <w:right w:val="single" w:color="000000" w:sz="4"/>
                  </w:tcBorders>
                </w:tcPr>
                <w:p/>
              </w:tc>
              <w:tc>
                <w:tcPr>
                  <w:tcW w:type="dxa" w:w="351"/>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可持续影响指标</w:t>
                  </w:r>
                </w:p>
              </w:tc>
              <w:tc>
                <w:tcPr>
                  <w:tcW w:type="dxa" w:w="1036"/>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系统正常使用年限</w:t>
                  </w:r>
                </w:p>
              </w:tc>
              <w:tc>
                <w:tcPr>
                  <w:tcW w:type="dxa" w:w="318"/>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3</w:t>
                  </w:r>
                  <w:r>
                    <w:rPr>
                      <w:rFonts w:ascii="仿宋_GB2312" w:hAnsi="仿宋_GB2312" w:cs="仿宋_GB2312" w:eastAsia="仿宋_GB2312"/>
                      <w:sz w:val="20"/>
                    </w:rPr>
                    <w:t>年</w:t>
                  </w:r>
                </w:p>
              </w:tc>
            </w:tr>
            <w:tr>
              <w:tc>
                <w:tcPr>
                  <w:tcW w:type="dxa" w:w="255"/>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满意度指标</w:t>
                  </w:r>
                </w:p>
              </w:tc>
              <w:tc>
                <w:tcPr>
                  <w:tcW w:type="dxa" w:w="593"/>
                  <w:vMerge w:val="restart"/>
                  <w:tcBorders>
                    <w:top w:val="none" w:color="000000" w:sz="4"/>
                    <w:left w:val="single" w:color="000000" w:sz="4"/>
                    <w:bottom w:val="single" w:color="000000" w:sz="4"/>
                    <w:right w:val="single" w:color="000000" w:sz="4"/>
                  </w:tcBorders>
                  <w:shd w:fill="FFFFFF"/>
                  <w:tcMar>
                    <w:top w:type="dxa" w:w="15"/>
                    <w:left w:type="dxa" w:w="105"/>
                    <w:bottom w:type="dxa" w:w="0"/>
                    <w:right w:type="dxa" w:w="105"/>
                  </w:tcMar>
                  <w:vAlign w:val="top"/>
                </w:tcPr>
                <w:p>
                  <w:pPr>
                    <w:pStyle w:val="null3"/>
                  </w:pPr>
                  <w:r>
                    <w:rPr>
                      <w:rFonts w:ascii="仿宋_GB2312" w:hAnsi="仿宋_GB2312" w:cs="仿宋_GB2312" w:eastAsia="仿宋_GB2312"/>
                      <w:sz w:val="20"/>
                    </w:rPr>
                    <w:t>服务对象满意度指标</w:t>
                  </w:r>
                </w:p>
              </w:tc>
              <w:tc>
                <w:tcPr>
                  <w:tcW w:type="dxa" w:w="1036"/>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20"/>
                    </w:rPr>
                    <w:t>使用人员满意度</w:t>
                  </w:r>
                </w:p>
              </w:tc>
              <w:tc>
                <w:tcPr>
                  <w:tcW w:type="dxa" w:w="318"/>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98%</w:t>
                  </w:r>
                </w:p>
              </w:tc>
            </w:tr>
            <w:tr>
              <w:tc>
                <w:tcPr>
                  <w:tcW w:type="dxa" w:w="255"/>
                  <w:vMerge/>
                  <w:tcBorders>
                    <w:top w:val="none" w:color="000000" w:sz="4"/>
                    <w:left w:val="single" w:color="000000" w:sz="4"/>
                    <w:bottom w:val="single" w:color="000000" w:sz="4"/>
                    <w:right w:val="single" w:color="000000" w:sz="4"/>
                  </w:tcBorders>
                </w:tcPr>
                <w:p/>
              </w:tc>
              <w:tc>
                <w:tcPr>
                  <w:tcW w:type="dxa" w:w="351"/>
                  <w:vMerge/>
                  <w:tcBorders>
                    <w:top w:val="none" w:color="000000" w:sz="4"/>
                    <w:left w:val="single" w:color="000000" w:sz="4"/>
                    <w:bottom w:val="single" w:color="000000" w:sz="4"/>
                    <w:right w:val="single" w:color="000000" w:sz="4"/>
                  </w:tcBorders>
                </w:tcPr>
                <w:p/>
              </w:tc>
              <w:tc>
                <w:tcPr>
                  <w:tcW w:type="dxa" w:w="593"/>
                  <w:vMerge/>
                  <w:tcBorders>
                    <w:top w:val="none" w:color="000000" w:sz="4"/>
                    <w:left w:val="single" w:color="000000" w:sz="4"/>
                    <w:bottom w:val="single" w:color="000000" w:sz="4"/>
                    <w:right w:val="single" w:color="000000" w:sz="4"/>
                  </w:tcBorders>
                </w:tcPr>
                <w:p/>
              </w:tc>
              <w:tc>
                <w:tcPr>
                  <w:tcW w:type="dxa" w:w="1036"/>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20"/>
                    </w:rPr>
                    <w:t>管理人员满意度</w:t>
                  </w:r>
                </w:p>
              </w:tc>
              <w:tc>
                <w:tcPr>
                  <w:tcW w:type="dxa" w:w="318"/>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98%</w:t>
                  </w:r>
                </w:p>
              </w:tc>
            </w:tr>
          </w:tbl>
          <w:p>
            <w:pPr>
              <w:pStyle w:val="null3"/>
              <w:spacing w:before="255" w:after="255"/>
              <w:ind w:firstLine="400"/>
              <w:jc w:val="both"/>
            </w:pPr>
            <w:r>
              <w:rPr>
                <w:rFonts w:ascii="仿宋_GB2312" w:hAnsi="仿宋_GB2312" w:cs="仿宋_GB2312" w:eastAsia="仿宋_GB2312"/>
                <w:b/>
              </w:rPr>
              <w:t>9.服务验收</w:t>
            </w:r>
          </w:p>
          <w:p>
            <w:pPr>
              <w:pStyle w:val="null3"/>
              <w:ind w:firstLine="480"/>
              <w:jc w:val="both"/>
            </w:pPr>
            <w:r>
              <w:rPr>
                <w:rFonts w:ascii="仿宋_GB2312" w:hAnsi="仿宋_GB2312" w:cs="仿宋_GB2312" w:eastAsia="仿宋_GB2312"/>
                <w:sz w:val="20"/>
                <w:b/>
              </w:rPr>
              <w:t>9.1初验</w:t>
            </w:r>
          </w:p>
          <w:p>
            <w:pPr>
              <w:pStyle w:val="null3"/>
              <w:ind w:firstLine="480"/>
              <w:jc w:val="both"/>
            </w:pPr>
            <w:r>
              <w:rPr>
                <w:rFonts w:ascii="仿宋_GB2312" w:hAnsi="仿宋_GB2312" w:cs="仿宋_GB2312" w:eastAsia="仿宋_GB2312"/>
                <w:sz w:val="20"/>
              </w:rPr>
              <w:t>9.1.1验收内容：合同签订后15日内，中标人向采购人交付终端设备，采购人进行验收。</w:t>
            </w:r>
          </w:p>
          <w:p>
            <w:pPr>
              <w:pStyle w:val="null3"/>
              <w:ind w:firstLine="480"/>
              <w:jc w:val="both"/>
            </w:pPr>
            <w:r>
              <w:rPr>
                <w:rFonts w:ascii="仿宋_GB2312" w:hAnsi="仿宋_GB2312" w:cs="仿宋_GB2312" w:eastAsia="仿宋_GB2312"/>
                <w:sz w:val="20"/>
              </w:rPr>
              <w:t>9.1.2验收依据：招标文件、投标文件、合同文本、国内相应的标准、规范。</w:t>
            </w:r>
          </w:p>
          <w:p>
            <w:pPr>
              <w:pStyle w:val="null3"/>
              <w:ind w:firstLine="480"/>
              <w:jc w:val="both"/>
            </w:pPr>
            <w:r>
              <w:rPr>
                <w:rFonts w:ascii="仿宋_GB2312" w:hAnsi="仿宋_GB2312" w:cs="仿宋_GB2312" w:eastAsia="仿宋_GB2312"/>
                <w:sz w:val="20"/>
                <w:b/>
              </w:rPr>
              <w:t>9.2终验</w:t>
            </w:r>
          </w:p>
          <w:p>
            <w:pPr>
              <w:pStyle w:val="null3"/>
              <w:ind w:firstLine="480"/>
              <w:jc w:val="both"/>
            </w:pPr>
            <w:r>
              <w:rPr>
                <w:rFonts w:ascii="仿宋_GB2312" w:hAnsi="仿宋_GB2312" w:cs="仿宋_GB2312" w:eastAsia="仿宋_GB2312"/>
                <w:sz w:val="20"/>
              </w:rPr>
              <w:t>9.2.1验收内容：服务期满1年后，中标人向采购人提出终验申请，采购人对中标人提供的服务内容、服务质量、服务完成情况等进行运维服务质量评价。</w:t>
            </w:r>
          </w:p>
          <w:p>
            <w:pPr>
              <w:pStyle w:val="null3"/>
              <w:ind w:firstLine="480"/>
              <w:jc w:val="both"/>
            </w:pPr>
            <w:r>
              <w:rPr>
                <w:rFonts w:ascii="仿宋_GB2312" w:hAnsi="仿宋_GB2312" w:cs="仿宋_GB2312" w:eastAsia="仿宋_GB2312"/>
                <w:sz w:val="20"/>
              </w:rPr>
              <w:t>9.2.2验收依据：招标文件、投标文件、合同文本、国内相应的标准、规范。</w:t>
            </w:r>
          </w:p>
          <w:p>
            <w:pPr>
              <w:pStyle w:val="null3"/>
              <w:jc w:val="both"/>
            </w:pPr>
            <w:r>
              <w:rPr>
                <w:rFonts w:ascii="仿宋_GB2312" w:hAnsi="仿宋_GB2312" w:cs="仿宋_GB2312" w:eastAsia="仿宋_GB2312"/>
                <w:b/>
              </w:rPr>
              <w:t>10.</w:t>
            </w:r>
            <w:r>
              <w:rPr>
                <w:rFonts w:ascii="仿宋_GB2312" w:hAnsi="仿宋_GB2312" w:cs="仿宋_GB2312" w:eastAsia="仿宋_GB2312"/>
                <w:b/>
              </w:rPr>
              <w:t>投标文件编制要求</w:t>
            </w:r>
          </w:p>
          <w:p>
            <w:pPr>
              <w:pStyle w:val="null3"/>
              <w:ind w:firstLine="400"/>
            </w:pPr>
            <w:r>
              <w:rPr>
                <w:rFonts w:ascii="仿宋_GB2312" w:hAnsi="仿宋_GB2312" w:cs="仿宋_GB2312" w:eastAsia="仿宋_GB2312"/>
              </w:rPr>
              <w:t>投标人根据招标文件评分标准编制投保文件。</w:t>
            </w:r>
          </w:p>
          <w:p>
            <w:pPr>
              <w:pStyle w:val="null3"/>
              <w:ind w:firstLine="400"/>
            </w:pPr>
            <w:r>
              <w:rPr>
                <w:rFonts w:ascii="仿宋_GB2312" w:hAnsi="仿宋_GB2312" w:cs="仿宋_GB2312" w:eastAsia="仿宋_GB2312"/>
              </w:rPr>
              <w:t>10.1</w:t>
            </w:r>
            <w:r>
              <w:rPr>
                <w:rFonts w:ascii="仿宋_GB2312" w:hAnsi="仿宋_GB2312" w:cs="仿宋_GB2312" w:eastAsia="仿宋_GB2312"/>
              </w:rPr>
              <w:t>项目理解分析</w:t>
            </w:r>
            <w:r>
              <w:rPr>
                <w:rFonts w:ascii="仿宋_GB2312" w:hAnsi="仿宋_GB2312" w:cs="仿宋_GB2312" w:eastAsia="仿宋_GB2312"/>
              </w:rPr>
              <w:t>：</w:t>
            </w:r>
            <w:r>
              <w:rPr>
                <w:rFonts w:ascii="仿宋_GB2312" w:hAnsi="仿宋_GB2312" w:cs="仿宋_GB2312" w:eastAsia="仿宋_GB2312"/>
              </w:rPr>
              <w:t>内容包括</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）项目需求的理解，对项目现状与各需求之间关联关系的了解程度（</w:t>
            </w:r>
            <w:r>
              <w:rPr>
                <w:rFonts w:ascii="仿宋_GB2312" w:hAnsi="仿宋_GB2312" w:cs="仿宋_GB2312" w:eastAsia="仿宋_GB2312"/>
              </w:rPr>
              <w:t>2</w:t>
            </w:r>
            <w:r>
              <w:rPr>
                <w:rFonts w:ascii="仿宋_GB2312" w:hAnsi="仿宋_GB2312" w:cs="仿宋_GB2312" w:eastAsia="仿宋_GB2312"/>
              </w:rPr>
              <w:t>）对重点难点工作的把握与分析。</w:t>
            </w:r>
          </w:p>
          <w:p>
            <w:pPr>
              <w:pStyle w:val="null3"/>
              <w:ind w:firstLine="400"/>
            </w:pPr>
            <w:r>
              <w:rPr>
                <w:rFonts w:ascii="仿宋_GB2312" w:hAnsi="仿宋_GB2312" w:cs="仿宋_GB2312" w:eastAsia="仿宋_GB2312"/>
              </w:rPr>
              <w:t>10.2</w:t>
            </w:r>
            <w:r>
              <w:rPr>
                <w:rFonts w:ascii="仿宋_GB2312" w:hAnsi="仿宋_GB2312" w:cs="仿宋_GB2312" w:eastAsia="仿宋_GB2312"/>
              </w:rPr>
              <w:t>总体服务方案</w:t>
            </w:r>
            <w:r>
              <w:rPr>
                <w:rFonts w:ascii="仿宋_GB2312" w:hAnsi="仿宋_GB2312" w:cs="仿宋_GB2312" w:eastAsia="仿宋_GB2312"/>
              </w:rPr>
              <w:t>：</w:t>
            </w:r>
            <w:r>
              <w:rPr>
                <w:rFonts w:ascii="仿宋_GB2312" w:hAnsi="仿宋_GB2312" w:cs="仿宋_GB2312" w:eastAsia="仿宋_GB2312"/>
              </w:rPr>
              <w:t>内容包括</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平台运维服务</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移动办案办公运维服务</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安全管理运维服务</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检察服务平台运维服务</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终端服务。</w:t>
            </w:r>
          </w:p>
          <w:p>
            <w:pPr>
              <w:pStyle w:val="null3"/>
              <w:ind w:firstLine="400"/>
            </w:pPr>
            <w:r>
              <w:rPr>
                <w:rFonts w:ascii="仿宋_GB2312" w:hAnsi="仿宋_GB2312" w:cs="仿宋_GB2312" w:eastAsia="仿宋_GB2312"/>
              </w:rPr>
              <w:t>10.3</w:t>
            </w:r>
            <w:r>
              <w:rPr>
                <w:rFonts w:ascii="仿宋_GB2312" w:hAnsi="仿宋_GB2312" w:cs="仿宋_GB2312" w:eastAsia="仿宋_GB2312"/>
              </w:rPr>
              <w:t>主要参数响应情况佐证材料。</w:t>
            </w:r>
          </w:p>
          <w:p>
            <w:pPr>
              <w:pStyle w:val="null3"/>
              <w:ind w:firstLine="400"/>
            </w:pPr>
            <w:r>
              <w:rPr>
                <w:rFonts w:ascii="仿宋_GB2312" w:hAnsi="仿宋_GB2312" w:cs="仿宋_GB2312" w:eastAsia="仿宋_GB2312"/>
              </w:rPr>
              <w:t>10.4</w:t>
            </w:r>
            <w:r>
              <w:rPr>
                <w:rFonts w:ascii="仿宋_GB2312" w:hAnsi="仿宋_GB2312" w:cs="仿宋_GB2312" w:eastAsia="仿宋_GB2312"/>
              </w:rPr>
              <w:t>实施方案</w:t>
            </w:r>
            <w:r>
              <w:rPr>
                <w:rFonts w:ascii="仿宋_GB2312" w:hAnsi="仿宋_GB2312" w:cs="仿宋_GB2312" w:eastAsia="仿宋_GB2312"/>
              </w:rPr>
              <w:t>：内容包括</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）服务期内各项工作进度安排；（</w:t>
            </w:r>
            <w:r>
              <w:rPr>
                <w:rFonts w:ascii="仿宋_GB2312" w:hAnsi="仿宋_GB2312" w:cs="仿宋_GB2312" w:eastAsia="仿宋_GB2312"/>
              </w:rPr>
              <w:t>2</w:t>
            </w:r>
            <w:r>
              <w:rPr>
                <w:rFonts w:ascii="仿宋_GB2312" w:hAnsi="仿宋_GB2312" w:cs="仿宋_GB2312" w:eastAsia="仿宋_GB2312"/>
              </w:rPr>
              <w:t>）服务期内各项工作的进度保障措施；（</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服务质量保障措施</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针对各类突发状况的不同应急</w:t>
            </w:r>
            <w:r>
              <w:rPr>
                <w:rFonts w:ascii="仿宋_GB2312" w:hAnsi="仿宋_GB2312" w:cs="仿宋_GB2312" w:eastAsia="仿宋_GB2312"/>
              </w:rPr>
              <w:t>保障</w:t>
            </w:r>
            <w:r>
              <w:rPr>
                <w:rFonts w:ascii="仿宋_GB2312" w:hAnsi="仿宋_GB2312" w:cs="仿宋_GB2312" w:eastAsia="仿宋_GB2312"/>
              </w:rPr>
              <w:t>措施。</w:t>
            </w:r>
          </w:p>
          <w:p>
            <w:pPr>
              <w:pStyle w:val="null3"/>
              <w:ind w:firstLine="400"/>
            </w:pPr>
            <w:r>
              <w:rPr>
                <w:rFonts w:ascii="仿宋_GB2312" w:hAnsi="仿宋_GB2312" w:cs="仿宋_GB2312" w:eastAsia="仿宋_GB2312"/>
              </w:rPr>
              <w:t>10.5</w:t>
            </w:r>
            <w:r>
              <w:rPr>
                <w:rFonts w:ascii="仿宋_GB2312" w:hAnsi="仿宋_GB2312" w:cs="仿宋_GB2312" w:eastAsia="仿宋_GB2312"/>
              </w:rPr>
              <w:t>售后服务方案</w:t>
            </w:r>
            <w:r>
              <w:rPr>
                <w:rFonts w:ascii="仿宋_GB2312" w:hAnsi="仿宋_GB2312" w:cs="仿宋_GB2312" w:eastAsia="仿宋_GB2312"/>
              </w:rPr>
              <w:t>：</w:t>
            </w:r>
            <w:r>
              <w:rPr>
                <w:rFonts w:ascii="仿宋_GB2312" w:hAnsi="仿宋_GB2312" w:cs="仿宋_GB2312" w:eastAsia="仿宋_GB2312"/>
              </w:rPr>
              <w:t>内容包括</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）售后服务内容、</w:t>
            </w:r>
            <w:r>
              <w:rPr>
                <w:rFonts w:ascii="仿宋_GB2312" w:hAnsi="仿宋_GB2312" w:cs="仿宋_GB2312" w:eastAsia="仿宋_GB2312"/>
              </w:rPr>
              <w:t>方式、</w:t>
            </w:r>
            <w:r>
              <w:rPr>
                <w:rFonts w:ascii="仿宋_GB2312" w:hAnsi="仿宋_GB2312" w:cs="仿宋_GB2312" w:eastAsia="仿宋_GB2312"/>
              </w:rPr>
              <w:t>完善程度；（</w:t>
            </w:r>
            <w:r>
              <w:rPr>
                <w:rFonts w:ascii="仿宋_GB2312" w:hAnsi="仿宋_GB2312" w:cs="仿宋_GB2312" w:eastAsia="仿宋_GB2312"/>
              </w:rPr>
              <w:t>2</w:t>
            </w:r>
            <w:r>
              <w:rPr>
                <w:rFonts w:ascii="仿宋_GB2312" w:hAnsi="仿宋_GB2312" w:cs="仿宋_GB2312" w:eastAsia="仿宋_GB2312"/>
              </w:rPr>
              <w:t>）售后服务</w:t>
            </w:r>
            <w:r>
              <w:rPr>
                <w:rFonts w:ascii="仿宋_GB2312" w:hAnsi="仿宋_GB2312" w:cs="仿宋_GB2312" w:eastAsia="仿宋_GB2312"/>
              </w:rPr>
              <w:t>网点；</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）响应时限、解决问题的能力；（</w:t>
            </w:r>
            <w:r>
              <w:rPr>
                <w:rFonts w:ascii="仿宋_GB2312" w:hAnsi="仿宋_GB2312" w:cs="仿宋_GB2312" w:eastAsia="仿宋_GB2312"/>
              </w:rPr>
              <w:t>4</w:t>
            </w:r>
            <w:r>
              <w:rPr>
                <w:rFonts w:ascii="仿宋_GB2312" w:hAnsi="仿宋_GB2312" w:cs="仿宋_GB2312" w:eastAsia="仿宋_GB2312"/>
              </w:rPr>
              <w:t>）紧急故障处理预案</w:t>
            </w:r>
            <w:r>
              <w:rPr>
                <w:rFonts w:ascii="仿宋_GB2312" w:hAnsi="仿宋_GB2312" w:cs="仿宋_GB2312" w:eastAsia="仿宋_GB2312"/>
              </w:rPr>
              <w:t>。</w:t>
            </w:r>
          </w:p>
          <w:p>
            <w:pPr>
              <w:pStyle w:val="null3"/>
              <w:ind w:firstLine="400"/>
            </w:pPr>
            <w:r>
              <w:rPr>
                <w:rFonts w:ascii="仿宋_GB2312" w:hAnsi="仿宋_GB2312" w:cs="仿宋_GB2312" w:eastAsia="仿宋_GB2312"/>
              </w:rPr>
              <w:t>10.6</w:t>
            </w:r>
            <w:r>
              <w:rPr>
                <w:rFonts w:ascii="仿宋_GB2312" w:hAnsi="仿宋_GB2312" w:cs="仿宋_GB2312" w:eastAsia="仿宋_GB2312"/>
              </w:rPr>
              <w:t>项目团队组建方案</w:t>
            </w:r>
            <w:r>
              <w:rPr>
                <w:rFonts w:ascii="仿宋_GB2312" w:hAnsi="仿宋_GB2312" w:cs="仿宋_GB2312" w:eastAsia="仿宋_GB2312"/>
              </w:rPr>
              <w:t>：</w:t>
            </w:r>
            <w:r>
              <w:rPr>
                <w:rFonts w:ascii="仿宋_GB2312" w:hAnsi="仿宋_GB2312" w:cs="仿宋_GB2312" w:eastAsia="仿宋_GB2312"/>
              </w:rPr>
              <w:t>内容包括</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）组织架构；（</w:t>
            </w:r>
            <w:r>
              <w:rPr>
                <w:rFonts w:ascii="仿宋_GB2312" w:hAnsi="仿宋_GB2312" w:cs="仿宋_GB2312" w:eastAsia="仿宋_GB2312"/>
              </w:rPr>
              <w:t>2</w:t>
            </w:r>
            <w:r>
              <w:rPr>
                <w:rFonts w:ascii="仿宋_GB2312" w:hAnsi="仿宋_GB2312" w:cs="仿宋_GB2312" w:eastAsia="仿宋_GB2312"/>
              </w:rPr>
              <w:t>）人员分工；（</w:t>
            </w:r>
            <w:r>
              <w:rPr>
                <w:rFonts w:ascii="仿宋_GB2312" w:hAnsi="仿宋_GB2312" w:cs="仿宋_GB2312" w:eastAsia="仿宋_GB2312"/>
              </w:rPr>
              <w:t>3</w:t>
            </w:r>
            <w:r>
              <w:rPr>
                <w:rFonts w:ascii="仿宋_GB2312" w:hAnsi="仿宋_GB2312" w:cs="仿宋_GB2312" w:eastAsia="仿宋_GB2312"/>
              </w:rPr>
              <w:t>）人员岗位职责；（</w:t>
            </w:r>
            <w:r>
              <w:rPr>
                <w:rFonts w:ascii="仿宋_GB2312" w:hAnsi="仿宋_GB2312" w:cs="仿宋_GB2312" w:eastAsia="仿宋_GB2312"/>
              </w:rPr>
              <w:t>4</w:t>
            </w:r>
            <w:r>
              <w:rPr>
                <w:rFonts w:ascii="仿宋_GB2312" w:hAnsi="仿宋_GB2312" w:cs="仿宋_GB2312" w:eastAsia="仿宋_GB2312"/>
              </w:rPr>
              <w:t>）人员专业技术能力；（</w:t>
            </w:r>
            <w:r>
              <w:rPr>
                <w:rFonts w:ascii="仿宋_GB2312" w:hAnsi="仿宋_GB2312" w:cs="仿宋_GB2312" w:eastAsia="仿宋_GB2312"/>
              </w:rPr>
              <w:t>5</w:t>
            </w:r>
            <w:r>
              <w:rPr>
                <w:rFonts w:ascii="仿宋_GB2312" w:hAnsi="仿宋_GB2312" w:cs="仿宋_GB2312" w:eastAsia="仿宋_GB2312"/>
              </w:rPr>
              <w:t>）类似项目业务经验；（</w:t>
            </w:r>
            <w:r>
              <w:rPr>
                <w:rFonts w:ascii="仿宋_GB2312" w:hAnsi="仿宋_GB2312" w:cs="仿宋_GB2312" w:eastAsia="仿宋_GB2312"/>
              </w:rPr>
              <w:t>6</w:t>
            </w:r>
            <w:r>
              <w:rPr>
                <w:rFonts w:ascii="仿宋_GB2312" w:hAnsi="仿宋_GB2312" w:cs="仿宋_GB2312" w:eastAsia="仿宋_GB2312"/>
              </w:rPr>
              <w:t>）人员管理制度等。</w:t>
            </w:r>
          </w:p>
          <w:p>
            <w:pPr>
              <w:pStyle w:val="null3"/>
              <w:ind w:firstLine="400"/>
            </w:pPr>
            <w:r>
              <w:rPr>
                <w:rFonts w:ascii="仿宋_GB2312" w:hAnsi="仿宋_GB2312" w:cs="仿宋_GB2312" w:eastAsia="仿宋_GB2312"/>
              </w:rPr>
              <w:t>10.7</w:t>
            </w:r>
            <w:r>
              <w:rPr>
                <w:rFonts w:ascii="仿宋_GB2312" w:hAnsi="仿宋_GB2312" w:cs="仿宋_GB2312" w:eastAsia="仿宋_GB2312"/>
              </w:rPr>
              <w:t>业绩证明材料。</w:t>
            </w:r>
          </w:p>
          <w:p>
            <w:pPr>
              <w:pStyle w:val="null3"/>
              <w:jc w:val="both"/>
            </w:pPr>
            <w:r>
              <w:rPr>
                <w:rFonts w:ascii="仿宋_GB2312" w:hAnsi="仿宋_GB2312" w:cs="仿宋_GB2312" w:eastAsia="仿宋_GB2312"/>
                <w:sz w:val="19"/>
              </w:rPr>
              <w:t>备注：</w:t>
            </w:r>
            <w:r>
              <w:rPr>
                <w:rFonts w:ascii="仿宋_GB2312" w:hAnsi="仿宋_GB2312" w:cs="仿宋_GB2312" w:eastAsia="仿宋_GB2312"/>
                <w:sz w:val="19"/>
                <w:b/>
              </w:rPr>
              <w:t>“</w:t>
            </w:r>
            <w:r>
              <w:rPr>
                <w:rFonts w:ascii="仿宋_GB2312" w:hAnsi="仿宋_GB2312" w:cs="仿宋_GB2312" w:eastAsia="仿宋_GB2312"/>
                <w:sz w:val="19"/>
              </w:rPr>
              <w:t>技术参数与性能指标</w:t>
            </w:r>
            <w:r>
              <w:rPr>
                <w:rFonts w:ascii="仿宋_GB2312" w:hAnsi="仿宋_GB2312" w:cs="仿宋_GB2312" w:eastAsia="仿宋_GB2312"/>
                <w:sz w:val="19"/>
                <w:b/>
              </w:rPr>
              <w:t>”</w:t>
            </w:r>
            <w:r>
              <w:rPr>
                <w:rFonts w:ascii="仿宋_GB2312" w:hAnsi="仿宋_GB2312" w:cs="仿宋_GB2312" w:eastAsia="仿宋_GB2312"/>
                <w:sz w:val="19"/>
              </w:rPr>
              <w:t>中，加</w:t>
            </w:r>
            <w:r>
              <w:rPr>
                <w:rFonts w:ascii="仿宋_GB2312" w:hAnsi="仿宋_GB2312" w:cs="仿宋_GB2312" w:eastAsia="仿宋_GB2312"/>
                <w:sz w:val="19"/>
                <w:b/>
              </w:rPr>
              <w:t>“</w:t>
            </w:r>
            <w:r>
              <w:rPr>
                <w:rFonts w:ascii="仿宋_GB2312" w:hAnsi="仿宋_GB2312" w:cs="仿宋_GB2312" w:eastAsia="仿宋_GB2312"/>
                <w:sz w:val="19"/>
                <w:b/>
              </w:rPr>
              <w:t>▲</w:t>
            </w:r>
            <w:r>
              <w:rPr>
                <w:rFonts w:ascii="仿宋_GB2312" w:hAnsi="仿宋_GB2312" w:cs="仿宋_GB2312" w:eastAsia="仿宋_GB2312"/>
                <w:sz w:val="19"/>
                <w:b/>
              </w:rPr>
              <w:t>”</w:t>
            </w:r>
            <w:r>
              <w:rPr>
                <w:rFonts w:ascii="仿宋_GB2312" w:hAnsi="仿宋_GB2312" w:cs="仿宋_GB2312" w:eastAsia="仿宋_GB2312"/>
                <w:sz w:val="19"/>
              </w:rPr>
              <w:t>号项应根据要求提供加盖公章的佐证材料。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服务期为合同签订之日起三年（按年签订合同）。后续两年服务期续签合同的条件：服务内容不变，采购预算不变，保证预算资金能够下达的情况下，根据供应商提供服务的质量考核评价情况按年续签。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具体详见技术参数与性能指标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合同签订后，由中标人书面提出支付申请及拟支付金额等额的符合采购方财务管理要求的相应发票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项目稳定运行后，由中标人书面提出支付申请及拟支付金额等额的符合采购方财务管理要求的相应发票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服务期满后，由中标人书面提出支付申请及拟支付金额等额的符合采购方财务管理要求的相应发票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及货物或服务及货物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 （3）如因中标人工作人员在履行职务过程中的疏忽、失职、过错等故意或者过失原因给采购人造成损失或侵害，包括但不限于对采购人造成财产损失、由此而导致的采购人对任何第三方的法律责任等，中标人对此均应承担全部的赔偿责任并负责妥善处理。 （4）本合同约定的损失，包括但不限于直接或间接的经济损失、律师费、诉讼费、保全费、鉴定费等损失。 （5）本合同约定的违约情形独立存在，可叠加适用。中标人按照合同约定应当向采购人支付的违约金，中标人同意采购人从应付未付款中直接予以扣除。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（1）双方保证在履行本合同过程中不侵犯对方及第三方的知识产权。因中标人侵犯他人知识产权所引起的责任，由中标人承担，导致采购人承担责任的，采购人有权向中标人追偿。 （2）中标结果公告发布后，中标人应向招标代理机构提供纸质投标文件一套（1正本2副本），纸质投标文件应与系统上传电子版招标文件内容一致。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法定代表人授权书（证明书）.docx 投标函 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满足政府采购法第二十二条及特殊资格证明材料.docx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财务报告或提交投标文件递交截止时间前12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提供投标文件递交截止时间前12个月内至少一个月已缴纳的纳税凭据或完税证明，依法免税的投标人应提供相关证明文件。</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提供投标文件递交截止时间前12个月内已缴存的至少一个月的社会保障资金缴存单据或社保机构开具的社会保险参保缴费情况证明，依法不需要缴纳社会保障资金的单位应提供相关证明材料。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招标文件商务要求响应情况，若负偏离，投标无效。</w:t>
            </w:r>
          </w:p>
        </w:tc>
        <w:tc>
          <w:tcPr>
            <w:tcW w:type="dxa" w:w="1661"/>
          </w:tcPr>
          <w:p>
            <w:pPr>
              <w:pStyle w:val="null3"/>
            </w:pPr>
            <w:r>
              <w:rPr>
                <w:rFonts w:ascii="仿宋_GB2312" w:hAnsi="仿宋_GB2312" w:cs="仿宋_GB2312" w:eastAsia="仿宋_GB2312"/>
              </w:rPr>
              <w:t>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招标文件技术要求响应情况，若加★号负偏离，投标无效。</w:t>
            </w:r>
          </w:p>
        </w:tc>
        <w:tc>
          <w:tcPr>
            <w:tcW w:type="dxa" w:w="1661"/>
          </w:tcPr>
          <w:p>
            <w:pPr>
              <w:pStyle w:val="null3"/>
            </w:pPr>
            <w:r>
              <w:rPr>
                <w:rFonts w:ascii="仿宋_GB2312" w:hAnsi="仿宋_GB2312" w:cs="仿宋_GB2312" w:eastAsia="仿宋_GB2312"/>
              </w:rPr>
              <w:t>服务内容及服务要求应答表响应偏离表.docx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投标有效期不少于招标文件要求，否则其投标无效。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出现不符合法律法规和招标文件中规定的其他实质性要求的情况，投标无效。</w:t>
            </w:r>
          </w:p>
        </w:tc>
        <w:tc>
          <w:tcPr>
            <w:tcW w:type="dxa" w:w="1661"/>
          </w:tcPr>
          <w:p>
            <w:pPr>
              <w:pStyle w:val="null3"/>
            </w:pPr>
            <w:r>
              <w:rPr>
                <w:rFonts w:ascii="仿宋_GB2312" w:hAnsi="仿宋_GB2312" w:cs="仿宋_GB2312" w:eastAsia="仿宋_GB2312"/>
              </w:rPr>
              <w:t>投标函 商务要求应答表.docx 服务内容及服务要求应答表响应偏离表.docx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供应商未提供供应商拒绝政府采购领域商业贿赂承诺书，投标无效。</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供应商的投标报价超过采购预算或未按招标文件要求提供分项报价表，投标无效</w:t>
            </w:r>
          </w:p>
        </w:tc>
        <w:tc>
          <w:tcPr>
            <w:tcW w:type="dxa" w:w="1661"/>
          </w:tcPr>
          <w:p>
            <w:pPr>
              <w:pStyle w:val="null3"/>
            </w:pPr>
            <w:r>
              <w:rPr>
                <w:rFonts w:ascii="仿宋_GB2312" w:hAnsi="仿宋_GB2312" w:cs="仿宋_GB2312" w:eastAsia="仿宋_GB2312"/>
              </w:rPr>
              <w:t>开标一览表 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根据投标人对项目理解分析，内容包括： （1）项目需求的理解，对项目现状与各需求之间关联关系的了解程度 （2）对重点难点工作的把握与分析。 一、评审标准 1、针对性：方案能够紧扣项目实际情况； 2、合理性：内容符合项目实际，未出现与项目执行无关的内容。 二、赋分标准（满分4分） 共2项内容，每项满分2分。 按照“评审标准”，每项内容每完全满足一个评审标准得1分。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根据投标人提供的下列服务方案内容进行赋分，方案内容包括：（1）平台运维服务；（2）移动办案办公运维服务；（3）安全管理运维服务；（4）检察服务平台运维服务（5）终端服务。 一、评审标准 1、完整性：方案内容全面，对评审内容中的各项要求有详细描述； 2、专业性：切合本项目实际情况，提出步骤清晰、专业性强的方案； 3、针对性：全面符合用户需求，保证系统功能，易于维护； 4、科学性：方案能有效降低使用过程中的潜在风险和事故，能够达到对系统稳定、持续的使用要求。 二、赋分标准（满分34分） 共5项内容，每项内容满分6.8分。 按照“评审标准”，每项内容每完全满足一项评审标准得1.7分。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总体服务方案证明材料.docx</w:t>
            </w:r>
          </w:p>
        </w:tc>
      </w:tr>
      <w:tr>
        <w:tc>
          <w:tcPr>
            <w:tcW w:type="dxa" w:w="831"/>
            <w:vMerge/>
          </w:tcPr>
          <w:p/>
        </w:tc>
        <w:tc>
          <w:tcPr>
            <w:tcW w:type="dxa" w:w="1661"/>
          </w:tcPr>
          <w:p>
            <w:pPr>
              <w:pStyle w:val="null3"/>
            </w:pPr>
            <w:r>
              <w:rPr>
                <w:rFonts w:ascii="仿宋_GB2312" w:hAnsi="仿宋_GB2312" w:cs="仿宋_GB2312" w:eastAsia="仿宋_GB2312"/>
              </w:rPr>
              <w:t>主要参数响应情况</w:t>
            </w:r>
          </w:p>
        </w:tc>
        <w:tc>
          <w:tcPr>
            <w:tcW w:type="dxa" w:w="2492"/>
          </w:tcPr>
          <w:p>
            <w:pPr>
              <w:pStyle w:val="null3"/>
            </w:pPr>
            <w:r>
              <w:rPr>
                <w:rFonts w:ascii="仿宋_GB2312" w:hAnsi="仿宋_GB2312" w:cs="仿宋_GB2312" w:eastAsia="仿宋_GB2312"/>
              </w:rPr>
              <w:t>针对投标人对第三章6.5.1“终端要求”基本配置参数（加▲号项参数）响应情况进行赋分。 一、评审标准 ： 完全响应参数，并按要求提供佐证材料。 二、赋分标准（ 满分8分） 共4项参数，若加▲号参数完全符合招标文件要求，每项得1分；若加▲号参数完全满足且优于招标文件要求，每项得2分。最高得8分。 注：佐证材料加盖公章。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主要参数响应情况佐证材料.docx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投标人结合招标文件要求，对所投移动终端设备适配移动终端安全管控平台基础功能进行演示： 一、演示内容满分（满分11分） （1）移动终端安全管控服务“终端应用管理工功能”；（2）移动终端安全管控服务“终端外设管理功能”；（3）移动终端安全管控服务“终端设备管理功能”；（4）移动终端安全管控服务“终端设备定位功能”；（5）移动终端安全管控服务“终端设备功能”；（6）移动终端安全管控服务“水印功能”；（7）移动终端安全管控服务“人员组织管理”；（8）移动终端安全管控服务“入网管理”；（9）移动终端安全管控服务“多级密码管理”；（10）移动终端安全管控服务“系统管理”；（11）移动终端安全管控服务“终端激活”。 二、赋分标准 演示内容每完全满足一项招标文件要求的，得1分，满分11分。 三、演示要求 1.演示时长不超过10分钟（评审委员会咨询时间除外）； 2.演示载体为腾讯会议，可实时在线演示或播放视频，演示前通知； 3.未演示则本项不得分。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总体服务方案证明材料.docx</w:t>
            </w:r>
          </w:p>
          <w:p>
            <w:pPr>
              <w:pStyle w:val="null3"/>
            </w:pPr>
            <w:r>
              <w:rPr>
                <w:rFonts w:ascii="仿宋_GB2312" w:hAnsi="仿宋_GB2312" w:cs="仿宋_GB2312" w:eastAsia="仿宋_GB2312"/>
              </w:rPr>
              <w:t>服务内容及服务要求应答表响应偏离表.docx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的实施方案内容进行赋分，方案内容包括：（1）服务期内各项工作进度安排；（2）服务期内各项工作的进度保障措施；（3）服务质量保障措施；（4）针对各类突发状况的不同应急保障措施。 一、评审标准 1、完整性：方案必须全面，包括但不限于项目管理、计划管理、过程管理、质量管理和风险管理、交付成果、验收计划等内容，对评审内容中的各项要求有详细描述； 2、可实施性：切合本项目实际情况，提出步骤清晰、专业性强、合理的方案； 3、针对性：方案能够紧扣项目实际需求，内容科学，保障项目顺利实施。 二、赋分标准（满分12分） 共4项内容，每项内容满分3分。 按照“评审标准”，每项内容每完全满足一项评审标准得 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投标人针对“智能终端”提供售后服务方案，方案包括：（1）售后服务内容、方式、完善程度；（2）售后服务网点；（3）响应时限、解决问题的能力；（4）紧急故障处理预案。 一、评审标准 1、完整性：方案必须全面，对评审内容中的各项要求有详细描述； 2、可实施性：切合本项目实际情况，提出步骤清晰、合理的方案； 3、针对性：方案能够紧扣项目实际需求，内容科学，保障售后服务质量。 二、赋分标准（满分12分） 共4个方案，每个方案满分3分。 按照“评审标准”，每项内容每完全满足一项评审标准得1分。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售后服务方案证明材料.docx</w:t>
            </w:r>
          </w:p>
        </w:tc>
      </w:tr>
      <w:tr>
        <w:tc>
          <w:tcPr>
            <w:tcW w:type="dxa" w:w="831"/>
            <w:vMerge/>
          </w:tcPr>
          <w:p/>
        </w:tc>
        <w:tc>
          <w:tcPr>
            <w:tcW w:type="dxa" w:w="1661"/>
          </w:tcPr>
          <w:p>
            <w:pPr>
              <w:pStyle w:val="null3"/>
            </w:pPr>
            <w:r>
              <w:rPr>
                <w:rFonts w:ascii="仿宋_GB2312" w:hAnsi="仿宋_GB2312" w:cs="仿宋_GB2312" w:eastAsia="仿宋_GB2312"/>
              </w:rPr>
              <w:t>项目团队组建方案</w:t>
            </w:r>
          </w:p>
        </w:tc>
        <w:tc>
          <w:tcPr>
            <w:tcW w:type="dxa" w:w="2492"/>
          </w:tcPr>
          <w:p>
            <w:pPr>
              <w:pStyle w:val="null3"/>
            </w:pPr>
            <w:r>
              <w:rPr>
                <w:rFonts w:ascii="仿宋_GB2312" w:hAnsi="仿宋_GB2312" w:cs="仿宋_GB2312" w:eastAsia="仿宋_GB2312"/>
              </w:rPr>
              <w:t>投标人针对本项目拟投入的工作组成员情况。方案包含:（1）组织架构；（2）人员分工；（3）人员岗位职责；（4）人员专业技术能力；（5）类似项目业务经验；（6）人员管理制度等。 一、评审标准 1、完整性：方案必须全面，组织架构清晰、人员分工和岗位职责划分明确，有详细的描述； 2、针对性：专业能力强、业务经验丰富、业务管理流程清晰，能有效保障本项目顺利实施。 二、赋分标准（满分6分） 共6项内容，每项内容满分1分。 按照“评审标准”，每项内容每完全满足一项评审标准得0.5分。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项目团队组建方案证明材料.docx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提供2022年1月1日以来类似项目业绩，每提供1项符合要求的业绩佐证材料得1.5分，满分3分。 （以合同签订日期为准，佐证材料提供合同复印件，包括首页、签字盖章页，金额等，金额不得涂抹，加盖公章）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 Pn 其中：Pmin：所有有效报价的最低价。 Pn：第n个投标人的报价。 计算分数时四舍五入取小数点后两位。 评标委员会认为投标人的报价明显低于其他通过符合性审查投标人的报价，有可能影响服务质量或者不能诚信履约的，应当要求其在评审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详见附件：实施方案证明材料.docx</w:t>
      </w:r>
    </w:p>
    <w:p>
      <w:pPr>
        <w:pStyle w:val="null3"/>
        <w:ind w:firstLine="960"/>
      </w:pPr>
      <w:r>
        <w:rPr>
          <w:rFonts w:ascii="仿宋_GB2312" w:hAnsi="仿宋_GB2312" w:cs="仿宋_GB2312" w:eastAsia="仿宋_GB2312"/>
        </w:rPr>
        <w:t>详见附件：售后服务方案证明材料.docx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详见附件：项目团队组建方案证明材料.docx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详见附件：主要参数响应情况佐证材料.docx</w:t>
      </w:r>
    </w:p>
    <w:p>
      <w:pPr>
        <w:pStyle w:val="null3"/>
        <w:ind w:firstLine="960"/>
      </w:pPr>
      <w:r>
        <w:rPr>
          <w:rFonts w:ascii="仿宋_GB2312" w:hAnsi="仿宋_GB2312" w:cs="仿宋_GB2312" w:eastAsia="仿宋_GB2312"/>
        </w:rPr>
        <w:t>详见附件：总体服务方案证明材料.docx</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详见附件：服务内容及服务要求应答表响应偏离表.docx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