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2B82F8C6">
      <w:pPr>
        <w:pStyle w:val="12"/>
        <w:spacing w:line="338" w:lineRule="auto"/>
        <w:rPr>
          <w:rFonts w:ascii="仿宋" w:hAnsi="仿宋" w:eastAsia="仿宋"/>
          <w:sz w:val="24"/>
          <w:szCs w:val="24"/>
        </w:rPr>
      </w:pPr>
      <w:bookmarkStart w:id="0" w:name="_GoBack"/>
      <w:bookmarkEnd w:id="0"/>
    </w:p>
    <w:p w14:paraId="02FD87C2">
      <w:pPr>
        <w:pStyle w:val="12"/>
        <w:spacing w:line="338" w:lineRule="auto"/>
        <w:rPr>
          <w:rFonts w:hint="eastAsia" w:ascii="仿宋" w:hAnsi="仿宋" w:eastAsia="仿宋"/>
          <w:color w:val="auto"/>
          <w:sz w:val="24"/>
          <w:szCs w:val="24"/>
          <w:lang w:val="en-US" w:eastAsia="zh-CN"/>
        </w:rPr>
      </w:pPr>
      <w:r>
        <w:rPr>
          <w:rFonts w:ascii="仿宋" w:hAnsi="仿宋" w:eastAsia="仿宋"/>
          <w:color w:val="auto"/>
          <w:sz w:val="24"/>
          <w:szCs w:val="24"/>
        </w:rPr>
        <w:t>甲方:</w:t>
      </w:r>
      <w:r>
        <w:rPr>
          <w:rFonts w:hint="eastAsia" w:ascii="仿宋" w:hAnsi="仿宋" w:eastAsia="仿宋"/>
          <w:color w:val="auto"/>
          <w:sz w:val="24"/>
          <w:szCs w:val="24"/>
          <w:lang w:val="en-US" w:eastAsia="zh-CN"/>
        </w:rPr>
        <w:t>陕西省人民检察院</w:t>
      </w:r>
    </w:p>
    <w:p w14:paraId="530B515D">
      <w:pPr>
        <w:pStyle w:val="12"/>
        <w:spacing w:line="338" w:lineRule="auto"/>
        <w:rPr>
          <w:rFonts w:hint="default" w:ascii="仿宋" w:hAnsi="仿宋" w:eastAsia="仿宋"/>
          <w:color w:val="auto"/>
          <w:sz w:val="24"/>
          <w:szCs w:val="24"/>
          <w:lang w:eastAsia="zh-CN"/>
        </w:rPr>
      </w:pPr>
      <w:r>
        <w:rPr>
          <w:rFonts w:ascii="仿宋" w:hAnsi="仿宋" w:eastAsia="仿宋"/>
          <w:color w:val="auto"/>
          <w:sz w:val="24"/>
          <w:szCs w:val="24"/>
        </w:rPr>
        <w:t>乙方:</w:t>
      </w:r>
    </w:p>
    <w:p w14:paraId="439841D6">
      <w:pPr>
        <w:pStyle w:val="12"/>
        <w:spacing w:line="338" w:lineRule="auto"/>
        <w:ind w:firstLine="960"/>
        <w:rPr>
          <w:rFonts w:hint="default" w:ascii="仿宋" w:hAnsi="仿宋" w:eastAsia="仿宋"/>
          <w:color w:val="auto"/>
          <w:sz w:val="24"/>
          <w:szCs w:val="24"/>
        </w:rPr>
      </w:pPr>
    </w:p>
    <w:p w14:paraId="5192E029">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陕西省人民检察院</w:t>
      </w:r>
      <w:r>
        <w:rPr>
          <w:rFonts w:hint="eastAsia" w:ascii="仿宋" w:hAnsi="仿宋" w:eastAsia="仿宋"/>
          <w:color w:val="auto"/>
          <w:sz w:val="24"/>
          <w:szCs w:val="24"/>
        </w:rPr>
        <w:t>（以下简称甲方）</w:t>
      </w:r>
      <w:r>
        <w:rPr>
          <w:rFonts w:hint="eastAsia" w:ascii="仿宋" w:hAnsi="仿宋" w:eastAsia="仿宋"/>
          <w:color w:val="auto"/>
          <w:sz w:val="24"/>
          <w:szCs w:val="24"/>
          <w:u w:val="single"/>
          <w:lang w:val="en-US" w:eastAsia="zh-CN"/>
        </w:rPr>
        <w:t>陕西省检察机关移动办案办公平台及直接管理终端运维服务项目（一期）</w:t>
      </w:r>
      <w:r>
        <w:rPr>
          <w:rFonts w:hint="eastAsia" w:ascii="仿宋" w:hAnsi="仿宋" w:eastAsia="仿宋"/>
          <w:b w:val="0"/>
          <w:color w:val="auto"/>
          <w:sz w:val="24"/>
          <w:szCs w:val="24"/>
          <w:u w:val="none"/>
          <w:lang w:val="en-US" w:eastAsia="zh-CN"/>
        </w:rPr>
        <w:t>采购</w:t>
      </w:r>
      <w:r>
        <w:rPr>
          <w:rFonts w:hint="eastAsia" w:ascii="仿宋" w:hAnsi="仿宋" w:eastAsia="仿宋"/>
          <w:color w:val="auto"/>
          <w:sz w:val="24"/>
          <w:szCs w:val="24"/>
        </w:rPr>
        <w:t>，在</w:t>
      </w:r>
      <w:r>
        <w:rPr>
          <w:rFonts w:hint="eastAsia" w:ascii="仿宋" w:hAnsi="仿宋" w:eastAsia="仿宋"/>
          <w:color w:val="auto"/>
          <w:sz w:val="24"/>
          <w:szCs w:val="24"/>
          <w:u w:val="single"/>
        </w:rPr>
        <w:t xml:space="preserve">  </w:t>
      </w:r>
      <w:r>
        <w:rPr>
          <w:rFonts w:hint="eastAsia" w:ascii="仿宋" w:hAnsi="仿宋" w:eastAsia="仿宋"/>
          <w:color w:val="auto"/>
          <w:sz w:val="24"/>
          <w:szCs w:val="24"/>
          <w:u w:val="single"/>
          <w:lang w:val="en-US" w:eastAsia="zh-CN"/>
        </w:rPr>
        <w:t>陕西省财政厅</w:t>
      </w:r>
      <w:r>
        <w:rPr>
          <w:rFonts w:hint="eastAsia" w:ascii="仿宋" w:hAnsi="仿宋" w:eastAsia="仿宋"/>
          <w:color w:val="auto"/>
          <w:sz w:val="24"/>
          <w:szCs w:val="24"/>
          <w:u w:val="single"/>
        </w:rPr>
        <w:t xml:space="preserve"> </w:t>
      </w:r>
      <w:r>
        <w:rPr>
          <w:rFonts w:hint="eastAsia" w:ascii="仿宋" w:hAnsi="仿宋" w:eastAsia="仿宋"/>
          <w:color w:val="auto"/>
          <w:sz w:val="24"/>
          <w:szCs w:val="24"/>
        </w:rPr>
        <w:t>的监督管理下，由陕西教育招标有限责任公司组织采购，选定</w:t>
      </w:r>
      <w:r>
        <w:rPr>
          <w:rFonts w:hint="eastAsia" w:ascii="仿宋" w:hAnsi="仿宋" w:eastAsia="仿宋"/>
          <w:color w:val="auto"/>
          <w:sz w:val="24"/>
          <w:szCs w:val="24"/>
          <w:u w:val="single"/>
        </w:rPr>
        <w:t xml:space="preserve">      </w:t>
      </w:r>
      <w:r>
        <w:rPr>
          <w:rFonts w:hint="eastAsia" w:ascii="仿宋" w:hAnsi="仿宋" w:eastAsia="仿宋"/>
          <w:color w:val="auto"/>
          <w:sz w:val="24"/>
          <w:szCs w:val="24"/>
          <w:u w:val="single"/>
          <w:lang w:val="en-US" w:eastAsia="zh-CN"/>
        </w:rPr>
        <w:t xml:space="preserve">   </w:t>
      </w:r>
      <w:r>
        <w:rPr>
          <w:rFonts w:hint="eastAsia" w:ascii="仿宋" w:hAnsi="仿宋" w:eastAsia="仿宋"/>
          <w:color w:val="auto"/>
          <w:sz w:val="24"/>
          <w:szCs w:val="24"/>
          <w:u w:val="single"/>
        </w:rPr>
        <w:t xml:space="preserve">    (</w:t>
      </w:r>
      <w:r>
        <w:rPr>
          <w:rFonts w:hint="eastAsia" w:ascii="仿宋" w:hAnsi="仿宋" w:eastAsia="仿宋"/>
          <w:color w:val="auto"/>
          <w:sz w:val="24"/>
          <w:szCs w:val="24"/>
        </w:rPr>
        <w:t>以下简称乙方）为该项目</w:t>
      </w:r>
      <w:r>
        <w:rPr>
          <w:rFonts w:hint="eastAsia" w:ascii="仿宋" w:hAnsi="仿宋" w:eastAsia="仿宋"/>
          <w:color w:val="auto"/>
          <w:sz w:val="24"/>
          <w:szCs w:val="24"/>
          <w:lang w:val="en-US" w:eastAsia="zh-CN"/>
        </w:rPr>
        <w:t>中标</w:t>
      </w:r>
      <w:r>
        <w:rPr>
          <w:rFonts w:hint="eastAsia" w:ascii="仿宋" w:hAnsi="仿宋" w:eastAsia="仿宋"/>
          <w:color w:val="auto"/>
          <w:sz w:val="24"/>
          <w:szCs w:val="24"/>
        </w:rPr>
        <w:t>供应商。</w:t>
      </w:r>
      <w:r>
        <w:rPr>
          <w:rFonts w:ascii="仿宋" w:hAnsi="仿宋" w:eastAsia="仿宋"/>
          <w:color w:val="auto"/>
          <w:sz w:val="24"/>
          <w:szCs w:val="24"/>
        </w:rPr>
        <w:t>根据《中华人民共和国民法典》《中华人民共和国政府采购法》及国家的有关法律、行政法规之规定，遵循平等、自愿、公平和诚实信用的原则，甲乙双方经友好协商一致,订立本合同，以兹共同遵守。</w:t>
      </w:r>
    </w:p>
    <w:p w14:paraId="6DECEA87">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一、项目内容</w:t>
      </w:r>
    </w:p>
    <w:p w14:paraId="605B0224">
      <w:pPr>
        <w:pStyle w:val="12"/>
        <w:spacing w:line="338" w:lineRule="auto"/>
        <w:ind w:firstLine="480" w:firstLineChars="200"/>
        <w:rPr>
          <w:rFonts w:hint="eastAsia" w:ascii="仿宋" w:hAnsi="仿宋" w:eastAsia="仿宋"/>
          <w:color w:val="auto"/>
          <w:sz w:val="24"/>
          <w:szCs w:val="24"/>
        </w:rPr>
      </w:pPr>
      <w:r>
        <w:rPr>
          <w:rFonts w:hint="eastAsia" w:ascii="仿宋" w:hAnsi="仿宋" w:eastAsia="仿宋"/>
          <w:color w:val="auto"/>
          <w:sz w:val="24"/>
          <w:szCs w:val="24"/>
        </w:rPr>
        <w:t>采购移动</w:t>
      </w:r>
      <w:r>
        <w:rPr>
          <w:rFonts w:hint="eastAsia" w:ascii="仿宋" w:hAnsi="仿宋" w:eastAsia="仿宋"/>
          <w:color w:val="auto"/>
          <w:sz w:val="24"/>
          <w:szCs w:val="24"/>
          <w:lang w:eastAsia="zh"/>
        </w:rPr>
        <w:t>办案办公</w:t>
      </w:r>
      <w:r>
        <w:rPr>
          <w:rFonts w:hint="eastAsia" w:ascii="仿宋" w:hAnsi="仿宋" w:eastAsia="仿宋"/>
          <w:color w:val="auto"/>
          <w:sz w:val="24"/>
          <w:szCs w:val="24"/>
        </w:rPr>
        <w:t>服务，打破检察工作受地域空间的限制，检察干警可通过使用安装在移动终端上的移动</w:t>
      </w:r>
      <w:r>
        <w:rPr>
          <w:rFonts w:hint="eastAsia" w:ascii="仿宋" w:hAnsi="仿宋" w:eastAsia="仿宋"/>
          <w:color w:val="auto"/>
          <w:sz w:val="24"/>
          <w:szCs w:val="24"/>
          <w:lang w:eastAsia="zh"/>
        </w:rPr>
        <w:t>办案办公</w:t>
      </w: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检察服务平台</w:t>
      </w:r>
      <w:r>
        <w:rPr>
          <w:rFonts w:hint="eastAsia" w:ascii="仿宋" w:hAnsi="仿宋" w:eastAsia="仿宋"/>
          <w:color w:val="auto"/>
          <w:sz w:val="24"/>
          <w:szCs w:val="24"/>
        </w:rPr>
        <w:t>随时随地获知院内资讯、邮件内容、公文流转情况、案件办理进度等信息，能够及时、便捷地完成移动审批、移动信息查询等工作。</w:t>
      </w:r>
    </w:p>
    <w:p w14:paraId="45EB61F4">
      <w:pPr>
        <w:pStyle w:val="12"/>
        <w:spacing w:line="338" w:lineRule="auto"/>
        <w:ind w:firstLine="480" w:firstLineChars="200"/>
        <w:rPr>
          <w:rFonts w:hint="eastAsia" w:ascii="仿宋" w:hAnsi="仿宋" w:eastAsia="仿宋"/>
          <w:color w:val="auto"/>
          <w:sz w:val="24"/>
          <w:szCs w:val="24"/>
        </w:rPr>
      </w:pPr>
      <w:r>
        <w:rPr>
          <w:rFonts w:hint="eastAsia" w:ascii="仿宋" w:hAnsi="仿宋" w:eastAsia="仿宋"/>
          <w:color w:val="auto"/>
          <w:sz w:val="24"/>
          <w:szCs w:val="24"/>
        </w:rPr>
        <w:t>利用现有的移动专网和检察工作网之间的数据安全交互，实现接入应用系统和设备的身份可信，保护数据安全共享，抵御网络恶意攻击，满足机密性、完整性和可用性要求，确保跨网数据共享和业务协同的网络安全、主机安全、应用安全和数据安全。</w:t>
      </w:r>
    </w:p>
    <w:p w14:paraId="378B0B15">
      <w:pPr>
        <w:pStyle w:val="12"/>
        <w:numPr>
          <w:ilvl w:val="-1"/>
          <w:numId w:val="0"/>
        </w:numPr>
        <w:spacing w:line="338" w:lineRule="auto"/>
        <w:ind w:left="0" w:leftChars="0" w:firstLine="480" w:firstLineChars="200"/>
        <w:rPr>
          <w:rFonts w:ascii="仿宋" w:hAnsi="仿宋" w:eastAsia="仿宋"/>
          <w:color w:val="auto"/>
          <w:sz w:val="24"/>
          <w:szCs w:val="24"/>
          <w:lang w:eastAsia="zh-CN"/>
        </w:rPr>
      </w:pPr>
      <w:r>
        <w:rPr>
          <w:rFonts w:hint="eastAsia" w:ascii="仿宋" w:hAnsi="仿宋" w:eastAsia="仿宋"/>
          <w:color w:val="auto"/>
          <w:sz w:val="24"/>
          <w:szCs w:val="24"/>
          <w:lang w:val="en-US" w:eastAsia="zh-CN"/>
        </w:rPr>
        <w:t>二、运维服务</w:t>
      </w:r>
      <w:r>
        <w:rPr>
          <w:rFonts w:ascii="仿宋" w:hAnsi="仿宋" w:eastAsia="仿宋"/>
          <w:color w:val="auto"/>
          <w:sz w:val="24"/>
          <w:szCs w:val="24"/>
          <w:lang w:eastAsia="zh-CN"/>
        </w:rPr>
        <w:t>内容</w:t>
      </w:r>
    </w:p>
    <w:tbl>
      <w:tblPr>
        <w:tblStyle w:val="8"/>
        <w:tblW w:w="5000"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274"/>
        <w:gridCol w:w="5147"/>
        <w:gridCol w:w="1378"/>
      </w:tblGrid>
      <w:tr w14:paraId="381B2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332E2E34">
            <w:pPr>
              <w:pStyle w:val="17"/>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序号</w:t>
            </w:r>
          </w:p>
        </w:tc>
        <w:tc>
          <w:tcPr>
            <w:tcW w:w="748" w:type="pct"/>
            <w:vAlign w:val="center"/>
          </w:tcPr>
          <w:p w14:paraId="1EBFA6D4">
            <w:pPr>
              <w:pStyle w:val="17"/>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服务项目</w:t>
            </w:r>
          </w:p>
        </w:tc>
        <w:tc>
          <w:tcPr>
            <w:tcW w:w="3021" w:type="pct"/>
            <w:vAlign w:val="center"/>
          </w:tcPr>
          <w:p w14:paraId="73D62233">
            <w:pPr>
              <w:pStyle w:val="17"/>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服务内容</w:t>
            </w:r>
          </w:p>
        </w:tc>
        <w:tc>
          <w:tcPr>
            <w:tcW w:w="809" w:type="pct"/>
            <w:vAlign w:val="center"/>
          </w:tcPr>
          <w:p w14:paraId="3AF8A2E5">
            <w:pPr>
              <w:pStyle w:val="17"/>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备注</w:t>
            </w:r>
          </w:p>
        </w:tc>
      </w:tr>
      <w:tr w14:paraId="3E9D9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3EBC145C">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1</w:t>
            </w:r>
          </w:p>
        </w:tc>
        <w:tc>
          <w:tcPr>
            <w:tcW w:w="748" w:type="pct"/>
            <w:vAlign w:val="center"/>
          </w:tcPr>
          <w:p w14:paraId="18B3D699">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eastAsia="zh-CN"/>
              </w:rPr>
              <w:t>平台运维服务</w:t>
            </w:r>
          </w:p>
        </w:tc>
        <w:tc>
          <w:tcPr>
            <w:tcW w:w="3021" w:type="pct"/>
            <w:vAlign w:val="center"/>
          </w:tcPr>
          <w:p w14:paraId="0864B01C">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移动专网安全接入从智能终端到移动</w:t>
            </w:r>
            <w:r>
              <w:rPr>
                <w:rFonts w:hint="eastAsia" w:ascii="华文宋体" w:hAnsi="华文宋体" w:eastAsia="华文宋体" w:cs="华文宋体"/>
                <w:color w:val="auto"/>
                <w:sz w:val="20"/>
                <w:szCs w:val="20"/>
                <w:lang w:eastAsia="zh"/>
              </w:rPr>
              <w:t>办案办公</w:t>
            </w:r>
            <w:r>
              <w:rPr>
                <w:rFonts w:hint="eastAsia" w:ascii="华文宋体" w:hAnsi="华文宋体" w:eastAsia="华文宋体" w:cs="华文宋体"/>
                <w:color w:val="auto"/>
                <w:sz w:val="20"/>
                <w:szCs w:val="20"/>
              </w:rPr>
              <w:t>系统搭建移动终端安全管控平台的4G/5G安全接入，采用VPN/VPDN技术保障智能终端的安全接入和双因子认证，实现与检察院移动</w:t>
            </w:r>
            <w:r>
              <w:rPr>
                <w:rFonts w:hint="eastAsia" w:ascii="华文宋体" w:hAnsi="华文宋体" w:eastAsia="华文宋体" w:cs="华文宋体"/>
                <w:color w:val="auto"/>
                <w:sz w:val="20"/>
                <w:szCs w:val="20"/>
                <w:lang w:eastAsia="zh"/>
              </w:rPr>
              <w:t>办案办公</w:t>
            </w:r>
            <w:r>
              <w:rPr>
                <w:rFonts w:hint="eastAsia" w:ascii="华文宋体" w:hAnsi="华文宋体" w:eastAsia="华文宋体" w:cs="华文宋体"/>
                <w:color w:val="auto"/>
                <w:sz w:val="20"/>
                <w:szCs w:val="20"/>
                <w:lang w:eastAsia="zh-CN"/>
              </w:rPr>
              <w:t>平台</w:t>
            </w:r>
            <w:r>
              <w:rPr>
                <w:rFonts w:hint="eastAsia" w:ascii="华文宋体" w:hAnsi="华文宋体" w:eastAsia="华文宋体" w:cs="华文宋体"/>
                <w:color w:val="auto"/>
                <w:sz w:val="20"/>
                <w:szCs w:val="20"/>
              </w:rPr>
              <w:t>的安全对接。</w:t>
            </w:r>
          </w:p>
          <w:p w14:paraId="0C87BD99">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val="en-US" w:eastAsia="zh-CN"/>
              </w:rPr>
              <w:t>服务期满后，软件所有权归乙方。</w:t>
            </w:r>
          </w:p>
        </w:tc>
        <w:tc>
          <w:tcPr>
            <w:tcW w:w="809" w:type="pct"/>
            <w:vAlign w:val="center"/>
          </w:tcPr>
          <w:p w14:paraId="035C6A87">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val="en-US" w:eastAsia="zh-CN"/>
              </w:rPr>
              <w:t>硬件平台</w:t>
            </w:r>
            <w:r>
              <w:rPr>
                <w:rFonts w:hint="eastAsia" w:ascii="华文宋体" w:hAnsi="华文宋体" w:eastAsia="华文宋体" w:cs="华文宋体"/>
                <w:color w:val="auto"/>
                <w:sz w:val="20"/>
                <w:szCs w:val="20"/>
              </w:rPr>
              <w:t>由</w:t>
            </w:r>
            <w:r>
              <w:rPr>
                <w:rFonts w:hint="eastAsia" w:ascii="华文宋体" w:hAnsi="华文宋体" w:eastAsia="华文宋体" w:cs="华文宋体"/>
                <w:color w:val="auto"/>
                <w:sz w:val="20"/>
                <w:szCs w:val="20"/>
                <w:lang w:val="en-US" w:eastAsia="zh-CN"/>
              </w:rPr>
              <w:t>甲方</w:t>
            </w:r>
            <w:r>
              <w:rPr>
                <w:rFonts w:hint="eastAsia" w:ascii="华文宋体" w:hAnsi="华文宋体" w:eastAsia="华文宋体" w:cs="华文宋体"/>
                <w:color w:val="auto"/>
                <w:sz w:val="20"/>
                <w:szCs w:val="20"/>
              </w:rPr>
              <w:t>提供</w:t>
            </w:r>
            <w:r>
              <w:rPr>
                <w:rFonts w:hint="eastAsia" w:ascii="华文宋体" w:hAnsi="华文宋体" w:eastAsia="华文宋体" w:cs="华文宋体"/>
                <w:color w:val="auto"/>
                <w:sz w:val="20"/>
                <w:szCs w:val="20"/>
                <w:lang w:eastAsia="zh-CN"/>
              </w:rPr>
              <w:t>，</w:t>
            </w:r>
            <w:r>
              <w:rPr>
                <w:rFonts w:hint="eastAsia" w:ascii="华文宋体" w:hAnsi="华文宋体" w:eastAsia="华文宋体" w:cs="华文宋体"/>
                <w:color w:val="auto"/>
                <w:sz w:val="20"/>
                <w:szCs w:val="20"/>
                <w:lang w:val="en-US" w:eastAsia="zh-CN"/>
              </w:rPr>
              <w:t>软件由乙方提供，并完成整个系统的运维服务。</w:t>
            </w:r>
          </w:p>
        </w:tc>
      </w:tr>
      <w:tr w14:paraId="296D2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016A608D">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2</w:t>
            </w:r>
          </w:p>
        </w:tc>
        <w:tc>
          <w:tcPr>
            <w:tcW w:w="748" w:type="pct"/>
            <w:vAlign w:val="center"/>
          </w:tcPr>
          <w:p w14:paraId="4980E1DC">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eastAsia="zh-CN"/>
              </w:rPr>
              <w:t>移动办案办公运维服务</w:t>
            </w:r>
          </w:p>
        </w:tc>
        <w:tc>
          <w:tcPr>
            <w:tcW w:w="3021" w:type="pct"/>
            <w:vAlign w:val="center"/>
          </w:tcPr>
          <w:p w14:paraId="246F7A1F">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lang w:eastAsia="zh-CN"/>
              </w:rPr>
            </w:pPr>
            <w:r>
              <w:rPr>
                <w:rFonts w:hint="eastAsia" w:ascii="华文宋体" w:hAnsi="华文宋体" w:eastAsia="华文宋体" w:cs="华文宋体"/>
                <w:color w:val="auto"/>
                <w:sz w:val="20"/>
                <w:szCs w:val="20"/>
                <w:lang w:eastAsia="zh-CN"/>
              </w:rPr>
              <w:t>在</w:t>
            </w:r>
            <w:r>
              <w:rPr>
                <w:rFonts w:hint="eastAsia" w:ascii="华文宋体" w:hAnsi="华文宋体" w:eastAsia="华文宋体" w:cs="华文宋体"/>
                <w:color w:val="auto"/>
                <w:sz w:val="20"/>
                <w:szCs w:val="20"/>
                <w:lang w:eastAsia="zh"/>
              </w:rPr>
              <w:t>办案办公</w:t>
            </w:r>
            <w:r>
              <w:rPr>
                <w:rFonts w:hint="eastAsia" w:ascii="华文宋体" w:hAnsi="华文宋体" w:eastAsia="华文宋体" w:cs="华文宋体"/>
                <w:color w:val="auto"/>
                <w:sz w:val="20"/>
                <w:szCs w:val="20"/>
                <w:lang w:eastAsia="zh-CN"/>
              </w:rPr>
              <w:t>专用网络区，</w:t>
            </w:r>
            <w:r>
              <w:rPr>
                <w:rFonts w:hint="eastAsia" w:ascii="华文宋体" w:hAnsi="华文宋体" w:eastAsia="华文宋体" w:cs="华文宋体"/>
                <w:color w:val="auto"/>
                <w:sz w:val="20"/>
                <w:szCs w:val="20"/>
              </w:rPr>
              <w:t>结合现有检察业务系统功能，在智能终端上</w:t>
            </w:r>
            <w:r>
              <w:rPr>
                <w:rFonts w:hint="eastAsia" w:ascii="华文宋体" w:hAnsi="华文宋体" w:eastAsia="华文宋体" w:cs="华文宋体"/>
                <w:color w:val="auto"/>
                <w:sz w:val="20"/>
                <w:szCs w:val="20"/>
                <w:lang w:eastAsia="zh-CN"/>
              </w:rPr>
              <w:t>通过检察工作网网页版或</w:t>
            </w:r>
            <w:r>
              <w:rPr>
                <w:rFonts w:hint="eastAsia" w:ascii="华文宋体" w:hAnsi="华文宋体" w:eastAsia="华文宋体" w:cs="华文宋体"/>
                <w:color w:val="auto"/>
                <w:sz w:val="20"/>
                <w:szCs w:val="20"/>
                <w:lang w:val="en-US" w:eastAsia="zh-CN"/>
              </w:rPr>
              <w:t>CoCall版</w:t>
            </w:r>
            <w:r>
              <w:rPr>
                <w:rFonts w:hint="eastAsia" w:ascii="华文宋体" w:hAnsi="华文宋体" w:eastAsia="华文宋体" w:cs="华文宋体"/>
                <w:color w:val="auto"/>
                <w:sz w:val="20"/>
                <w:szCs w:val="20"/>
              </w:rPr>
              <w:t>实现</w:t>
            </w:r>
            <w:r>
              <w:rPr>
                <w:rFonts w:hint="eastAsia" w:ascii="华文宋体" w:hAnsi="华文宋体" w:eastAsia="华文宋体" w:cs="华文宋体"/>
                <w:color w:val="auto"/>
                <w:sz w:val="20"/>
                <w:szCs w:val="20"/>
                <w:lang w:eastAsia="zh-CN"/>
              </w:rPr>
              <w:t>远程办案办公；</w:t>
            </w:r>
          </w:p>
          <w:p w14:paraId="55599BE5">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lang w:eastAsia="zh-CN"/>
              </w:rPr>
            </w:pPr>
            <w:r>
              <w:rPr>
                <w:rFonts w:hint="eastAsia" w:ascii="华文宋体" w:hAnsi="华文宋体" w:eastAsia="华文宋体" w:cs="华文宋体"/>
                <w:color w:val="auto"/>
                <w:sz w:val="20"/>
                <w:szCs w:val="20"/>
                <w:lang w:eastAsia="zh-CN"/>
              </w:rPr>
              <w:t>在互联网办公区，在智能终端上通过</w:t>
            </w:r>
            <w:r>
              <w:rPr>
                <w:rFonts w:hint="eastAsia" w:ascii="华文宋体" w:hAnsi="华文宋体" w:eastAsia="华文宋体" w:cs="华文宋体"/>
                <w:color w:val="auto"/>
                <w:sz w:val="20"/>
                <w:szCs w:val="20"/>
                <w:lang w:val="en-US" w:eastAsia="zh-CN"/>
              </w:rPr>
              <w:t>12309APP、益心为公APP、秦政通等实现检察为民服务、代表委员联络、案件线索收集等功能</w:t>
            </w:r>
            <w:r>
              <w:rPr>
                <w:rFonts w:hint="eastAsia" w:ascii="华文宋体" w:hAnsi="华文宋体" w:eastAsia="华文宋体" w:cs="华文宋体"/>
                <w:color w:val="auto"/>
                <w:sz w:val="20"/>
                <w:szCs w:val="20"/>
                <w:lang w:eastAsia="zh-CN"/>
              </w:rPr>
              <w:t>。</w:t>
            </w:r>
          </w:p>
        </w:tc>
        <w:tc>
          <w:tcPr>
            <w:tcW w:w="809" w:type="pct"/>
            <w:vAlign w:val="center"/>
          </w:tcPr>
          <w:p w14:paraId="4D2C7DAD">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val="en-US" w:eastAsia="zh-CN"/>
              </w:rPr>
              <w:t>甲方已有</w:t>
            </w:r>
            <w:r>
              <w:rPr>
                <w:rFonts w:hint="eastAsia" w:ascii="华文宋体" w:hAnsi="华文宋体" w:eastAsia="华文宋体" w:cs="华文宋体"/>
                <w:color w:val="auto"/>
                <w:sz w:val="20"/>
                <w:szCs w:val="20"/>
                <w:lang w:eastAsia="zh-CN"/>
              </w:rPr>
              <w:t>移动办案办公，</w:t>
            </w:r>
            <w:r>
              <w:rPr>
                <w:rFonts w:hint="eastAsia" w:ascii="华文宋体" w:hAnsi="华文宋体" w:eastAsia="华文宋体" w:cs="华文宋体"/>
                <w:color w:val="auto"/>
                <w:sz w:val="20"/>
                <w:szCs w:val="20"/>
              </w:rPr>
              <w:t>由</w:t>
            </w:r>
            <w:r>
              <w:rPr>
                <w:rFonts w:hint="eastAsia" w:ascii="华文宋体" w:hAnsi="华文宋体" w:eastAsia="华文宋体" w:cs="华文宋体"/>
                <w:color w:val="auto"/>
                <w:sz w:val="20"/>
                <w:szCs w:val="20"/>
                <w:lang w:val="en-US" w:eastAsia="zh-CN"/>
              </w:rPr>
              <w:t>乙方提供系统的运维服务。</w:t>
            </w:r>
          </w:p>
        </w:tc>
      </w:tr>
      <w:tr w14:paraId="63FF8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178D1270">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3</w:t>
            </w:r>
          </w:p>
        </w:tc>
        <w:tc>
          <w:tcPr>
            <w:tcW w:w="748" w:type="pct"/>
            <w:vAlign w:val="center"/>
          </w:tcPr>
          <w:p w14:paraId="33FB9FD8">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eastAsia="zh-CN"/>
              </w:rPr>
              <w:t>安全管理运维服务</w:t>
            </w:r>
          </w:p>
        </w:tc>
        <w:tc>
          <w:tcPr>
            <w:tcW w:w="3021" w:type="pct"/>
            <w:vAlign w:val="center"/>
          </w:tcPr>
          <w:p w14:paraId="61F21E93">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严格控制智能终端上的移动应用下载安装行为，保障专网办公应用与</w:t>
            </w:r>
            <w:r>
              <w:rPr>
                <w:rFonts w:hint="eastAsia" w:ascii="华文宋体" w:hAnsi="华文宋体" w:eastAsia="华文宋体" w:cs="华文宋体"/>
                <w:color w:val="auto"/>
                <w:sz w:val="20"/>
                <w:szCs w:val="20"/>
                <w:lang w:eastAsia="zh"/>
              </w:rPr>
              <w:t>互联网</w:t>
            </w:r>
            <w:r>
              <w:rPr>
                <w:rFonts w:hint="eastAsia" w:ascii="华文宋体" w:hAnsi="华文宋体" w:eastAsia="华文宋体" w:cs="华文宋体"/>
                <w:color w:val="auto"/>
                <w:sz w:val="20"/>
                <w:szCs w:val="20"/>
              </w:rPr>
              <w:t>办公应用的数据隔离，并实现针对移动应用的数据级防泄漏能力，在办公APP退出后，系统不残留敏感数据，确保移动应用和工作数据安全。</w:t>
            </w:r>
          </w:p>
        </w:tc>
        <w:tc>
          <w:tcPr>
            <w:tcW w:w="809" w:type="pct"/>
            <w:vAlign w:val="center"/>
          </w:tcPr>
          <w:p w14:paraId="22CA3E4E">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val="en-US" w:eastAsia="zh-CN"/>
              </w:rPr>
              <w:t>乙方提供运维服务。</w:t>
            </w:r>
          </w:p>
        </w:tc>
      </w:tr>
      <w:tr w14:paraId="7D8AA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595418D2">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lang w:val="en-US" w:eastAsia="zh-CN"/>
              </w:rPr>
            </w:pPr>
            <w:r>
              <w:rPr>
                <w:rFonts w:hint="eastAsia" w:ascii="华文宋体" w:hAnsi="华文宋体" w:eastAsia="华文宋体" w:cs="华文宋体"/>
                <w:color w:val="auto"/>
                <w:sz w:val="20"/>
                <w:szCs w:val="20"/>
                <w:lang w:val="en-US" w:eastAsia="zh-CN"/>
              </w:rPr>
              <w:t>4</w:t>
            </w:r>
          </w:p>
        </w:tc>
        <w:tc>
          <w:tcPr>
            <w:tcW w:w="748" w:type="pct"/>
            <w:shd w:val="clear" w:color="auto" w:fill="auto"/>
            <w:vAlign w:val="center"/>
          </w:tcPr>
          <w:p w14:paraId="10BB04B8">
            <w:pPr>
              <w:pStyle w:val="17"/>
              <w:spacing w:line="440" w:lineRule="exact"/>
              <w:ind w:firstLine="0" w:firstLineChars="0"/>
              <w:rPr>
                <w:rFonts w:hint="eastAsia" w:ascii="华文宋体" w:hAnsi="华文宋体" w:eastAsia="华文宋体" w:cs="华文宋体"/>
                <w:color w:val="auto"/>
                <w:kern w:val="2"/>
                <w:sz w:val="20"/>
                <w:szCs w:val="20"/>
                <w:lang w:val="en-US" w:eastAsia="zh-CN" w:bidi="ar-SA"/>
              </w:rPr>
            </w:pPr>
            <w:r>
              <w:rPr>
                <w:rFonts w:hint="eastAsia" w:ascii="华文宋体" w:hAnsi="华文宋体" w:eastAsia="华文宋体" w:cs="华文宋体"/>
                <w:color w:val="auto"/>
                <w:sz w:val="20"/>
                <w:szCs w:val="20"/>
              </w:rPr>
              <w:t>检察服务平台运维服务</w:t>
            </w:r>
          </w:p>
        </w:tc>
        <w:tc>
          <w:tcPr>
            <w:tcW w:w="3021" w:type="pct"/>
            <w:shd w:val="clear" w:color="auto" w:fill="auto"/>
            <w:vAlign w:val="center"/>
          </w:tcPr>
          <w:p w14:paraId="3D67D4DC">
            <w:pPr>
              <w:pStyle w:val="17"/>
              <w:spacing w:line="440" w:lineRule="exact"/>
              <w:ind w:firstLine="400" w:firstLineChars="200"/>
              <w:rPr>
                <w:rFonts w:hint="eastAsia" w:ascii="华文宋体" w:hAnsi="华文宋体" w:eastAsia="华文宋体" w:cs="华文宋体"/>
                <w:color w:val="auto"/>
                <w:sz w:val="20"/>
                <w:szCs w:val="20"/>
                <w:lang w:val="en-US" w:eastAsia="zh-CN"/>
              </w:rPr>
            </w:pPr>
            <w:r>
              <w:rPr>
                <w:rFonts w:hint="eastAsia" w:ascii="华文宋体" w:hAnsi="华文宋体" w:eastAsia="华文宋体" w:cs="华文宋体"/>
                <w:color w:val="auto"/>
                <w:sz w:val="20"/>
                <w:szCs w:val="20"/>
                <w:lang w:val="en-US" w:eastAsia="zh-CN"/>
              </w:rPr>
              <w:t>互联网</w:t>
            </w:r>
            <w:r>
              <w:rPr>
                <w:rFonts w:hint="eastAsia" w:ascii="华文宋体" w:hAnsi="华文宋体" w:eastAsia="华文宋体" w:cs="华文宋体"/>
                <w:color w:val="auto"/>
                <w:sz w:val="20"/>
                <w:szCs w:val="20"/>
              </w:rPr>
              <w:t>办公区，在智能终端上通过检察服务平台实现检察为民服务、案件办理等功能。</w:t>
            </w:r>
            <w:r>
              <w:rPr>
                <w:rFonts w:hint="eastAsia" w:ascii="华文宋体" w:hAnsi="华文宋体" w:eastAsia="华文宋体" w:cs="华文宋体"/>
                <w:color w:val="auto"/>
                <w:sz w:val="20"/>
                <w:szCs w:val="20"/>
                <w:lang w:val="en-US" w:eastAsia="zh-CN"/>
              </w:rPr>
              <w:t>平台软件由供应商提供，服务期满后，软件所有权归乙方。</w:t>
            </w:r>
          </w:p>
          <w:p w14:paraId="3D309CD7">
            <w:pPr>
              <w:rPr>
                <w:rFonts w:hint="eastAsia" w:asciiTheme="minorHAnsi" w:hAnsiTheme="minorHAnsi" w:eastAsiaTheme="minorEastAsia" w:cstheme="minorBidi"/>
                <w:color w:val="auto"/>
                <w:kern w:val="2"/>
                <w:sz w:val="21"/>
                <w:szCs w:val="24"/>
                <w:lang w:val="en-US" w:eastAsia="zh-CN" w:bidi="ar-SA"/>
              </w:rPr>
            </w:pPr>
          </w:p>
        </w:tc>
        <w:tc>
          <w:tcPr>
            <w:tcW w:w="809" w:type="pct"/>
            <w:vAlign w:val="center"/>
          </w:tcPr>
          <w:p w14:paraId="55B1BC71">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lang w:val="en-US" w:eastAsia="zh-CN"/>
              </w:rPr>
              <w:t>甲方已有检察服务平台，乙方提供运维服务。</w:t>
            </w:r>
          </w:p>
        </w:tc>
      </w:tr>
      <w:tr w14:paraId="4739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pct"/>
            <w:vAlign w:val="center"/>
          </w:tcPr>
          <w:p w14:paraId="1A8BC66E">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lang w:eastAsia="zh-CN"/>
              </w:rPr>
            </w:pPr>
            <w:r>
              <w:rPr>
                <w:rFonts w:hint="eastAsia" w:ascii="华文宋体" w:hAnsi="华文宋体" w:eastAsia="华文宋体" w:cs="华文宋体"/>
                <w:color w:val="auto"/>
                <w:sz w:val="20"/>
                <w:szCs w:val="20"/>
                <w:lang w:val="en-US" w:eastAsia="zh-CN"/>
              </w:rPr>
              <w:t>5</w:t>
            </w:r>
          </w:p>
        </w:tc>
        <w:tc>
          <w:tcPr>
            <w:tcW w:w="748" w:type="pct"/>
            <w:vAlign w:val="center"/>
          </w:tcPr>
          <w:p w14:paraId="1DEA770D">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终端服务</w:t>
            </w:r>
          </w:p>
        </w:tc>
        <w:tc>
          <w:tcPr>
            <w:tcW w:w="3021" w:type="pct"/>
            <w:vAlign w:val="center"/>
          </w:tcPr>
          <w:p w14:paraId="04CF0E28">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提供干警移动</w:t>
            </w:r>
            <w:r>
              <w:rPr>
                <w:rFonts w:hint="eastAsia" w:ascii="华文宋体" w:hAnsi="华文宋体" w:eastAsia="华文宋体" w:cs="华文宋体"/>
                <w:color w:val="auto"/>
                <w:sz w:val="20"/>
                <w:szCs w:val="20"/>
                <w:lang w:eastAsia="zh"/>
              </w:rPr>
              <w:t>办案办公</w:t>
            </w:r>
            <w:r>
              <w:rPr>
                <w:rFonts w:hint="eastAsia" w:ascii="华文宋体" w:hAnsi="华文宋体" w:eastAsia="华文宋体" w:cs="华文宋体"/>
                <w:color w:val="auto"/>
                <w:sz w:val="20"/>
                <w:szCs w:val="20"/>
              </w:rPr>
              <w:t>所需的安全智能终端，安全智能终端应具备双域安全能力。对移动</w:t>
            </w:r>
            <w:r>
              <w:rPr>
                <w:rFonts w:hint="eastAsia" w:ascii="华文宋体" w:hAnsi="华文宋体" w:eastAsia="华文宋体" w:cs="华文宋体"/>
                <w:color w:val="auto"/>
                <w:sz w:val="20"/>
                <w:szCs w:val="20"/>
                <w:lang w:eastAsia="zh"/>
              </w:rPr>
              <w:t>办案办公</w:t>
            </w:r>
            <w:r>
              <w:rPr>
                <w:rFonts w:hint="eastAsia" w:ascii="华文宋体" w:hAnsi="华文宋体" w:eastAsia="华文宋体" w:cs="华文宋体"/>
                <w:color w:val="auto"/>
                <w:sz w:val="20"/>
                <w:szCs w:val="20"/>
              </w:rPr>
              <w:t>智能终端的安全管控，能够防止非法用户获取超级权限，在智能终端不慎丢失时能远程擦除终端上的敏感工作数据，销毁加密卡，取消流量卡对移动专网的接入权限，以及能远程采取其它的必要措施，确保移动专网不被非法用户入侵，安全终端上的敏感数据不失控。</w:t>
            </w:r>
          </w:p>
          <w:p w14:paraId="4312AF0C">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5G 接入套餐，保障配套的智能终端在不接入移动专网时，能够安全访问移动</w:t>
            </w:r>
            <w:r>
              <w:rPr>
                <w:rFonts w:hint="eastAsia" w:ascii="华文宋体" w:hAnsi="华文宋体" w:eastAsia="华文宋体" w:cs="华文宋体"/>
                <w:color w:val="auto"/>
                <w:sz w:val="20"/>
                <w:szCs w:val="20"/>
                <w:lang w:eastAsia="zh"/>
              </w:rPr>
              <w:t>互联网</w:t>
            </w:r>
            <w:r>
              <w:rPr>
                <w:rFonts w:hint="eastAsia" w:ascii="华文宋体" w:hAnsi="华文宋体" w:eastAsia="华文宋体" w:cs="华文宋体"/>
                <w:color w:val="auto"/>
                <w:sz w:val="20"/>
                <w:szCs w:val="20"/>
              </w:rPr>
              <w:t>，满足检察干警在智能终端上检索信息、查阅法律资料、参加学习强国、中国检察教育培训网络学院、陕西干部网络学院的学习培训等。</w:t>
            </w:r>
          </w:p>
          <w:p w14:paraId="5AA53A51">
            <w:pPr>
              <w:pStyle w:val="17"/>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华文宋体" w:hAnsi="华文宋体" w:eastAsia="华文宋体" w:cs="华文宋体"/>
                <w:color w:val="auto"/>
                <w:sz w:val="20"/>
                <w:szCs w:val="20"/>
              </w:rPr>
            </w:pPr>
            <w:r>
              <w:rPr>
                <w:rFonts w:hint="eastAsia" w:ascii="华文宋体" w:hAnsi="华文宋体" w:eastAsia="华文宋体" w:cs="华文宋体"/>
                <w:color w:val="auto"/>
                <w:sz w:val="20"/>
                <w:szCs w:val="20"/>
              </w:rPr>
              <w:t>虚拟专网服务，组建全省检察干警移动终端号虚拟专网，网内用户互打免费。开通短号码功能，方便检察干警快捷的进行日常通信及内部沟通。</w:t>
            </w:r>
          </w:p>
        </w:tc>
        <w:tc>
          <w:tcPr>
            <w:tcW w:w="809" w:type="pct"/>
            <w:vAlign w:val="center"/>
          </w:tcPr>
          <w:p w14:paraId="50882324">
            <w:pPr>
              <w:pStyle w:val="17"/>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华文宋体" w:hAnsi="华文宋体" w:eastAsia="华文宋体" w:cs="华文宋体"/>
                <w:color w:val="auto"/>
                <w:sz w:val="20"/>
                <w:szCs w:val="20"/>
                <w:lang w:val="en-US" w:eastAsia="zh-CN"/>
              </w:rPr>
            </w:pPr>
            <w:r>
              <w:rPr>
                <w:rFonts w:hint="eastAsia" w:ascii="华文宋体" w:hAnsi="华文宋体" w:eastAsia="华文宋体" w:cs="华文宋体"/>
                <w:color w:val="auto"/>
                <w:sz w:val="20"/>
                <w:szCs w:val="20"/>
                <w:lang w:val="en-US" w:eastAsia="zh-CN"/>
              </w:rPr>
              <w:t>终端及服务由乙方提供。</w:t>
            </w:r>
          </w:p>
        </w:tc>
      </w:tr>
    </w:tbl>
    <w:p w14:paraId="5EEDAAA3">
      <w:pPr>
        <w:pStyle w:val="12"/>
        <w:numPr>
          <w:ilvl w:val="-1"/>
          <w:numId w:val="0"/>
        </w:numPr>
        <w:spacing w:line="338" w:lineRule="auto"/>
        <w:ind w:left="0" w:leftChars="0" w:firstLine="0" w:firstLineChars="0"/>
        <w:rPr>
          <w:rFonts w:ascii="仿宋" w:hAnsi="仿宋" w:eastAsia="仿宋"/>
          <w:color w:val="auto"/>
          <w:sz w:val="24"/>
          <w:szCs w:val="24"/>
          <w:lang w:eastAsia="zh-CN"/>
        </w:rPr>
      </w:pPr>
    </w:p>
    <w:p w14:paraId="165B6EE2">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三、服务期限</w:t>
      </w:r>
    </w:p>
    <w:p w14:paraId="0CCC9AD5">
      <w:pPr>
        <w:pStyle w:val="12"/>
        <w:spacing w:line="338" w:lineRule="auto"/>
        <w:ind w:firstLine="480" w:firstLineChars="200"/>
        <w:rPr>
          <w:rFonts w:hint="eastAsia" w:ascii="仿宋" w:hAnsi="仿宋" w:eastAsia="仿宋"/>
          <w:color w:val="auto"/>
          <w:sz w:val="24"/>
          <w:szCs w:val="24"/>
          <w:lang w:val="en-US" w:eastAsia="zh-CN"/>
        </w:rPr>
      </w:pPr>
      <w:r>
        <w:rPr>
          <w:rFonts w:ascii="仿宋" w:hAnsi="仿宋" w:eastAsia="仿宋"/>
          <w:color w:val="auto"/>
          <w:sz w:val="24"/>
          <w:szCs w:val="24"/>
        </w:rPr>
        <w:t>服务期</w:t>
      </w:r>
      <w:r>
        <w:rPr>
          <w:rFonts w:hint="eastAsia" w:ascii="仿宋" w:hAnsi="仿宋" w:eastAsia="仿宋"/>
          <w:color w:val="auto"/>
          <w:sz w:val="24"/>
          <w:szCs w:val="24"/>
          <w:lang w:val="en-US" w:eastAsia="zh-CN"/>
        </w:rPr>
        <w:t>为合同签订之日起三年（按年签订合同）。后续两年服务期续签合同的条件：服务内容不变，采购预算不变，保证预算资金能够下达的情况下，根据供应商提供服务的质量考核评价情况按年续签。</w:t>
      </w:r>
    </w:p>
    <w:p w14:paraId="6DA7870A">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四</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价款及支付</w:t>
      </w:r>
    </w:p>
    <w:p w14:paraId="7AC5C975">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 xml:space="preserve">1.本项目总价款为 </w:t>
      </w:r>
      <w:r>
        <w:rPr>
          <w:rFonts w:hint="default" w:ascii="仿宋" w:hAnsi="仿宋" w:eastAsia="仿宋"/>
          <w:color w:val="auto"/>
          <w:sz w:val="24"/>
          <w:szCs w:val="24"/>
        </w:rPr>
        <w:t>¥</w:t>
      </w:r>
      <w:r>
        <w:rPr>
          <w:rFonts w:ascii="仿宋" w:hAnsi="仿宋" w:eastAsia="仿宋"/>
          <w:color w:val="auto"/>
          <w:sz w:val="24"/>
          <w:szCs w:val="24"/>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rPr>
        <w:t xml:space="preserve">元(大写: </w:t>
      </w:r>
      <w:r>
        <w:rPr>
          <w:rFonts w:ascii="仿宋" w:hAnsi="仿宋" w:eastAsia="仿宋"/>
          <w:color w:val="auto"/>
          <w:sz w:val="24"/>
          <w:szCs w:val="24"/>
          <w:u w:val="single"/>
          <w:lang w:eastAsia="zh-CN"/>
        </w:rPr>
        <w:t xml:space="preserve">              </w:t>
      </w:r>
      <w:r>
        <w:rPr>
          <w:rFonts w:ascii="仿宋" w:hAnsi="仿宋" w:eastAsia="仿宋"/>
          <w:color w:val="auto"/>
          <w:sz w:val="24"/>
          <w:szCs w:val="24"/>
        </w:rPr>
        <w:t>)。</w:t>
      </w:r>
    </w:p>
    <w:p w14:paraId="433F3D22">
      <w:pPr>
        <w:pStyle w:val="12"/>
        <w:spacing w:line="338" w:lineRule="auto"/>
        <w:ind w:firstLine="480" w:firstLineChars="200"/>
        <w:jc w:val="both"/>
        <w:rPr>
          <w:rFonts w:ascii="仿宋" w:hAnsi="仿宋" w:eastAsia="仿宋"/>
          <w:color w:val="auto"/>
          <w:sz w:val="24"/>
          <w:szCs w:val="24"/>
          <w:lang w:eastAsia="zh-CN"/>
        </w:rPr>
      </w:pP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1</w:t>
      </w:r>
      <w:r>
        <w:rPr>
          <w:rFonts w:hint="eastAsia" w:ascii="仿宋" w:hAnsi="仿宋" w:eastAsia="仿宋"/>
          <w:color w:val="auto"/>
          <w:sz w:val="24"/>
          <w:szCs w:val="24"/>
          <w:lang w:eastAsia="zh-CN"/>
        </w:rPr>
        <w:t>）</w:t>
      </w:r>
      <w:r>
        <w:rPr>
          <w:rFonts w:ascii="仿宋" w:hAnsi="仿宋" w:eastAsia="仿宋"/>
          <w:color w:val="auto"/>
          <w:sz w:val="24"/>
          <w:szCs w:val="24"/>
          <w:lang w:eastAsia="zh-CN"/>
        </w:rPr>
        <w:t>合同总价包含项目实施费及其他费用等从项目实施至</w:t>
      </w:r>
      <w:r>
        <w:rPr>
          <w:rFonts w:hint="eastAsia" w:ascii="仿宋" w:hAnsi="仿宋" w:eastAsia="仿宋"/>
          <w:color w:val="auto"/>
          <w:sz w:val="24"/>
          <w:szCs w:val="24"/>
          <w:lang w:eastAsia="zh-CN"/>
        </w:rPr>
        <w:t>最终验收</w:t>
      </w:r>
      <w:r>
        <w:rPr>
          <w:rFonts w:ascii="仿宋" w:hAnsi="仿宋" w:eastAsia="仿宋"/>
          <w:color w:val="auto"/>
          <w:sz w:val="24"/>
          <w:szCs w:val="24"/>
          <w:lang w:eastAsia="zh-CN"/>
        </w:rPr>
        <w:t>合格等所有其他有关各项的含税费用。</w:t>
      </w:r>
    </w:p>
    <w:p w14:paraId="30CF712F">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（2）服务质量评价结果作为服务最终支付款额、合同是否续签的依据。</w:t>
      </w:r>
    </w:p>
    <w:p w14:paraId="66F7CFA1">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（3）当服务质量考评结果为优秀时，表示乙方在服务期间内未发生重大事件，服务质量符合要求（不扣款）。</w:t>
      </w:r>
    </w:p>
    <w:p w14:paraId="23EFA37C">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（4）当服务质量考评结果为一般时，表示乙方在服务期间内发生1-2次重大事件或有多次未按规定提供服务，服务质量基本满足要求（适当扣款）。</w:t>
      </w:r>
    </w:p>
    <w:p w14:paraId="22ABAE4B">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（5）当服务质量考评结果为差时，表示乙方在服务期间内发生多次重大事件或有多次未按规定提供重要服务，服务缺失，难以继续胜任服务工作，甲方有权单方面终止合同，并扣除履约保证金。</w:t>
      </w:r>
    </w:p>
    <w:p w14:paraId="113FFF7B">
      <w:pPr>
        <w:pStyle w:val="12"/>
        <w:spacing w:line="338" w:lineRule="auto"/>
        <w:ind w:firstLine="480" w:firstLineChars="200"/>
        <w:rPr>
          <w:rFonts w:hint="eastAsia" w:ascii="仿宋" w:hAnsi="仿宋" w:eastAsia="仿宋"/>
          <w:color w:val="auto"/>
          <w:sz w:val="24"/>
          <w:szCs w:val="24"/>
          <w:lang w:eastAsia="zh-CN"/>
        </w:rPr>
      </w:pPr>
      <w:r>
        <w:rPr>
          <w:rFonts w:ascii="仿宋" w:hAnsi="仿宋" w:eastAsia="仿宋"/>
          <w:color w:val="auto"/>
          <w:sz w:val="24"/>
          <w:szCs w:val="24"/>
          <w:lang w:eastAsia="zh-CN"/>
        </w:rPr>
        <w:t>2.付款方式：</w:t>
      </w:r>
    </w:p>
    <w:p w14:paraId="5FD15F4C">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付款条件说明：合同签订后，由乙方书面提出支付申请及拟支付金额等额的符合采购方财务管理要求的相应发票，甲方 30 日内支付合同总金额的 45.00%。</w:t>
      </w:r>
    </w:p>
    <w:p w14:paraId="26411596">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付款条件说明：项目稳定运行后，由乙方书面提出支付申请及拟支付金额等额的符合采购方财务管理要求的相应发票，甲方30 日内支付合同总金额的 45.00%。</w:t>
      </w:r>
    </w:p>
    <w:p w14:paraId="28570A83">
      <w:pPr>
        <w:pStyle w:val="12"/>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付款条件说明：服务期满后，由乙人书面提出支付申请及拟支付金额等额的符合采购方财务管理要求的相应发票，甲方30 日内支付合同总金额的 10.00%。</w:t>
      </w:r>
    </w:p>
    <w:p w14:paraId="2399F816">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（2）上述时间不包括</w:t>
      </w:r>
      <w:r>
        <w:rPr>
          <w:rFonts w:hint="eastAsia" w:ascii="仿宋" w:hAnsi="仿宋" w:eastAsia="仿宋"/>
          <w:color w:val="auto"/>
          <w:sz w:val="24"/>
          <w:szCs w:val="24"/>
          <w:lang w:eastAsia="zh-CN"/>
        </w:rPr>
        <w:t>甲方</w:t>
      </w:r>
      <w:r>
        <w:rPr>
          <w:rFonts w:ascii="仿宋" w:hAnsi="仿宋" w:eastAsia="仿宋"/>
          <w:color w:val="auto"/>
          <w:sz w:val="24"/>
          <w:szCs w:val="24"/>
          <w:lang w:eastAsia="zh-CN"/>
        </w:rPr>
        <w:t>正常办理支付报批手续的时间（办理银行担保所需的手续费、担保费等全部由供应商承担）</w:t>
      </w:r>
    </w:p>
    <w:p w14:paraId="1FFD4F4D">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（3）乙方</w:t>
      </w:r>
      <w:r>
        <w:rPr>
          <w:rFonts w:ascii="仿宋" w:hAnsi="仿宋" w:eastAsia="仿宋"/>
          <w:color w:val="auto"/>
          <w:sz w:val="24"/>
          <w:szCs w:val="24"/>
        </w:rPr>
        <w:t>承诺在</w:t>
      </w:r>
      <w:r>
        <w:rPr>
          <w:rFonts w:ascii="仿宋" w:hAnsi="仿宋" w:eastAsia="仿宋"/>
          <w:color w:val="auto"/>
          <w:sz w:val="24"/>
          <w:szCs w:val="24"/>
          <w:lang w:eastAsia="zh-CN"/>
        </w:rPr>
        <w:t>甲方</w:t>
      </w:r>
      <w:r>
        <w:rPr>
          <w:rFonts w:ascii="仿宋" w:hAnsi="仿宋" w:eastAsia="仿宋"/>
          <w:color w:val="auto"/>
          <w:sz w:val="24"/>
          <w:szCs w:val="24"/>
        </w:rPr>
        <w:t>办理支付手续前，为</w:t>
      </w:r>
      <w:r>
        <w:rPr>
          <w:rFonts w:ascii="仿宋" w:hAnsi="仿宋" w:eastAsia="仿宋"/>
          <w:color w:val="auto"/>
          <w:sz w:val="24"/>
          <w:szCs w:val="24"/>
          <w:lang w:eastAsia="zh-CN"/>
        </w:rPr>
        <w:t>甲方</w:t>
      </w:r>
      <w:r>
        <w:rPr>
          <w:rFonts w:ascii="仿宋" w:hAnsi="仿宋" w:eastAsia="仿宋"/>
          <w:color w:val="auto"/>
          <w:sz w:val="24"/>
          <w:szCs w:val="24"/>
        </w:rPr>
        <w:t>出具等额的符合国家规定的发票。乙方未提供发票、逾期提供发票或提供发票不符合甲方要求的，由此造成的相关责任由乙方自行承担，甲方有权拒绝付款，并不因此承担逾期付款的违约责任。</w:t>
      </w:r>
    </w:p>
    <w:p w14:paraId="7E3813C5">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.乙方指定收款账户如下</w:t>
      </w:r>
      <w:r>
        <w:rPr>
          <w:rFonts w:ascii="仿宋" w:hAnsi="仿宋" w:eastAsia="仿宋"/>
          <w:color w:val="auto"/>
          <w:sz w:val="24"/>
          <w:szCs w:val="24"/>
          <w:lang w:eastAsia="zh-CN"/>
        </w:rPr>
        <w:t>，</w:t>
      </w:r>
      <w:r>
        <w:rPr>
          <w:rFonts w:ascii="仿宋" w:hAnsi="仿宋" w:eastAsia="仿宋"/>
          <w:color w:val="auto"/>
          <w:sz w:val="24"/>
          <w:szCs w:val="24"/>
        </w:rPr>
        <w:t>乙方</w:t>
      </w:r>
      <w:r>
        <w:rPr>
          <w:rFonts w:ascii="仿宋" w:hAnsi="仿宋" w:eastAsia="仿宋"/>
          <w:color w:val="auto"/>
          <w:sz w:val="24"/>
          <w:szCs w:val="24"/>
          <w:lang w:eastAsia="zh-CN"/>
        </w:rPr>
        <w:t>自行</w:t>
      </w:r>
      <w:r>
        <w:rPr>
          <w:rFonts w:ascii="仿宋" w:hAnsi="仿宋" w:eastAsia="仿宋"/>
          <w:color w:val="auto"/>
          <w:sz w:val="24"/>
          <w:szCs w:val="24"/>
        </w:rPr>
        <w:t>承担因提供信息有误带来的一切不利后果：</w:t>
      </w:r>
    </w:p>
    <w:p w14:paraId="304E2146">
      <w:pPr>
        <w:pStyle w:val="12"/>
        <w:spacing w:line="338" w:lineRule="auto"/>
        <w:ind w:firstLine="720" w:firstLineChars="300"/>
        <w:rPr>
          <w:rFonts w:hint="default" w:ascii="仿宋" w:hAnsi="仿宋" w:eastAsia="仿宋"/>
          <w:color w:val="auto"/>
          <w:sz w:val="24"/>
          <w:szCs w:val="24"/>
        </w:rPr>
      </w:pPr>
      <w:r>
        <w:rPr>
          <w:rFonts w:ascii="仿宋" w:hAnsi="仿宋" w:eastAsia="仿宋"/>
          <w:color w:val="auto"/>
          <w:sz w:val="24"/>
          <w:szCs w:val="24"/>
        </w:rPr>
        <w:t>户</w:t>
      </w:r>
      <w:r>
        <w:rPr>
          <w:rFonts w:ascii="仿宋" w:hAnsi="仿宋" w:eastAsia="仿宋"/>
          <w:color w:val="auto"/>
          <w:sz w:val="24"/>
          <w:szCs w:val="24"/>
          <w:lang w:eastAsia="zh-CN"/>
        </w:rPr>
        <w:t xml:space="preserve">    </w:t>
      </w:r>
      <w:r>
        <w:rPr>
          <w:rFonts w:ascii="仿宋" w:hAnsi="仿宋" w:eastAsia="仿宋"/>
          <w:color w:val="auto"/>
          <w:sz w:val="24"/>
          <w:szCs w:val="24"/>
        </w:rPr>
        <w:t>名:</w:t>
      </w:r>
    </w:p>
    <w:p w14:paraId="4535DCDD">
      <w:pPr>
        <w:pStyle w:val="12"/>
        <w:spacing w:line="338" w:lineRule="auto"/>
        <w:ind w:firstLine="720" w:firstLineChars="300"/>
        <w:rPr>
          <w:rFonts w:hint="default" w:ascii="仿宋" w:hAnsi="仿宋" w:eastAsia="仿宋"/>
          <w:color w:val="auto"/>
          <w:sz w:val="24"/>
          <w:szCs w:val="24"/>
        </w:rPr>
      </w:pPr>
      <w:r>
        <w:rPr>
          <w:rFonts w:ascii="仿宋" w:hAnsi="仿宋" w:eastAsia="仿宋"/>
          <w:color w:val="auto"/>
          <w:sz w:val="24"/>
          <w:szCs w:val="24"/>
        </w:rPr>
        <w:t xml:space="preserve">开 户 行:               </w:t>
      </w:r>
    </w:p>
    <w:p w14:paraId="4849A1D1">
      <w:pPr>
        <w:pStyle w:val="12"/>
        <w:spacing w:line="338" w:lineRule="auto"/>
        <w:ind w:firstLine="720" w:firstLineChars="300"/>
        <w:rPr>
          <w:rFonts w:hint="default" w:ascii="仿宋" w:hAnsi="仿宋" w:eastAsia="仿宋"/>
          <w:color w:val="auto"/>
          <w:sz w:val="24"/>
          <w:szCs w:val="24"/>
        </w:rPr>
      </w:pPr>
      <w:r>
        <w:rPr>
          <w:rFonts w:ascii="仿宋" w:hAnsi="仿宋" w:eastAsia="仿宋"/>
          <w:color w:val="auto"/>
          <w:sz w:val="24"/>
          <w:szCs w:val="24"/>
        </w:rPr>
        <w:t xml:space="preserve">银行账号:                </w:t>
      </w:r>
    </w:p>
    <w:p w14:paraId="515509EA">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五</w:t>
      </w:r>
      <w:r>
        <w:rPr>
          <w:rFonts w:hint="eastAsia" w:ascii="仿宋" w:hAnsi="仿宋" w:eastAsia="仿宋"/>
          <w:color w:val="auto"/>
          <w:sz w:val="24"/>
          <w:szCs w:val="24"/>
          <w:lang w:eastAsia="zh-CN"/>
        </w:rPr>
        <w:t>、服务条件</w:t>
      </w:r>
    </w:p>
    <w:p w14:paraId="597E9166">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1.</w:t>
      </w:r>
      <w:r>
        <w:rPr>
          <w:rFonts w:hint="eastAsia" w:ascii="仿宋" w:hAnsi="仿宋" w:eastAsia="仿宋"/>
          <w:color w:val="auto"/>
          <w:sz w:val="24"/>
          <w:szCs w:val="24"/>
          <w:lang w:eastAsia="zh-CN"/>
        </w:rPr>
        <w:t>服务地点：</w:t>
      </w:r>
      <w:r>
        <w:rPr>
          <w:rFonts w:hint="eastAsia" w:ascii="仿宋" w:hAnsi="仿宋" w:eastAsia="仿宋"/>
          <w:color w:val="auto"/>
          <w:sz w:val="24"/>
          <w:szCs w:val="24"/>
          <w:lang w:val="en-US" w:eastAsia="zh-CN"/>
        </w:rPr>
        <w:t>陕西省人民检察院</w:t>
      </w:r>
      <w:r>
        <w:rPr>
          <w:rFonts w:hint="eastAsia" w:ascii="仿宋" w:hAnsi="仿宋" w:eastAsia="仿宋"/>
          <w:color w:val="auto"/>
          <w:sz w:val="24"/>
          <w:szCs w:val="24"/>
          <w:lang w:eastAsia="zh-CN"/>
        </w:rPr>
        <w:t>指定地点。</w:t>
      </w:r>
    </w:p>
    <w:p w14:paraId="09440673">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2</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服务</w:t>
      </w:r>
      <w:r>
        <w:rPr>
          <w:rFonts w:hint="eastAsia" w:ascii="仿宋" w:hAnsi="仿宋" w:eastAsia="仿宋"/>
          <w:color w:val="auto"/>
          <w:sz w:val="24"/>
          <w:szCs w:val="24"/>
          <w:lang w:val="en-US" w:eastAsia="zh-CN"/>
        </w:rPr>
        <w:t>期限</w:t>
      </w: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为合同签订之日起三年（按年签订合同）。后续两年服务期续签合同的条件：服务内容不变，采购预算不变，保证预算资金能够下达的情况下，根据供应商提供服务的质量考核评价情况按年续签。</w:t>
      </w:r>
    </w:p>
    <w:p w14:paraId="540510B0">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六</w:t>
      </w:r>
      <w:r>
        <w:rPr>
          <w:rFonts w:hint="eastAsia" w:ascii="仿宋" w:hAnsi="仿宋" w:eastAsia="仿宋"/>
          <w:color w:val="auto"/>
          <w:sz w:val="24"/>
          <w:szCs w:val="24"/>
          <w:lang w:eastAsia="zh-CN"/>
        </w:rPr>
        <w:t>、质量保证</w:t>
      </w:r>
    </w:p>
    <w:p w14:paraId="7CFEB63E">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1</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乙方应当保证服务内容质量完全符合合同规定的要求，并对服务内容质量问题负责。</w:t>
      </w:r>
    </w:p>
    <w:p w14:paraId="7CB7B694">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2</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采购项目执行内容需要调整时，经甲方同意后，可以对相应的内容进行调整，并协商确定价格差额计算方法和负担办法。</w:t>
      </w:r>
    </w:p>
    <w:p w14:paraId="456A3576">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七</w:t>
      </w:r>
      <w:r>
        <w:rPr>
          <w:rFonts w:hint="eastAsia" w:ascii="仿宋" w:hAnsi="仿宋" w:eastAsia="仿宋"/>
          <w:color w:val="auto"/>
          <w:sz w:val="24"/>
          <w:szCs w:val="24"/>
          <w:lang w:eastAsia="zh-CN"/>
        </w:rPr>
        <w:t>、技术服务</w:t>
      </w:r>
    </w:p>
    <w:p w14:paraId="23ADD3B5">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1</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技术资料</w:t>
      </w:r>
    </w:p>
    <w:p w14:paraId="4D3A14BD">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2</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人员培训</w:t>
      </w:r>
    </w:p>
    <w:p w14:paraId="27375CF4">
      <w:pPr>
        <w:pStyle w:val="12"/>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eastAsia="zh-CN"/>
        </w:rPr>
        <w:t>3</w:t>
      </w:r>
      <w:r>
        <w:rPr>
          <w:rFonts w:hint="eastAsia" w:ascii="仿宋" w:hAnsi="仿宋" w:eastAsia="仿宋"/>
          <w:color w:val="auto"/>
          <w:sz w:val="24"/>
          <w:szCs w:val="24"/>
          <w:lang w:val="en-US" w:eastAsia="zh-CN"/>
        </w:rPr>
        <w:t>.</w:t>
      </w:r>
      <w:r>
        <w:rPr>
          <w:rFonts w:hint="eastAsia" w:ascii="仿宋" w:hAnsi="仿宋" w:eastAsia="仿宋"/>
          <w:color w:val="auto"/>
          <w:sz w:val="24"/>
          <w:szCs w:val="24"/>
          <w:lang w:eastAsia="zh-CN"/>
        </w:rPr>
        <w:t>服务承诺</w:t>
      </w:r>
    </w:p>
    <w:p w14:paraId="1E142A97">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八</w:t>
      </w:r>
      <w:r>
        <w:rPr>
          <w:rFonts w:ascii="仿宋" w:hAnsi="仿宋" w:eastAsia="仿宋"/>
          <w:color w:val="auto"/>
          <w:sz w:val="24"/>
          <w:szCs w:val="24"/>
        </w:rPr>
        <w:t>、甲方的权利和义务</w:t>
      </w:r>
    </w:p>
    <w:p w14:paraId="762B8D10">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1.甲方有权对</w:t>
      </w:r>
      <w:r>
        <w:rPr>
          <w:rFonts w:ascii="仿宋" w:hAnsi="仿宋" w:eastAsia="仿宋"/>
          <w:color w:val="auto"/>
          <w:sz w:val="24"/>
          <w:szCs w:val="24"/>
          <w:lang w:eastAsia="zh-CN"/>
        </w:rPr>
        <w:t>合同</w:t>
      </w:r>
      <w:r>
        <w:rPr>
          <w:rFonts w:ascii="仿宋" w:hAnsi="仿宋" w:eastAsia="仿宋"/>
          <w:color w:val="auto"/>
          <w:sz w:val="24"/>
          <w:szCs w:val="24"/>
        </w:rPr>
        <w:t>规定范围内乙方的服务内容进行监督和检查，如甲方存在异议，乙方应当在收到甲方异议后按期整改并说明；</w:t>
      </w:r>
    </w:p>
    <w:p w14:paraId="6B027161">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2.甲方有权要求乙方提供与相关服务内容有关的相关信息；</w:t>
      </w:r>
    </w:p>
    <w:p w14:paraId="3BF67656">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3.甲方有权得到符合合同要求的所有服务；</w:t>
      </w:r>
    </w:p>
    <w:p w14:paraId="1CA1483B">
      <w:pPr>
        <w:pStyle w:val="12"/>
        <w:spacing w:line="338" w:lineRule="auto"/>
        <w:ind w:left="479" w:leftChars="228"/>
        <w:rPr>
          <w:rFonts w:hint="default" w:ascii="仿宋" w:hAnsi="仿宋" w:eastAsia="仿宋"/>
          <w:color w:val="auto"/>
          <w:sz w:val="24"/>
          <w:szCs w:val="24"/>
          <w:lang w:eastAsia="zh-CN"/>
        </w:rPr>
      </w:pPr>
      <w:r>
        <w:rPr>
          <w:rFonts w:ascii="仿宋" w:hAnsi="仿宋" w:eastAsia="仿宋"/>
          <w:color w:val="auto"/>
          <w:sz w:val="24"/>
          <w:szCs w:val="24"/>
          <w:lang w:eastAsia="zh-CN"/>
        </w:rPr>
        <w:t>4</w:t>
      </w:r>
      <w:r>
        <w:rPr>
          <w:rFonts w:ascii="仿宋" w:hAnsi="仿宋" w:eastAsia="仿宋"/>
          <w:color w:val="auto"/>
          <w:sz w:val="24"/>
          <w:szCs w:val="24"/>
        </w:rPr>
        <w:t>.根据本</w:t>
      </w:r>
      <w:r>
        <w:rPr>
          <w:rFonts w:ascii="仿宋" w:hAnsi="仿宋" w:eastAsia="仿宋"/>
          <w:color w:val="auto"/>
          <w:sz w:val="24"/>
          <w:szCs w:val="24"/>
          <w:lang w:eastAsia="zh-CN"/>
        </w:rPr>
        <w:t>合同</w:t>
      </w:r>
      <w:r>
        <w:rPr>
          <w:rFonts w:ascii="仿宋" w:hAnsi="仿宋" w:eastAsia="仿宋"/>
          <w:color w:val="auto"/>
          <w:sz w:val="24"/>
          <w:szCs w:val="24"/>
        </w:rPr>
        <w:t>约定，按时向乙方支付应付</w:t>
      </w:r>
      <w:r>
        <w:rPr>
          <w:rFonts w:ascii="仿宋" w:hAnsi="仿宋" w:eastAsia="仿宋"/>
          <w:color w:val="auto"/>
          <w:sz w:val="24"/>
          <w:szCs w:val="24"/>
          <w:lang w:eastAsia="zh-CN"/>
        </w:rPr>
        <w:t>合同</w:t>
      </w:r>
      <w:r>
        <w:rPr>
          <w:rFonts w:ascii="仿宋" w:hAnsi="仿宋" w:eastAsia="仿宋"/>
          <w:color w:val="auto"/>
          <w:sz w:val="24"/>
          <w:szCs w:val="24"/>
        </w:rPr>
        <w:t>价款</w:t>
      </w:r>
      <w:r>
        <w:rPr>
          <w:rFonts w:hint="eastAsia" w:ascii="仿宋" w:hAnsi="仿宋" w:eastAsia="仿宋"/>
          <w:color w:val="auto"/>
          <w:sz w:val="24"/>
          <w:szCs w:val="24"/>
          <w:lang w:eastAsia="zh-CN"/>
        </w:rPr>
        <w:t>。</w:t>
      </w:r>
      <w:r>
        <w:rPr>
          <w:rFonts w:ascii="仿宋" w:hAnsi="仿宋" w:eastAsia="仿宋"/>
          <w:color w:val="auto"/>
          <w:sz w:val="24"/>
          <w:szCs w:val="24"/>
          <w:lang w:eastAsia="zh-CN"/>
        </w:rPr>
        <w:t>如乙方服务未达到合同</w:t>
      </w:r>
    </w:p>
    <w:p w14:paraId="38B98A26">
      <w:pPr>
        <w:pStyle w:val="12"/>
        <w:spacing w:line="338" w:lineRule="auto"/>
        <w:rPr>
          <w:rFonts w:hint="default" w:ascii="仿宋" w:hAnsi="仿宋" w:eastAsia="仿宋"/>
          <w:color w:val="auto"/>
          <w:sz w:val="24"/>
          <w:szCs w:val="24"/>
          <w:lang w:eastAsia="zh-CN"/>
        </w:rPr>
      </w:pPr>
      <w:r>
        <w:rPr>
          <w:rFonts w:ascii="仿宋" w:hAnsi="仿宋" w:eastAsia="仿宋"/>
          <w:color w:val="auto"/>
          <w:sz w:val="24"/>
          <w:szCs w:val="24"/>
          <w:lang w:eastAsia="zh-CN"/>
        </w:rPr>
        <w:t>要求，甲方有权拒付未达到要求部分的款项</w:t>
      </w:r>
    </w:p>
    <w:p w14:paraId="3A5E5907">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5.</w:t>
      </w:r>
      <w:r>
        <w:rPr>
          <w:rFonts w:hint="eastAsia" w:ascii="仿宋" w:hAnsi="仿宋" w:eastAsia="仿宋" w:cs="仿宋"/>
          <w:color w:val="auto"/>
          <w:kern w:val="0"/>
          <w:sz w:val="24"/>
        </w:rPr>
        <w:t>乙方完成所有</w:t>
      </w:r>
      <w:r>
        <w:rPr>
          <w:rFonts w:hint="eastAsia" w:ascii="仿宋" w:hAnsi="仿宋" w:eastAsia="仿宋" w:cs="仿宋"/>
          <w:color w:val="auto"/>
          <w:kern w:val="0"/>
          <w:sz w:val="24"/>
          <w:lang w:val="en-US" w:eastAsia="zh-CN"/>
        </w:rPr>
        <w:t>合同</w:t>
      </w:r>
      <w:r>
        <w:rPr>
          <w:rFonts w:hint="eastAsia" w:ascii="仿宋" w:hAnsi="仿宋" w:eastAsia="仿宋" w:cs="仿宋"/>
          <w:color w:val="auto"/>
          <w:kern w:val="0"/>
          <w:sz w:val="24"/>
        </w:rPr>
        <w:t>约定</w:t>
      </w:r>
      <w:r>
        <w:rPr>
          <w:rFonts w:hint="eastAsia" w:ascii="仿宋" w:hAnsi="仿宋" w:eastAsia="仿宋" w:cs="仿宋"/>
          <w:color w:val="auto"/>
          <w:kern w:val="0"/>
          <w:sz w:val="24"/>
          <w:lang w:val="en-US" w:eastAsia="zh-CN"/>
        </w:rPr>
        <w:t>服务</w:t>
      </w:r>
      <w:r>
        <w:rPr>
          <w:rFonts w:hint="eastAsia" w:ascii="仿宋" w:hAnsi="仿宋" w:eastAsia="仿宋" w:cs="仿宋"/>
          <w:color w:val="auto"/>
          <w:kern w:val="0"/>
          <w:sz w:val="24"/>
        </w:rPr>
        <w:t>内容后，甲方根据项目实施情况出具的客观公正的</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lang w:val="en-US" w:eastAsia="zh-CN"/>
        </w:rPr>
        <w:t>考核评价意见</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rPr>
        <w:t>。</w:t>
      </w:r>
      <w:r>
        <w:rPr>
          <w:rFonts w:ascii="仿宋" w:hAnsi="仿宋" w:eastAsia="仿宋"/>
          <w:color w:val="auto"/>
          <w:sz w:val="24"/>
          <w:szCs w:val="24"/>
        </w:rPr>
        <w:cr/>
      </w:r>
      <w:r>
        <w:rPr>
          <w:rFonts w:hint="eastAsia" w:ascii="仿宋" w:hAnsi="仿宋" w:eastAsia="仿宋"/>
          <w:color w:val="auto"/>
          <w:sz w:val="24"/>
          <w:szCs w:val="24"/>
        </w:rPr>
        <w:t xml:space="preserve">    </w:t>
      </w:r>
      <w:r>
        <w:rPr>
          <w:rFonts w:hint="eastAsia" w:ascii="仿宋" w:hAnsi="仿宋" w:eastAsia="仿宋"/>
          <w:color w:val="auto"/>
          <w:sz w:val="24"/>
          <w:szCs w:val="24"/>
          <w:lang w:val="en-US" w:eastAsia="zh-CN"/>
        </w:rPr>
        <w:t>九</w:t>
      </w:r>
      <w:r>
        <w:rPr>
          <w:rFonts w:ascii="仿宋" w:hAnsi="仿宋" w:eastAsia="仿宋"/>
          <w:color w:val="auto"/>
          <w:sz w:val="24"/>
          <w:szCs w:val="24"/>
        </w:rPr>
        <w:t>、乙方的权利和义务</w:t>
      </w:r>
    </w:p>
    <w:p w14:paraId="2BAB079F">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1.</w:t>
      </w:r>
      <w:r>
        <w:rPr>
          <w:rFonts w:ascii="仿宋" w:hAnsi="仿宋" w:eastAsia="仿宋"/>
          <w:color w:val="auto"/>
          <w:sz w:val="24"/>
          <w:szCs w:val="24"/>
        </w:rPr>
        <w:t>乙方应向甲方提供与本项目服务有关的资料，包括项目服务单位、人员的资质证书及承担本合同业务的专业人员名单、项目服务工作计划等，并按</w:t>
      </w:r>
      <w:r>
        <w:rPr>
          <w:rFonts w:ascii="仿宋" w:hAnsi="仿宋" w:eastAsia="仿宋"/>
          <w:color w:val="auto"/>
          <w:sz w:val="24"/>
          <w:szCs w:val="24"/>
          <w:lang w:eastAsia="zh-CN"/>
        </w:rPr>
        <w:t>招标文件、</w:t>
      </w:r>
      <w:r>
        <w:rPr>
          <w:rFonts w:ascii="仿宋" w:hAnsi="仿宋" w:eastAsia="仿宋"/>
          <w:color w:val="auto"/>
          <w:sz w:val="24"/>
          <w:szCs w:val="24"/>
        </w:rPr>
        <w:t>合同约定的范围、时间、工作依据、工作标准等，出具内容齐全、规范、准确的相关报告等。</w:t>
      </w:r>
    </w:p>
    <w:p w14:paraId="7DC3EF4B">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2.</w:t>
      </w:r>
      <w:r>
        <w:rPr>
          <w:rFonts w:ascii="仿宋" w:hAnsi="仿宋" w:eastAsia="仿宋"/>
          <w:color w:val="auto"/>
          <w:sz w:val="24"/>
          <w:szCs w:val="24"/>
        </w:rPr>
        <w:t>合作过程中乙方应指派专门的业务负责人负责合作事项的全程沟通及协调工作；</w:t>
      </w:r>
    </w:p>
    <w:p w14:paraId="1AA2B886">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乙方应遵守甲方有关合作事项的各项管理规定，及时报告工作进度，在规定时间内完成相应工作；</w:t>
      </w:r>
    </w:p>
    <w:p w14:paraId="5369C459">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甲方在工作质量、工作进度、工作内容等方面提出意见及建议，乙方应及时响应并有效改进；</w:t>
      </w:r>
    </w:p>
    <w:p w14:paraId="1C92E6CF">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5.</w:t>
      </w:r>
      <w:r>
        <w:rPr>
          <w:rFonts w:ascii="仿宋" w:hAnsi="仿宋" w:eastAsia="仿宋"/>
          <w:color w:val="auto"/>
          <w:sz w:val="24"/>
          <w:szCs w:val="24"/>
        </w:rPr>
        <w:t>不得转包、分包；</w:t>
      </w:r>
    </w:p>
    <w:p w14:paraId="76C0C205">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6.</w:t>
      </w:r>
      <w:r>
        <w:rPr>
          <w:rFonts w:ascii="仿宋" w:hAnsi="仿宋" w:eastAsia="仿宋"/>
          <w:color w:val="auto"/>
          <w:sz w:val="24"/>
          <w:szCs w:val="24"/>
        </w:rPr>
        <w:t>乙方工作人员为甲方提供服务过程中，个人及财产安全由乙方自行负责，与甲方无关。乙方与工作人员建立合法的劳动关系，并承担用工主体责任；</w:t>
      </w:r>
    </w:p>
    <w:p w14:paraId="5574E5EA">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7.</w:t>
      </w:r>
      <w:r>
        <w:rPr>
          <w:rFonts w:ascii="仿宋" w:hAnsi="仿宋" w:eastAsia="仿宋"/>
          <w:color w:val="auto"/>
          <w:sz w:val="24"/>
          <w:szCs w:val="24"/>
        </w:rPr>
        <w:t>乙方应对本项目所提供服务结果的可靠性、准确性、全面性向甲方负责，由于服务结果的可靠性、准确性、全面性不足而导致甲方工作偏差或失误，乙方应承担责任。</w:t>
      </w:r>
    </w:p>
    <w:p w14:paraId="60A3317D">
      <w:pPr>
        <w:pStyle w:val="12"/>
        <w:spacing w:line="338" w:lineRule="auto"/>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十</w:t>
      </w:r>
      <w:r>
        <w:rPr>
          <w:rFonts w:hint="eastAsia" w:ascii="仿宋" w:hAnsi="仿宋" w:eastAsia="仿宋"/>
          <w:color w:val="auto"/>
          <w:sz w:val="24"/>
          <w:szCs w:val="24"/>
          <w:lang w:eastAsia="zh-CN"/>
        </w:rPr>
        <w:t>、验收</w:t>
      </w:r>
    </w:p>
    <w:p w14:paraId="5F71E56D">
      <w:pPr>
        <w:pStyle w:val="12"/>
        <w:spacing w:line="338" w:lineRule="auto"/>
        <w:ind w:firstLine="480" w:firstLineChars="200"/>
        <w:jc w:val="left"/>
        <w:rPr>
          <w:rFonts w:hint="default"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9.1初验</w:t>
      </w:r>
    </w:p>
    <w:p w14:paraId="6EC45984">
      <w:pPr>
        <w:pStyle w:val="12"/>
        <w:spacing w:line="338" w:lineRule="auto"/>
        <w:ind w:firstLine="480" w:firstLineChars="200"/>
        <w:jc w:val="left"/>
        <w:rPr>
          <w:rFonts w:hint="eastAsia"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9.1.1验收内容：合同签订后15日内，乙方向甲方交付终端设备，乙方进行验收。</w:t>
      </w:r>
    </w:p>
    <w:p w14:paraId="2C936A50">
      <w:pPr>
        <w:pStyle w:val="12"/>
        <w:spacing w:line="338" w:lineRule="auto"/>
        <w:ind w:firstLine="480" w:firstLineChars="200"/>
        <w:jc w:val="left"/>
        <w:rPr>
          <w:rFonts w:hint="eastAsia"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9.1.2验收依据：招标文件、投标文件、合同文本、国内相应的标准、规范。</w:t>
      </w:r>
    </w:p>
    <w:p w14:paraId="080CA35D">
      <w:pPr>
        <w:pStyle w:val="12"/>
        <w:spacing w:line="338" w:lineRule="auto"/>
        <w:ind w:firstLine="480" w:firstLineChars="200"/>
        <w:jc w:val="left"/>
        <w:rPr>
          <w:rFonts w:hint="eastAsia" w:ascii="仿宋" w:hAnsi="仿宋" w:eastAsia="仿宋" w:cstheme="minorBidi"/>
          <w:b w:val="0"/>
          <w:bCs w:val="0"/>
          <w:color w:val="auto"/>
          <w:sz w:val="24"/>
          <w:szCs w:val="24"/>
          <w:lang w:eastAsia="zh-CN"/>
        </w:rPr>
      </w:pPr>
      <w:r>
        <w:rPr>
          <w:rFonts w:hint="eastAsia" w:ascii="仿宋" w:hAnsi="仿宋" w:eastAsia="仿宋" w:cstheme="minorBidi"/>
          <w:b w:val="0"/>
          <w:bCs w:val="0"/>
          <w:color w:val="auto"/>
          <w:sz w:val="24"/>
          <w:szCs w:val="24"/>
          <w:lang w:val="en-US" w:eastAsia="zh-CN"/>
        </w:rPr>
        <w:t>9.2终验</w:t>
      </w:r>
    </w:p>
    <w:p w14:paraId="27FD881E">
      <w:pPr>
        <w:pStyle w:val="12"/>
        <w:spacing w:line="338" w:lineRule="auto"/>
        <w:ind w:firstLine="480" w:firstLineChars="200"/>
        <w:jc w:val="left"/>
        <w:rPr>
          <w:rFonts w:hint="eastAsia"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9.2.1验收内容：服务期满1年后，乙方向甲方提出终验申请，甲方对乙方提供的服务内容、服务质量、服务完成情况等进行运维服务质量评价。</w:t>
      </w:r>
    </w:p>
    <w:p w14:paraId="33302E99">
      <w:pPr>
        <w:pStyle w:val="12"/>
        <w:spacing w:line="338" w:lineRule="auto"/>
        <w:ind w:firstLine="480" w:firstLineChars="200"/>
        <w:jc w:val="left"/>
        <w:rPr>
          <w:rFonts w:hint="eastAsia"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9.2.2验收依据：招标文件、投标文件、合同文本、国内相应的标准、规范。</w:t>
      </w:r>
    </w:p>
    <w:p w14:paraId="03F2695D">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十一</w:t>
      </w:r>
      <w:r>
        <w:rPr>
          <w:rFonts w:ascii="仿宋" w:hAnsi="仿宋" w:eastAsia="仿宋"/>
          <w:color w:val="auto"/>
          <w:sz w:val="24"/>
          <w:szCs w:val="24"/>
        </w:rPr>
        <w:t>、违约责任</w:t>
      </w:r>
    </w:p>
    <w:p w14:paraId="39D8C45D">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1.乙方未按合同要求提供服务或服务质量不能满足技术要求，且在规定时间内未使甲方满意的，甲方有权每日按照合同总金额的0.3%收取乙方违约金</w:t>
      </w:r>
      <w:r>
        <w:rPr>
          <w:rFonts w:ascii="仿宋" w:hAnsi="仿宋" w:eastAsia="仿宋"/>
          <w:color w:val="auto"/>
          <w:sz w:val="24"/>
          <w:szCs w:val="24"/>
          <w:lang w:eastAsia="zh-CN"/>
        </w:rPr>
        <w:t>。当以上情况持续30天或以上时，</w:t>
      </w:r>
      <w:r>
        <w:rPr>
          <w:rFonts w:ascii="仿宋" w:hAnsi="仿宋" w:eastAsia="仿宋"/>
          <w:color w:val="auto"/>
          <w:sz w:val="24"/>
          <w:szCs w:val="24"/>
        </w:rPr>
        <w:t>甲方有权终止合同</w:t>
      </w:r>
      <w:r>
        <w:rPr>
          <w:rFonts w:ascii="仿宋" w:hAnsi="仿宋" w:eastAsia="仿宋"/>
          <w:color w:val="auto"/>
          <w:sz w:val="24"/>
          <w:szCs w:val="24"/>
          <w:lang w:eastAsia="zh-CN"/>
        </w:rPr>
        <w:t>，乙方必须将全部服务资料移交甲方，并在合同终止之日起10天内，配合甲方做好服务交接工作</w:t>
      </w:r>
      <w:r>
        <w:rPr>
          <w:rFonts w:ascii="仿宋" w:hAnsi="仿宋" w:eastAsia="仿宋"/>
          <w:color w:val="auto"/>
          <w:sz w:val="24"/>
          <w:szCs w:val="24"/>
        </w:rPr>
        <w:t>。</w:t>
      </w:r>
      <w:r>
        <w:rPr>
          <w:rFonts w:ascii="仿宋" w:hAnsi="仿宋" w:eastAsia="仿宋"/>
          <w:color w:val="auto"/>
          <w:sz w:val="24"/>
          <w:szCs w:val="24"/>
          <w:lang w:eastAsia="zh-CN"/>
        </w:rPr>
        <w:t>同时，</w:t>
      </w:r>
      <w:r>
        <w:rPr>
          <w:rFonts w:ascii="仿宋" w:hAnsi="仿宋" w:eastAsia="仿宋"/>
          <w:color w:val="auto"/>
          <w:sz w:val="24"/>
          <w:szCs w:val="24"/>
        </w:rPr>
        <w:t>甲方有权追回未完成合同项目的款项，并有权对由此引起的损失要求乙方予以赔偿具体按《中华人民共和国民法典》中的相关条款执行。</w:t>
      </w:r>
    </w:p>
    <w:p w14:paraId="0D71080F">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2</w:t>
      </w:r>
      <w:r>
        <w:rPr>
          <w:rFonts w:ascii="仿宋" w:hAnsi="仿宋" w:eastAsia="仿宋"/>
          <w:color w:val="auto"/>
          <w:sz w:val="24"/>
          <w:szCs w:val="24"/>
        </w:rPr>
        <w:t>.任何一方若违反本合同其他约定，致使本合同无法履行，违约方应向守约方赔偿实际损失。</w:t>
      </w:r>
    </w:p>
    <w:p w14:paraId="5BF56268">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3</w:t>
      </w:r>
      <w:r>
        <w:rPr>
          <w:rFonts w:ascii="仿宋" w:hAnsi="仿宋" w:eastAsia="仿宋"/>
          <w:color w:val="auto"/>
          <w:sz w:val="24"/>
          <w:szCs w:val="24"/>
        </w:rPr>
        <w:t>.如因乙方工作人员在履行职务过程中</w:t>
      </w:r>
      <w:r>
        <w:rPr>
          <w:rFonts w:hint="eastAsia" w:ascii="仿宋" w:hAnsi="仿宋" w:eastAsia="仿宋"/>
          <w:color w:val="auto"/>
          <w:sz w:val="24"/>
          <w:szCs w:val="24"/>
          <w:lang w:eastAsia="zh-CN"/>
        </w:rPr>
        <w:t>的</w:t>
      </w:r>
      <w:r>
        <w:rPr>
          <w:rFonts w:ascii="仿宋" w:hAnsi="仿宋" w:eastAsia="仿宋"/>
          <w:color w:val="auto"/>
          <w:sz w:val="24"/>
          <w:szCs w:val="24"/>
        </w:rPr>
        <w:t>疏忽、失职、过错等故意或者过失原因给甲方造成损失或侵害，包括但不限于对甲方造成财产损失、由此而导致的甲方对任何第三方的法律责任等，乙方对此均应承担全部的赔偿责任并负责妥善处理。</w:t>
      </w:r>
    </w:p>
    <w:p w14:paraId="50A778C3">
      <w:pPr>
        <w:pStyle w:val="12"/>
        <w:snapToGrid w:val="0"/>
        <w:spacing w:before="156" w:beforeLines="50" w:after="156" w:afterLines="50" w:line="338" w:lineRule="auto"/>
        <w:ind w:firstLine="480" w:firstLineChars="200"/>
        <w:rPr>
          <w:rFonts w:hint="default" w:ascii="仿宋" w:hAnsi="仿宋" w:eastAsia="仿宋"/>
          <w:color w:val="auto"/>
          <w:sz w:val="24"/>
          <w:szCs w:val="24"/>
          <w:lang w:eastAsia="zh-CN"/>
        </w:rPr>
      </w:pPr>
      <w:r>
        <w:rPr>
          <w:rFonts w:hint="eastAsia" w:ascii="仿宋" w:hAnsi="仿宋" w:eastAsia="仿宋"/>
          <w:color w:val="auto"/>
          <w:sz w:val="24"/>
          <w:szCs w:val="24"/>
          <w:lang w:val="en-US" w:eastAsia="zh-CN"/>
        </w:rPr>
        <w:t>4</w:t>
      </w:r>
      <w:r>
        <w:rPr>
          <w:rFonts w:ascii="仿宋" w:hAnsi="仿宋" w:eastAsia="仿宋"/>
          <w:color w:val="auto"/>
          <w:sz w:val="24"/>
          <w:szCs w:val="24"/>
          <w:lang w:eastAsia="zh-CN"/>
        </w:rPr>
        <w:t>.因乙方行为违反法律规定产生引起的民事和刑事责任由乙方承担；</w:t>
      </w:r>
    </w:p>
    <w:p w14:paraId="5EA1BF1C">
      <w:pPr>
        <w:pStyle w:val="12"/>
        <w:snapToGrid w:val="0"/>
        <w:spacing w:before="156" w:beforeLines="50" w:after="156" w:afterLines="50"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5</w:t>
      </w:r>
      <w:r>
        <w:rPr>
          <w:rFonts w:ascii="仿宋" w:hAnsi="仿宋" w:eastAsia="仿宋"/>
          <w:color w:val="auto"/>
          <w:sz w:val="24"/>
          <w:szCs w:val="24"/>
        </w:rPr>
        <w:t>.本合同约定的损失，包括但不限于直接或间接的经济损失、律师费、诉讼费、保全费、鉴定费等损失。</w:t>
      </w:r>
    </w:p>
    <w:p w14:paraId="4400D518">
      <w:pPr>
        <w:pStyle w:val="12"/>
        <w:snapToGrid w:val="0"/>
        <w:spacing w:before="156" w:beforeLines="50" w:after="156" w:afterLines="50"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6</w:t>
      </w:r>
      <w:r>
        <w:rPr>
          <w:rFonts w:ascii="仿宋" w:hAnsi="仿宋" w:eastAsia="仿宋"/>
          <w:color w:val="auto"/>
          <w:sz w:val="24"/>
          <w:szCs w:val="24"/>
        </w:rPr>
        <w:t>.本合同约定的违约情形独立存在，可叠加适用。乙方按照合同约定应当向甲方支付的违约金，乙方同意甲方从应付未付款中直接予以扣除。</w:t>
      </w:r>
    </w:p>
    <w:p w14:paraId="4BF017B8">
      <w:pPr>
        <w:pStyle w:val="12"/>
        <w:spacing w:line="338" w:lineRule="auto"/>
        <w:ind w:firstLine="480" w:firstLineChars="200"/>
        <w:rPr>
          <w:rFonts w:hint="default" w:ascii="仿宋" w:hAnsi="仿宋" w:eastAsia="仿宋"/>
          <w:color w:val="auto"/>
          <w:sz w:val="24"/>
          <w:szCs w:val="24"/>
        </w:rPr>
      </w:pPr>
      <w:r>
        <w:rPr>
          <w:rFonts w:hint="eastAsia" w:ascii="仿宋" w:hAnsi="仿宋" w:eastAsia="仿宋"/>
          <w:color w:val="auto"/>
          <w:sz w:val="24"/>
          <w:szCs w:val="24"/>
          <w:lang w:val="en-US" w:eastAsia="zh-CN"/>
        </w:rPr>
        <w:t>十二</w:t>
      </w:r>
      <w:r>
        <w:rPr>
          <w:rFonts w:ascii="仿宋" w:hAnsi="仿宋" w:eastAsia="仿宋"/>
          <w:color w:val="auto"/>
          <w:sz w:val="24"/>
          <w:szCs w:val="24"/>
        </w:rPr>
        <w:t>、知识产权</w:t>
      </w:r>
    </w:p>
    <w:p w14:paraId="6560F396">
      <w:pPr>
        <w:pStyle w:val="12"/>
        <w:snapToGrid w:val="0"/>
        <w:spacing w:before="156" w:beforeLines="50" w:after="156" w:afterLines="50" w:line="338" w:lineRule="auto"/>
        <w:ind w:firstLine="480" w:firstLineChars="200"/>
        <w:rPr>
          <w:rFonts w:hint="eastAsia" w:ascii="仿宋" w:hAnsi="仿宋" w:eastAsia="仿宋"/>
          <w:color w:val="auto"/>
          <w:sz w:val="24"/>
          <w:szCs w:val="24"/>
          <w:lang w:eastAsia="zh-CN"/>
        </w:rPr>
      </w:pPr>
      <w:r>
        <w:rPr>
          <w:rFonts w:ascii="仿宋" w:hAnsi="仿宋" w:eastAsia="仿宋"/>
          <w:color w:val="auto"/>
          <w:sz w:val="24"/>
          <w:szCs w:val="24"/>
          <w:lang w:eastAsia="zh-CN"/>
        </w:rPr>
        <w:t>1.除另有约定外，甲方提供给乙方的资料以及反映甲方要求的或其他类似性质文件，以及乙方为履行本合同约定而编制的成果文件的所有权、知识产权及相关权利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5503D5CE">
      <w:pPr>
        <w:pStyle w:val="12"/>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乙方应保证提供的服务不会出现因第三方提出侵犯其专利权、商标权或其他知识产权而引发法律或经济纠纷，否则由乙方承担全部责任。任何被乙方用于未经授权的商业目的行为所造成的违约或侵权责任由乙方承担。</w:t>
      </w:r>
    </w:p>
    <w:p w14:paraId="387B77F8">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三</w:t>
      </w:r>
      <w:r>
        <w:rPr>
          <w:rFonts w:ascii="仿宋" w:hAnsi="仿宋" w:eastAsia="仿宋"/>
          <w:color w:val="auto"/>
          <w:sz w:val="24"/>
          <w:szCs w:val="24"/>
          <w:lang w:eastAsia="zh-CN"/>
        </w:rPr>
        <w:t>、保密条款</w:t>
      </w:r>
    </w:p>
    <w:p w14:paraId="26CF57B1">
      <w:pPr>
        <w:pStyle w:val="12"/>
        <w:spacing w:line="338" w:lineRule="auto"/>
        <w:ind w:firstLine="480" w:firstLineChars="0"/>
        <w:rPr>
          <w:rFonts w:ascii="仿宋" w:hAnsi="仿宋" w:eastAsia="仿宋"/>
          <w:color w:val="auto"/>
          <w:sz w:val="24"/>
          <w:szCs w:val="24"/>
          <w:lang w:eastAsia="zh-CN"/>
        </w:rPr>
      </w:pPr>
      <w:r>
        <w:rPr>
          <w:rFonts w:ascii="仿宋" w:hAnsi="仿宋" w:eastAsia="仿宋"/>
          <w:color w:val="auto"/>
          <w:sz w:val="24"/>
          <w:szCs w:val="24"/>
          <w:lang w:eastAsia="zh-CN"/>
        </w:rPr>
        <w:t>1.</w:t>
      </w:r>
      <w:r>
        <w:rPr>
          <w:rFonts w:hint="eastAsia" w:ascii="仿宋" w:hAnsi="仿宋" w:eastAsia="仿宋" w:cstheme="minorBidi"/>
          <w:color w:val="auto"/>
          <w:kern w:val="0"/>
          <w:sz w:val="24"/>
          <w:szCs w:val="24"/>
          <w:lang w:eastAsia="zh-CN"/>
        </w:rPr>
        <w:t>乙方与甲方签署合同时，应与甲方签署保密协议</w:t>
      </w:r>
      <w:r>
        <w:rPr>
          <w:rFonts w:hint="eastAsia" w:ascii="仿宋" w:hAnsi="仿宋" w:eastAsia="仿宋" w:cstheme="minorBidi"/>
          <w:color w:val="auto"/>
          <w:kern w:val="0"/>
          <w:sz w:val="24"/>
          <w:szCs w:val="24"/>
          <w:lang w:val="en-US" w:eastAsia="zh-CN"/>
        </w:rPr>
        <w:t>,乙方服务人员应签署</w:t>
      </w:r>
      <w:r>
        <w:rPr>
          <w:rFonts w:hint="eastAsia" w:ascii="仿宋" w:hAnsi="仿宋" w:eastAsia="仿宋" w:cstheme="minorBidi"/>
          <w:color w:val="auto"/>
          <w:kern w:val="0"/>
          <w:sz w:val="24"/>
          <w:szCs w:val="24"/>
          <w:lang w:eastAsia="zh-CN"/>
        </w:rPr>
        <w:t>保密承诺书</w:t>
      </w:r>
      <w:r>
        <w:rPr>
          <w:rFonts w:ascii="仿宋" w:hAnsi="仿宋" w:eastAsia="仿宋" w:cstheme="minorBidi"/>
          <w:color w:val="auto"/>
          <w:kern w:val="0"/>
          <w:sz w:val="24"/>
          <w:szCs w:val="24"/>
          <w:lang w:eastAsia="zh-CN"/>
        </w:rPr>
        <w:t>。</w:t>
      </w:r>
    </w:p>
    <w:p w14:paraId="5E68950C">
      <w:pPr>
        <w:pStyle w:val="12"/>
        <w:spacing w:line="338" w:lineRule="auto"/>
        <w:ind w:firstLine="480" w:firstLineChars="200"/>
        <w:rPr>
          <w:rFonts w:hint="default" w:ascii="仿宋" w:hAnsi="仿宋" w:eastAsia="仿宋"/>
          <w:color w:val="auto"/>
          <w:sz w:val="24"/>
          <w:szCs w:val="24"/>
          <w:lang w:eastAsia="zh-CN"/>
        </w:rPr>
      </w:pPr>
      <w:r>
        <w:rPr>
          <w:rFonts w:hint="eastAsia" w:ascii="仿宋" w:hAnsi="仿宋" w:eastAsia="仿宋"/>
          <w:color w:val="auto"/>
          <w:sz w:val="24"/>
          <w:szCs w:val="24"/>
          <w:lang w:val="en-US" w:eastAsia="zh-CN"/>
        </w:rPr>
        <w:t>2.</w:t>
      </w:r>
      <w:r>
        <w:rPr>
          <w:rFonts w:ascii="仿宋" w:hAnsi="仿宋" w:eastAsia="仿宋"/>
          <w:color w:val="auto"/>
          <w:sz w:val="24"/>
          <w:szCs w:val="24"/>
          <w:lang w:eastAsia="zh-CN"/>
        </w:rPr>
        <w:t>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F8B750D">
      <w:pPr>
        <w:pStyle w:val="12"/>
        <w:spacing w:line="338" w:lineRule="auto"/>
        <w:ind w:firstLine="480" w:firstLineChars="200"/>
        <w:rPr>
          <w:rFonts w:hint="default" w:ascii="仿宋" w:hAnsi="仿宋" w:eastAsia="仿宋"/>
          <w:color w:val="auto"/>
          <w:sz w:val="24"/>
          <w:szCs w:val="24"/>
          <w:lang w:eastAsia="zh-CN"/>
        </w:rPr>
      </w:pPr>
      <w:r>
        <w:rPr>
          <w:rFonts w:hint="eastAsia" w:ascii="仿宋" w:hAnsi="仿宋" w:eastAsia="仿宋"/>
          <w:color w:val="auto"/>
          <w:sz w:val="24"/>
          <w:szCs w:val="24"/>
          <w:lang w:val="en-US" w:eastAsia="zh-CN"/>
        </w:rPr>
        <w:t>3</w:t>
      </w:r>
      <w:r>
        <w:rPr>
          <w:rFonts w:ascii="仿宋" w:hAnsi="仿宋" w:eastAsia="仿宋"/>
          <w:color w:val="auto"/>
          <w:sz w:val="24"/>
          <w:szCs w:val="24"/>
          <w:lang w:eastAsia="zh-CN"/>
        </w:rPr>
        <w:t>.乙方应采取有效措施对甲方提供的资料和数据实施合乎规定（该类规定包括但不限于相关的保密</w:t>
      </w:r>
      <w:r>
        <w:rPr>
          <w:rFonts w:hint="eastAsia" w:ascii="仿宋" w:hAnsi="仿宋" w:eastAsia="仿宋"/>
          <w:color w:val="auto"/>
          <w:sz w:val="24"/>
          <w:szCs w:val="24"/>
          <w:lang w:eastAsia="zh-CN"/>
        </w:rPr>
        <w:t>法律法规</w:t>
      </w:r>
      <w:r>
        <w:rPr>
          <w:rFonts w:ascii="仿宋" w:hAnsi="仿宋" w:eastAsia="仿宋"/>
          <w:color w:val="auto"/>
          <w:sz w:val="24"/>
          <w:szCs w:val="24"/>
          <w:lang w:eastAsia="zh-CN"/>
        </w:rPr>
        <w:t>、规定、通知等）的保密处理措施，并对此负责；</w:t>
      </w:r>
    </w:p>
    <w:p w14:paraId="27E6A2AE">
      <w:pPr>
        <w:pStyle w:val="12"/>
        <w:spacing w:line="338" w:lineRule="auto"/>
        <w:ind w:firstLine="480" w:firstLineChars="200"/>
        <w:rPr>
          <w:rFonts w:hint="default" w:ascii="仿宋" w:hAnsi="仿宋" w:eastAsia="仿宋"/>
          <w:color w:val="auto"/>
          <w:sz w:val="24"/>
          <w:szCs w:val="24"/>
          <w:lang w:eastAsia="zh-CN"/>
        </w:rPr>
      </w:pPr>
      <w:r>
        <w:rPr>
          <w:rFonts w:hint="eastAsia" w:ascii="仿宋" w:hAnsi="仿宋" w:eastAsia="仿宋"/>
          <w:color w:val="auto"/>
          <w:sz w:val="24"/>
          <w:szCs w:val="24"/>
          <w:lang w:val="en-US" w:eastAsia="zh-CN"/>
        </w:rPr>
        <w:t>4</w:t>
      </w:r>
      <w:r>
        <w:rPr>
          <w:rFonts w:ascii="仿宋" w:hAnsi="仿宋" w:eastAsia="仿宋"/>
          <w:color w:val="auto"/>
          <w:sz w:val="24"/>
          <w:szCs w:val="24"/>
          <w:lang w:eastAsia="zh-CN"/>
        </w:rPr>
        <w:t>.乙方有义务遵守和配合执行甲方的保密管理规定与保密措施，并在项目实施完成后，归还甲方提供的全部资料。</w:t>
      </w:r>
    </w:p>
    <w:p w14:paraId="566F40DB">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四</w:t>
      </w:r>
      <w:r>
        <w:rPr>
          <w:rFonts w:ascii="仿宋" w:hAnsi="仿宋" w:eastAsia="仿宋"/>
          <w:color w:val="auto"/>
          <w:sz w:val="24"/>
          <w:szCs w:val="24"/>
          <w:lang w:eastAsia="zh-CN"/>
        </w:rPr>
        <w:t>、不可抗力</w:t>
      </w:r>
    </w:p>
    <w:p w14:paraId="3E1C2BA4">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1.如果双方中任何一方遭遇法律规定的不可抗力，致使合同履行受阻时，履行合同的期限应予延长，延长的期限应由双方协商确定后达成书面协议；</w:t>
      </w:r>
    </w:p>
    <w:p w14:paraId="79F883C3">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2.受事故影响的一方应在不可抗力的事故发生后尽</w:t>
      </w:r>
      <w:r>
        <w:rPr>
          <w:rFonts w:hint="eastAsia" w:ascii="仿宋" w:hAnsi="仿宋" w:eastAsia="仿宋"/>
          <w:color w:val="auto"/>
          <w:sz w:val="24"/>
          <w:szCs w:val="24"/>
          <w:lang w:eastAsia="zh-CN"/>
        </w:rPr>
        <w:t>快以</w:t>
      </w:r>
      <w:r>
        <w:rPr>
          <w:rFonts w:ascii="仿宋" w:hAnsi="仿宋" w:eastAsia="仿宋"/>
          <w:color w:val="auto"/>
          <w:sz w:val="24"/>
          <w:szCs w:val="24"/>
          <w:lang w:eastAsia="zh-CN"/>
        </w:rPr>
        <w:t>书面形式通知另一方，并在事故发生后5天内，将有关部门出具的证明文件送达另一方；</w:t>
      </w:r>
    </w:p>
    <w:p w14:paraId="26641EB0">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4A04EAFF">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五</w:t>
      </w:r>
      <w:r>
        <w:rPr>
          <w:rFonts w:ascii="仿宋" w:hAnsi="仿宋" w:eastAsia="仿宋"/>
          <w:color w:val="auto"/>
          <w:sz w:val="24"/>
          <w:szCs w:val="24"/>
        </w:rPr>
        <w:t>、解决</w:t>
      </w:r>
      <w:r>
        <w:rPr>
          <w:rFonts w:ascii="仿宋" w:hAnsi="仿宋" w:eastAsia="仿宋"/>
          <w:color w:val="auto"/>
          <w:sz w:val="24"/>
          <w:szCs w:val="24"/>
          <w:lang w:eastAsia="zh-CN"/>
        </w:rPr>
        <w:t>合同</w:t>
      </w:r>
      <w:r>
        <w:rPr>
          <w:rFonts w:ascii="仿宋" w:hAnsi="仿宋" w:eastAsia="仿宋"/>
          <w:color w:val="auto"/>
          <w:sz w:val="24"/>
          <w:szCs w:val="24"/>
        </w:rPr>
        <w:t>纠纷的方式</w:t>
      </w:r>
    </w:p>
    <w:p w14:paraId="24109E85">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1.在执行本</w:t>
      </w:r>
      <w:r>
        <w:rPr>
          <w:rFonts w:ascii="仿宋" w:hAnsi="仿宋" w:eastAsia="仿宋"/>
          <w:color w:val="auto"/>
          <w:sz w:val="24"/>
          <w:szCs w:val="24"/>
          <w:lang w:eastAsia="zh-CN"/>
        </w:rPr>
        <w:t>合同</w:t>
      </w:r>
      <w:r>
        <w:rPr>
          <w:rFonts w:ascii="仿宋" w:hAnsi="仿宋" w:eastAsia="仿宋"/>
          <w:color w:val="auto"/>
          <w:sz w:val="24"/>
          <w:szCs w:val="24"/>
        </w:rPr>
        <w:t>中发生的或与本</w:t>
      </w:r>
      <w:r>
        <w:rPr>
          <w:rFonts w:ascii="仿宋" w:hAnsi="仿宋" w:eastAsia="仿宋"/>
          <w:color w:val="auto"/>
          <w:sz w:val="24"/>
          <w:szCs w:val="24"/>
          <w:lang w:eastAsia="zh-CN"/>
        </w:rPr>
        <w:t>合同</w:t>
      </w:r>
      <w:r>
        <w:rPr>
          <w:rFonts w:ascii="仿宋" w:hAnsi="仿宋" w:eastAsia="仿宋"/>
          <w:color w:val="auto"/>
          <w:sz w:val="24"/>
          <w:szCs w:val="24"/>
        </w:rPr>
        <w:t>有关的争端，双方应通过友好协商解决，协商不成，则采取以下第1种方式解决争议：</w:t>
      </w:r>
    </w:p>
    <w:p w14:paraId="39935D75">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（1）向甲方所在地有管辖权的人民法院提起诉讼；</w:t>
      </w:r>
    </w:p>
    <w:p w14:paraId="57E891C2">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（2）向陕西仲裁委员会按其仲裁规则申请仲裁。</w:t>
      </w:r>
    </w:p>
    <w:p w14:paraId="23BE70CB">
      <w:pPr>
        <w:pStyle w:val="12"/>
        <w:spacing w:line="338" w:lineRule="auto"/>
        <w:ind w:left="479" w:leftChars="228"/>
        <w:rPr>
          <w:rFonts w:hint="default" w:ascii="仿宋" w:hAnsi="仿宋" w:eastAsia="仿宋"/>
          <w:color w:val="auto"/>
          <w:sz w:val="24"/>
          <w:szCs w:val="24"/>
        </w:rPr>
      </w:pPr>
      <w:r>
        <w:rPr>
          <w:rFonts w:ascii="仿宋" w:hAnsi="仿宋" w:eastAsia="仿宋"/>
          <w:color w:val="auto"/>
          <w:sz w:val="24"/>
          <w:szCs w:val="24"/>
        </w:rPr>
        <w:t>2.在诉讼仲裁期间，本</w:t>
      </w:r>
      <w:r>
        <w:rPr>
          <w:rFonts w:ascii="仿宋" w:hAnsi="仿宋" w:eastAsia="仿宋"/>
          <w:color w:val="auto"/>
          <w:sz w:val="24"/>
          <w:szCs w:val="24"/>
          <w:lang w:eastAsia="zh-CN"/>
        </w:rPr>
        <w:t>合同</w:t>
      </w:r>
      <w:r>
        <w:rPr>
          <w:rFonts w:ascii="仿宋" w:hAnsi="仿宋" w:eastAsia="仿宋"/>
          <w:color w:val="auto"/>
          <w:sz w:val="24"/>
          <w:szCs w:val="24"/>
        </w:rPr>
        <w:t>应继续履行。</w:t>
      </w:r>
    </w:p>
    <w:p w14:paraId="456B3158">
      <w:pPr>
        <w:pStyle w:val="12"/>
        <w:spacing w:line="338" w:lineRule="auto"/>
        <w:ind w:left="479" w:leftChars="228"/>
        <w:rPr>
          <w:rFonts w:hint="default" w:ascii="仿宋" w:hAnsi="仿宋" w:eastAsia="仿宋"/>
          <w:color w:val="auto"/>
          <w:sz w:val="24"/>
          <w:szCs w:val="24"/>
        </w:rPr>
      </w:pPr>
      <w:r>
        <w:rPr>
          <w:rFonts w:ascii="仿宋" w:hAnsi="仿宋" w:eastAsia="仿宋"/>
          <w:color w:val="auto"/>
          <w:sz w:val="24"/>
          <w:szCs w:val="24"/>
        </w:rPr>
        <w:t>十</w:t>
      </w:r>
      <w:r>
        <w:rPr>
          <w:rFonts w:hint="eastAsia" w:ascii="仿宋" w:hAnsi="仿宋" w:eastAsia="仿宋"/>
          <w:color w:val="auto"/>
          <w:sz w:val="24"/>
          <w:szCs w:val="24"/>
          <w:lang w:val="en-US" w:eastAsia="zh-CN"/>
        </w:rPr>
        <w:t>六</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生效及其他</w:t>
      </w:r>
    </w:p>
    <w:p w14:paraId="49EF3026">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rPr>
        <w:t>1.本</w:t>
      </w:r>
      <w:r>
        <w:rPr>
          <w:rFonts w:ascii="仿宋" w:hAnsi="仿宋" w:eastAsia="仿宋"/>
          <w:color w:val="auto"/>
          <w:sz w:val="24"/>
          <w:szCs w:val="24"/>
          <w:lang w:eastAsia="zh-CN"/>
        </w:rPr>
        <w:t>合同</w:t>
      </w:r>
      <w:r>
        <w:rPr>
          <w:rFonts w:ascii="仿宋" w:hAnsi="仿宋" w:eastAsia="仿宋"/>
          <w:color w:val="auto"/>
          <w:sz w:val="24"/>
          <w:szCs w:val="24"/>
        </w:rPr>
        <w:t>经双方法定代表人或授权代表签字或签章，并加盖双方公章后生效，一式</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 xml:space="preserve"> </w:t>
      </w:r>
      <w:r>
        <w:rPr>
          <w:rFonts w:ascii="仿宋" w:hAnsi="仿宋" w:eastAsia="仿宋"/>
          <w:color w:val="auto"/>
          <w:sz w:val="24"/>
          <w:szCs w:val="24"/>
        </w:rPr>
        <w:t>份，甲方执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份，乙方执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份，对双方均具有同等法律效力。</w:t>
      </w:r>
    </w:p>
    <w:p w14:paraId="0F81C011">
      <w:pPr>
        <w:pStyle w:val="12"/>
        <w:spacing w:line="338" w:lineRule="auto"/>
        <w:ind w:firstLine="480" w:firstLineChars="200"/>
        <w:rPr>
          <w:rFonts w:hint="default" w:ascii="仿宋" w:hAnsi="仿宋" w:eastAsia="仿宋"/>
          <w:color w:val="auto"/>
          <w:sz w:val="24"/>
          <w:szCs w:val="24"/>
          <w:lang w:eastAsia="zh-CN"/>
        </w:rPr>
      </w:pPr>
      <w:r>
        <w:rPr>
          <w:rFonts w:ascii="仿宋" w:hAnsi="仿宋" w:eastAsia="仿宋"/>
          <w:color w:val="auto"/>
          <w:sz w:val="24"/>
          <w:szCs w:val="24"/>
          <w:lang w:eastAsia="zh-CN"/>
        </w:rPr>
        <w:t>2.</w:t>
      </w:r>
      <w:r>
        <w:rPr>
          <w:rFonts w:ascii="仿宋" w:hAnsi="仿宋" w:eastAsia="仿宋"/>
          <w:color w:val="auto"/>
          <w:sz w:val="24"/>
          <w:szCs w:val="24"/>
        </w:rPr>
        <w:t>本</w:t>
      </w:r>
      <w:r>
        <w:rPr>
          <w:rFonts w:ascii="仿宋" w:hAnsi="仿宋" w:eastAsia="仿宋"/>
          <w:color w:val="auto"/>
          <w:sz w:val="24"/>
          <w:szCs w:val="24"/>
          <w:lang w:eastAsia="zh-CN"/>
        </w:rPr>
        <w:t>合同</w:t>
      </w:r>
      <w:r>
        <w:rPr>
          <w:rFonts w:ascii="仿宋" w:hAnsi="仿宋" w:eastAsia="仿宋"/>
          <w:color w:val="auto"/>
          <w:sz w:val="24"/>
          <w:szCs w:val="24"/>
        </w:rPr>
        <w:t>附件、项目</w:t>
      </w:r>
      <w:r>
        <w:rPr>
          <w:rFonts w:ascii="仿宋" w:hAnsi="仿宋" w:eastAsia="仿宋"/>
          <w:color w:val="auto"/>
          <w:sz w:val="24"/>
          <w:szCs w:val="24"/>
          <w:lang w:eastAsia="zh-CN"/>
        </w:rPr>
        <w:t>招标</w:t>
      </w:r>
      <w:r>
        <w:rPr>
          <w:rFonts w:ascii="仿宋" w:hAnsi="仿宋" w:eastAsia="仿宋"/>
          <w:color w:val="auto"/>
          <w:sz w:val="24"/>
          <w:szCs w:val="24"/>
        </w:rPr>
        <w:t>文件、乙方对本项目的响应文件为本</w:t>
      </w:r>
      <w:r>
        <w:rPr>
          <w:rFonts w:ascii="仿宋" w:hAnsi="仿宋" w:eastAsia="仿宋"/>
          <w:color w:val="auto"/>
          <w:sz w:val="24"/>
          <w:szCs w:val="24"/>
          <w:lang w:eastAsia="zh-CN"/>
        </w:rPr>
        <w:t>合同</w:t>
      </w:r>
      <w:r>
        <w:rPr>
          <w:rFonts w:ascii="仿宋" w:hAnsi="仿宋" w:eastAsia="仿宋"/>
          <w:color w:val="auto"/>
          <w:sz w:val="24"/>
          <w:szCs w:val="24"/>
        </w:rPr>
        <w:t>的组成部分，具有与本</w:t>
      </w:r>
      <w:r>
        <w:rPr>
          <w:rFonts w:ascii="仿宋" w:hAnsi="仿宋" w:eastAsia="仿宋"/>
          <w:color w:val="auto"/>
          <w:sz w:val="24"/>
          <w:szCs w:val="24"/>
          <w:lang w:eastAsia="zh-CN"/>
        </w:rPr>
        <w:t>合同</w:t>
      </w:r>
      <w:r>
        <w:rPr>
          <w:rFonts w:ascii="仿宋" w:hAnsi="仿宋" w:eastAsia="仿宋"/>
          <w:color w:val="auto"/>
          <w:sz w:val="24"/>
          <w:szCs w:val="24"/>
        </w:rPr>
        <w:t>同等的法律效力；当以上文件出现不一致的情况时，解读顺序为本</w:t>
      </w:r>
      <w:r>
        <w:rPr>
          <w:rFonts w:ascii="仿宋" w:hAnsi="仿宋" w:eastAsia="仿宋"/>
          <w:color w:val="auto"/>
          <w:sz w:val="24"/>
          <w:szCs w:val="24"/>
          <w:lang w:eastAsia="zh-CN"/>
        </w:rPr>
        <w:t>合同</w:t>
      </w:r>
      <w:r>
        <w:rPr>
          <w:rFonts w:ascii="仿宋" w:hAnsi="仿宋" w:eastAsia="仿宋"/>
          <w:color w:val="auto"/>
          <w:sz w:val="24"/>
          <w:szCs w:val="24"/>
        </w:rPr>
        <w:t>、</w:t>
      </w:r>
      <w:r>
        <w:rPr>
          <w:rFonts w:ascii="仿宋" w:hAnsi="仿宋" w:eastAsia="仿宋"/>
          <w:color w:val="auto"/>
          <w:sz w:val="24"/>
          <w:szCs w:val="24"/>
          <w:lang w:eastAsia="zh-CN"/>
        </w:rPr>
        <w:t>招标</w:t>
      </w:r>
      <w:r>
        <w:rPr>
          <w:rFonts w:ascii="仿宋" w:hAnsi="仿宋" w:eastAsia="仿宋"/>
          <w:color w:val="auto"/>
          <w:sz w:val="24"/>
          <w:szCs w:val="24"/>
        </w:rPr>
        <w:t>文件、响应文件</w:t>
      </w:r>
      <w:r>
        <w:rPr>
          <w:rFonts w:ascii="仿宋" w:hAnsi="仿宋" w:eastAsia="仿宋"/>
          <w:color w:val="auto"/>
          <w:sz w:val="24"/>
          <w:szCs w:val="24"/>
          <w:lang w:eastAsia="zh-CN"/>
        </w:rPr>
        <w:t>。</w:t>
      </w:r>
    </w:p>
    <w:p w14:paraId="25FE60EF">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本</w:t>
      </w:r>
      <w:r>
        <w:rPr>
          <w:rFonts w:ascii="仿宋" w:hAnsi="仿宋" w:eastAsia="仿宋"/>
          <w:color w:val="auto"/>
          <w:sz w:val="24"/>
          <w:szCs w:val="24"/>
          <w:lang w:eastAsia="zh-CN"/>
        </w:rPr>
        <w:t>合同</w:t>
      </w:r>
      <w:r>
        <w:rPr>
          <w:rFonts w:ascii="仿宋" w:hAnsi="仿宋" w:eastAsia="仿宋"/>
          <w:color w:val="auto"/>
          <w:sz w:val="24"/>
          <w:szCs w:val="24"/>
        </w:rPr>
        <w:t>未尽事宜，由</w:t>
      </w:r>
      <w:r>
        <w:rPr>
          <w:rFonts w:ascii="仿宋" w:hAnsi="仿宋" w:eastAsia="仿宋"/>
          <w:color w:val="auto"/>
          <w:sz w:val="24"/>
          <w:szCs w:val="24"/>
          <w:lang w:eastAsia="zh-CN"/>
        </w:rPr>
        <w:t>合同</w:t>
      </w:r>
      <w:r>
        <w:rPr>
          <w:rFonts w:ascii="仿宋" w:hAnsi="仿宋" w:eastAsia="仿宋"/>
          <w:color w:val="auto"/>
          <w:sz w:val="24"/>
          <w:szCs w:val="24"/>
        </w:rPr>
        <w:t>双方协商另行签订补充</w:t>
      </w:r>
      <w:r>
        <w:rPr>
          <w:rFonts w:ascii="仿宋" w:hAnsi="仿宋" w:eastAsia="仿宋"/>
          <w:color w:val="auto"/>
          <w:sz w:val="24"/>
          <w:szCs w:val="24"/>
          <w:lang w:eastAsia="zh-CN"/>
        </w:rPr>
        <w:t>合同</w:t>
      </w:r>
      <w:r>
        <w:rPr>
          <w:rFonts w:ascii="仿宋" w:hAnsi="仿宋" w:eastAsia="仿宋"/>
          <w:color w:val="auto"/>
          <w:sz w:val="24"/>
          <w:szCs w:val="24"/>
        </w:rPr>
        <w:t>，补充</w:t>
      </w:r>
      <w:r>
        <w:rPr>
          <w:rFonts w:ascii="仿宋" w:hAnsi="仿宋" w:eastAsia="仿宋"/>
          <w:color w:val="auto"/>
          <w:sz w:val="24"/>
          <w:szCs w:val="24"/>
          <w:lang w:eastAsia="zh-CN"/>
        </w:rPr>
        <w:t>合同</w:t>
      </w:r>
      <w:r>
        <w:rPr>
          <w:rFonts w:ascii="仿宋" w:hAnsi="仿宋" w:eastAsia="仿宋"/>
          <w:color w:val="auto"/>
          <w:sz w:val="24"/>
          <w:szCs w:val="24"/>
        </w:rPr>
        <w:t>与本</w:t>
      </w:r>
      <w:r>
        <w:rPr>
          <w:rFonts w:ascii="仿宋" w:hAnsi="仿宋" w:eastAsia="仿宋"/>
          <w:color w:val="auto"/>
          <w:sz w:val="24"/>
          <w:szCs w:val="24"/>
          <w:lang w:eastAsia="zh-CN"/>
        </w:rPr>
        <w:t>合同</w:t>
      </w:r>
      <w:r>
        <w:rPr>
          <w:rFonts w:ascii="仿宋" w:hAnsi="仿宋" w:eastAsia="仿宋"/>
          <w:color w:val="auto"/>
          <w:sz w:val="24"/>
          <w:szCs w:val="24"/>
        </w:rPr>
        <w:t>具有同等法律效力。</w:t>
      </w:r>
    </w:p>
    <w:p w14:paraId="74F12B30">
      <w:pPr>
        <w:pStyle w:val="12"/>
        <w:spacing w:line="338" w:lineRule="auto"/>
        <w:ind w:firstLine="480" w:firstLineChars="200"/>
        <w:rPr>
          <w:rFonts w:hint="default"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.除本</w:t>
      </w:r>
      <w:r>
        <w:rPr>
          <w:rFonts w:ascii="仿宋" w:hAnsi="仿宋" w:eastAsia="仿宋"/>
          <w:color w:val="auto"/>
          <w:sz w:val="24"/>
          <w:szCs w:val="24"/>
          <w:lang w:eastAsia="zh-CN"/>
        </w:rPr>
        <w:t>合同</w:t>
      </w:r>
      <w:r>
        <w:rPr>
          <w:rFonts w:ascii="仿宋" w:hAnsi="仿宋" w:eastAsia="仿宋"/>
          <w:color w:val="auto"/>
          <w:sz w:val="24"/>
          <w:szCs w:val="24"/>
        </w:rPr>
        <w:t>另有约定外，本</w:t>
      </w:r>
      <w:r>
        <w:rPr>
          <w:rFonts w:ascii="仿宋" w:hAnsi="仿宋" w:eastAsia="仿宋"/>
          <w:color w:val="auto"/>
          <w:sz w:val="24"/>
          <w:szCs w:val="24"/>
          <w:lang w:eastAsia="zh-CN"/>
        </w:rPr>
        <w:t>合同</w:t>
      </w:r>
      <w:r>
        <w:rPr>
          <w:rFonts w:ascii="仿宋" w:hAnsi="仿宋" w:eastAsia="仿宋"/>
          <w:color w:val="auto"/>
          <w:sz w:val="24"/>
          <w:szCs w:val="24"/>
        </w:rPr>
        <w:t>一经签订，任何一方不得单方变更或解除。</w:t>
      </w:r>
      <w:r>
        <w:rPr>
          <w:rFonts w:ascii="仿宋" w:hAnsi="仿宋" w:eastAsia="仿宋"/>
          <w:color w:val="auto"/>
          <w:sz w:val="24"/>
          <w:szCs w:val="24"/>
          <w:lang w:eastAsia="zh-CN"/>
        </w:rPr>
        <w:t>合同</w:t>
      </w:r>
      <w:r>
        <w:rPr>
          <w:rFonts w:ascii="仿宋" w:hAnsi="仿宋" w:eastAsia="仿宋"/>
          <w:color w:val="auto"/>
          <w:sz w:val="24"/>
          <w:szCs w:val="24"/>
        </w:rPr>
        <w:t>变更或解除须经双方协商一致并书面确认后作为</w:t>
      </w:r>
      <w:r>
        <w:rPr>
          <w:rFonts w:ascii="仿宋" w:hAnsi="仿宋" w:eastAsia="仿宋"/>
          <w:color w:val="auto"/>
          <w:sz w:val="24"/>
          <w:szCs w:val="24"/>
          <w:lang w:eastAsia="zh-CN"/>
        </w:rPr>
        <w:t>合同</w:t>
      </w:r>
      <w:r>
        <w:rPr>
          <w:rFonts w:ascii="仿宋" w:hAnsi="仿宋" w:eastAsia="仿宋"/>
          <w:color w:val="auto"/>
          <w:sz w:val="24"/>
          <w:szCs w:val="24"/>
        </w:rPr>
        <w:t>附件，与本</w:t>
      </w:r>
      <w:r>
        <w:rPr>
          <w:rFonts w:ascii="仿宋" w:hAnsi="仿宋" w:eastAsia="仿宋"/>
          <w:color w:val="auto"/>
          <w:sz w:val="24"/>
          <w:szCs w:val="24"/>
          <w:lang w:eastAsia="zh-CN"/>
        </w:rPr>
        <w:t>合同</w:t>
      </w:r>
      <w:r>
        <w:rPr>
          <w:rFonts w:ascii="仿宋" w:hAnsi="仿宋" w:eastAsia="仿宋"/>
          <w:color w:val="auto"/>
          <w:sz w:val="24"/>
          <w:szCs w:val="24"/>
        </w:rPr>
        <w:t>具有同等法律效力。</w:t>
      </w:r>
    </w:p>
    <w:p w14:paraId="403BB2FA">
      <w:pPr>
        <w:pStyle w:val="12"/>
        <w:spacing w:line="338" w:lineRule="auto"/>
        <w:ind w:firstLine="960"/>
        <w:rPr>
          <w:rFonts w:ascii="仿宋" w:hAnsi="仿宋" w:eastAsia="仿宋"/>
          <w:color w:val="auto"/>
          <w:sz w:val="24"/>
          <w:szCs w:val="24"/>
        </w:rPr>
      </w:pPr>
    </w:p>
    <w:tbl>
      <w:tblPr>
        <w:tblStyle w:val="7"/>
        <w:tblW w:w="8392" w:type="dxa"/>
        <w:jc w:val="center"/>
        <w:tblLayout w:type="fixed"/>
        <w:tblCellMar>
          <w:top w:w="28" w:type="dxa"/>
          <w:left w:w="57" w:type="dxa"/>
          <w:bottom w:w="28" w:type="dxa"/>
          <w:right w:w="57" w:type="dxa"/>
        </w:tblCellMar>
      </w:tblPr>
      <w:tblGrid>
        <w:gridCol w:w="4196"/>
        <w:gridCol w:w="4196"/>
      </w:tblGrid>
      <w:tr w14:paraId="2873A1DB">
        <w:tblPrEx>
          <w:tblCellMar>
            <w:top w:w="28" w:type="dxa"/>
            <w:left w:w="57" w:type="dxa"/>
            <w:bottom w:w="28" w:type="dxa"/>
            <w:right w:w="57" w:type="dxa"/>
          </w:tblCellMar>
        </w:tblPrEx>
        <w:trPr>
          <w:trHeight w:val="5373" w:hRule="atLeast"/>
          <w:jc w:val="center"/>
        </w:trPr>
        <w:tc>
          <w:tcPr>
            <w:tcW w:w="4196" w:type="dxa"/>
            <w:tcMar>
              <w:top w:w="113" w:type="dxa"/>
              <w:left w:w="340" w:type="dxa"/>
              <w:bottom w:w="113" w:type="dxa"/>
              <w:right w:w="340" w:type="dxa"/>
            </w:tcMar>
          </w:tcPr>
          <w:p w14:paraId="2EC9B599">
            <w:pPr>
              <w:autoSpaceDE w:val="0"/>
              <w:autoSpaceDN w:val="0"/>
              <w:spacing w:line="440" w:lineRule="exac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lang w:eastAsia="zh-CN"/>
              </w:rPr>
              <w:t>陕西省人民检察院</w:t>
            </w:r>
          </w:p>
          <w:p w14:paraId="75CB3974">
            <w:pPr>
              <w:autoSpaceDE w:val="0"/>
              <w:autoSpaceDN w:val="0"/>
              <w:spacing w:line="44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lang w:eastAsia="zh-CN"/>
              </w:rPr>
              <w:t>西安市西新街</w:t>
            </w:r>
            <w:r>
              <w:rPr>
                <w:rFonts w:hint="eastAsia" w:ascii="宋体" w:hAnsi="宋体" w:eastAsia="宋体" w:cs="宋体"/>
                <w:color w:val="auto"/>
                <w:kern w:val="0"/>
                <w:sz w:val="24"/>
                <w:szCs w:val="24"/>
                <w:highlight w:val="none"/>
                <w:lang w:val="en-US" w:eastAsia="zh-CN"/>
              </w:rPr>
              <w:t>1号</w:t>
            </w:r>
          </w:p>
          <w:p w14:paraId="7124DD60">
            <w:pPr>
              <w:autoSpaceDE w:val="0"/>
              <w:autoSpaceDN w:val="0"/>
              <w:spacing w:line="44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lang w:val="en-US" w:eastAsia="zh-CN"/>
              </w:rPr>
              <w:t>029-87398120</w:t>
            </w:r>
          </w:p>
          <w:p w14:paraId="589D9A34">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p w14:paraId="0BA3B759">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编：</w:t>
            </w:r>
          </w:p>
          <w:p w14:paraId="093921AB">
            <w:pPr>
              <w:autoSpaceDE w:val="0"/>
              <w:autoSpaceDN w:val="0"/>
              <w:spacing w:line="440" w:lineRule="exact"/>
              <w:rPr>
                <w:rFonts w:hint="eastAsia" w:ascii="宋体" w:hAnsi="宋体" w:eastAsia="宋体" w:cs="宋体"/>
                <w:color w:val="auto"/>
                <w:kern w:val="0"/>
                <w:sz w:val="24"/>
                <w:szCs w:val="24"/>
                <w:highlight w:val="none"/>
              </w:rPr>
            </w:pPr>
          </w:p>
          <w:p w14:paraId="1D16A629">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代表签字：</w:t>
            </w:r>
          </w:p>
          <w:p w14:paraId="0259351A">
            <w:pPr>
              <w:autoSpaceDE w:val="0"/>
              <w:autoSpaceDN w:val="0"/>
              <w:spacing w:line="440" w:lineRule="exact"/>
              <w:rPr>
                <w:rFonts w:hint="eastAsia" w:ascii="宋体" w:hAnsi="宋体" w:eastAsia="宋体" w:cs="宋体"/>
                <w:color w:val="auto"/>
                <w:kern w:val="0"/>
                <w:sz w:val="24"/>
                <w:szCs w:val="24"/>
                <w:highlight w:val="none"/>
              </w:rPr>
            </w:pPr>
          </w:p>
          <w:p w14:paraId="260E25BA">
            <w:pPr>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spacing w:val="7"/>
                <w:kern w:val="0"/>
                <w:sz w:val="24"/>
                <w:szCs w:val="24"/>
                <w:highlight w:val="none"/>
                <w:lang w:eastAsia="zh-CN"/>
              </w:rPr>
              <w:t>甲</w:t>
            </w:r>
            <w:r>
              <w:rPr>
                <w:rFonts w:hint="eastAsia" w:ascii="宋体" w:hAnsi="宋体" w:eastAsia="宋体" w:cs="宋体"/>
                <w:color w:val="auto"/>
                <w:spacing w:val="7"/>
                <w:kern w:val="0"/>
                <w:sz w:val="24"/>
                <w:szCs w:val="24"/>
                <w:highlight w:val="none"/>
                <w:lang w:val="en-US" w:eastAsia="zh-CN"/>
              </w:rPr>
              <w:t xml:space="preserve"> </w:t>
            </w:r>
            <w:r>
              <w:rPr>
                <w:rFonts w:hint="eastAsia" w:ascii="宋体" w:hAnsi="宋体" w:eastAsia="宋体" w:cs="宋体"/>
                <w:color w:val="auto"/>
                <w:spacing w:val="7"/>
                <w:kern w:val="0"/>
                <w:sz w:val="24"/>
                <w:szCs w:val="24"/>
                <w:highlight w:val="none"/>
                <w:lang w:eastAsia="zh-CN"/>
              </w:rPr>
              <w:t>方</w:t>
            </w:r>
            <w:r>
              <w:rPr>
                <w:rFonts w:hint="eastAsia" w:ascii="宋体" w:hAnsi="宋体" w:eastAsia="宋体" w:cs="宋体"/>
                <w:color w:val="auto"/>
                <w:spacing w:val="7"/>
                <w:kern w:val="0"/>
                <w:sz w:val="24"/>
                <w:szCs w:val="24"/>
                <w:highlight w:val="none"/>
              </w:rPr>
              <w:t xml:space="preserve"> 盖 章</w:t>
            </w:r>
            <w:r>
              <w:rPr>
                <w:rFonts w:hint="eastAsia" w:ascii="宋体" w:hAnsi="宋体" w:eastAsia="宋体" w:cs="宋体"/>
                <w:color w:val="auto"/>
                <w:kern w:val="0"/>
                <w:sz w:val="24"/>
                <w:szCs w:val="24"/>
                <w:highlight w:val="none"/>
              </w:rPr>
              <w:t>：</w:t>
            </w:r>
          </w:p>
        </w:tc>
        <w:tc>
          <w:tcPr>
            <w:tcW w:w="4196" w:type="dxa"/>
          </w:tcPr>
          <w:p w14:paraId="27EDA931">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名称：</w:t>
            </w:r>
          </w:p>
          <w:p w14:paraId="3AC364E5">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地址：</w:t>
            </w:r>
          </w:p>
          <w:p w14:paraId="2BE0C685">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p>
          <w:p w14:paraId="755D8F73">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p w14:paraId="2AAC4356">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编：</w:t>
            </w:r>
          </w:p>
          <w:p w14:paraId="62038570">
            <w:pPr>
              <w:autoSpaceDE w:val="0"/>
              <w:autoSpaceDN w:val="0"/>
              <w:spacing w:line="440" w:lineRule="exact"/>
              <w:rPr>
                <w:rFonts w:hint="eastAsia" w:ascii="宋体" w:hAnsi="宋体" w:eastAsia="宋体" w:cs="宋体"/>
                <w:color w:val="auto"/>
                <w:kern w:val="0"/>
                <w:sz w:val="24"/>
                <w:szCs w:val="24"/>
                <w:highlight w:val="none"/>
                <w:lang w:eastAsia="zh-CN"/>
              </w:rPr>
            </w:pPr>
          </w:p>
          <w:p w14:paraId="192D6723">
            <w:pPr>
              <w:autoSpaceDE w:val="0"/>
              <w:autoSpaceDN w:val="0"/>
              <w:spacing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代表签字：</w:t>
            </w:r>
          </w:p>
          <w:p w14:paraId="1B277F8B">
            <w:pPr>
              <w:autoSpaceDE w:val="0"/>
              <w:autoSpaceDN w:val="0"/>
              <w:spacing w:line="440" w:lineRule="exact"/>
              <w:ind w:firstLine="240" w:firstLineChars="100"/>
              <w:rPr>
                <w:rFonts w:hint="eastAsia" w:ascii="宋体" w:hAnsi="宋体" w:eastAsia="宋体" w:cs="宋体"/>
                <w:color w:val="auto"/>
                <w:kern w:val="0"/>
                <w:sz w:val="24"/>
                <w:szCs w:val="24"/>
                <w:highlight w:val="none"/>
              </w:rPr>
            </w:pPr>
          </w:p>
          <w:p w14:paraId="09C5EFFC">
            <w:pPr>
              <w:spacing w:line="440" w:lineRule="exact"/>
              <w:rPr>
                <w:rFonts w:hint="eastAsia" w:ascii="宋体" w:hAnsi="宋体" w:eastAsia="宋体" w:cs="宋体"/>
                <w:b/>
                <w:color w:val="auto"/>
                <w:sz w:val="24"/>
                <w:szCs w:val="24"/>
                <w:highlight w:val="none"/>
              </w:rPr>
            </w:pPr>
            <w:r>
              <w:rPr>
                <w:rFonts w:hint="eastAsia" w:ascii="宋体" w:hAnsi="宋体" w:eastAsia="宋体" w:cs="宋体"/>
                <w:color w:val="auto"/>
                <w:spacing w:val="7"/>
                <w:kern w:val="0"/>
                <w:sz w:val="24"/>
                <w:szCs w:val="24"/>
                <w:highlight w:val="none"/>
                <w:lang w:val="en-US" w:eastAsia="zh-CN"/>
              </w:rPr>
              <w:t xml:space="preserve">乙 </w:t>
            </w:r>
            <w:r>
              <w:rPr>
                <w:rFonts w:hint="eastAsia" w:ascii="宋体" w:hAnsi="宋体" w:eastAsia="宋体" w:cs="宋体"/>
                <w:color w:val="auto"/>
                <w:spacing w:val="7"/>
                <w:kern w:val="0"/>
                <w:sz w:val="24"/>
                <w:szCs w:val="24"/>
                <w:highlight w:val="none"/>
                <w:lang w:eastAsia="zh-CN"/>
              </w:rPr>
              <w:t>方</w:t>
            </w:r>
            <w:r>
              <w:rPr>
                <w:rFonts w:hint="eastAsia" w:ascii="宋体" w:hAnsi="宋体" w:eastAsia="宋体" w:cs="宋体"/>
                <w:color w:val="auto"/>
                <w:spacing w:val="7"/>
                <w:kern w:val="0"/>
                <w:sz w:val="24"/>
                <w:szCs w:val="24"/>
                <w:highlight w:val="none"/>
              </w:rPr>
              <w:t xml:space="preserve"> 盖 章</w:t>
            </w:r>
            <w:r>
              <w:rPr>
                <w:rFonts w:hint="eastAsia" w:ascii="宋体" w:hAnsi="宋体" w:eastAsia="宋体" w:cs="宋体"/>
                <w:color w:val="auto"/>
                <w:kern w:val="0"/>
                <w:sz w:val="24"/>
                <w:szCs w:val="24"/>
                <w:highlight w:val="none"/>
              </w:rPr>
              <w:t>：</w:t>
            </w:r>
          </w:p>
        </w:tc>
      </w:tr>
    </w:tbl>
    <w:p w14:paraId="72C0684E">
      <w:pPr>
        <w:pStyle w:val="12"/>
        <w:rPr>
          <w:rFonts w:hint="default"/>
          <w:color w:val="auto"/>
        </w:rPr>
      </w:pPr>
    </w:p>
    <w:p w14:paraId="292DDBA7">
      <w:pPr>
        <w:pStyle w:val="12"/>
        <w:rPr>
          <w:color w:val="auto"/>
        </w:rPr>
      </w:pPr>
    </w:p>
    <w:p w14:paraId="36B6DC73">
      <w:pPr>
        <w:pStyle w:val="12"/>
        <w:rPr>
          <w:rFonts w:hint="eastAsia"/>
          <w:color w:val="auto"/>
          <w:lang w:val="en-US" w:eastAsia="zh-Hans"/>
        </w:rPr>
      </w:pPr>
    </w:p>
    <w:p w14:paraId="235B035D">
      <w:pPr>
        <w:spacing w:line="440" w:lineRule="exact"/>
        <w:jc w:val="center"/>
        <w:rPr>
          <w:rFonts w:hint="eastAsia" w:asciiTheme="minorEastAsia" w:hAnsiTheme="minorEastAsia" w:eastAsiaTheme="minorEastAsia" w:cstheme="minorEastAsia"/>
          <w:b/>
          <w:color w:val="auto"/>
          <w:sz w:val="32"/>
          <w:szCs w:val="32"/>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0ECB33B7"/>
    <w:rsid w:val="0F4967F3"/>
    <w:rsid w:val="10BF0E95"/>
    <w:rsid w:val="1B1C5874"/>
    <w:rsid w:val="1E502434"/>
    <w:rsid w:val="236B26A5"/>
    <w:rsid w:val="28695261"/>
    <w:rsid w:val="2AC60A5D"/>
    <w:rsid w:val="38AB375F"/>
    <w:rsid w:val="3EBD6CAB"/>
    <w:rsid w:val="42D722D4"/>
    <w:rsid w:val="4C8F20EA"/>
    <w:rsid w:val="56B476BB"/>
    <w:rsid w:val="5B09245A"/>
    <w:rsid w:val="5E611A65"/>
    <w:rsid w:val="66917E24"/>
    <w:rsid w:val="6FA54153"/>
    <w:rsid w:val="708C1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next w:val="1"/>
    <w:qFormat/>
    <w:uiPriority w:val="0"/>
    <w:pPr>
      <w:tabs>
        <w:tab w:val="left" w:pos="4900"/>
      </w:tabs>
      <w:ind w:firstLine="42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oc 11"/>
    <w:next w:val="1"/>
    <w:autoRedefine/>
    <w:qFormat/>
    <w:uiPriority w:val="0"/>
    <w:pPr>
      <w:wordWrap w:val="0"/>
      <w:jc w:val="both"/>
    </w:pPr>
    <w:rPr>
      <w:rFonts w:ascii="宋体" w:hAnsi="宋体" w:eastAsia="宋体" w:cs="宋体"/>
      <w:sz w:val="21"/>
      <w:szCs w:val="22"/>
      <w:lang w:val="en-US" w:eastAsia="zh-CN" w:bidi="ar-SA"/>
    </w:rPr>
  </w:style>
  <w:style w:type="paragraph" w:customStyle="1" w:styleId="11">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3">
    <w:name w:val="首行缩进"/>
    <w:basedOn w:val="1"/>
    <w:qFormat/>
    <w:uiPriority w:val="0"/>
    <w:pPr>
      <w:ind w:firstLine="480" w:firstLineChars="200"/>
    </w:pPr>
    <w:rPr>
      <w:rFonts w:ascii="Calibri" w:hAnsi="Calibri"/>
      <w:lang w:val="zh-CN"/>
    </w:rPr>
  </w:style>
  <w:style w:type="paragraph" w:customStyle="1" w:styleId="14">
    <w:name w:val="BodyText1I2"/>
    <w:basedOn w:val="15"/>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5">
    <w:name w:val="BodyTextIndent"/>
    <w:basedOn w:val="1"/>
    <w:qFormat/>
    <w:uiPriority w:val="0"/>
    <w:pPr>
      <w:spacing w:after="120"/>
      <w:ind w:left="200" w:leftChars="200"/>
      <w:jc w:val="both"/>
      <w:textAlignment w:val="baseline"/>
    </w:pPr>
  </w:style>
  <w:style w:type="paragraph" w:customStyle="1" w:styleId="16">
    <w:name w:val="正文1"/>
    <w:basedOn w:val="1"/>
    <w:qFormat/>
    <w:uiPriority w:val="0"/>
    <w:pPr>
      <w:ind w:firstLine="200"/>
    </w:pPr>
    <w:rPr>
      <w:rFonts w:ascii="Times New Roman" w:hAnsi="Times New Roman" w:eastAsia="宋体" w:cs="Times New Roman"/>
    </w:rPr>
  </w:style>
  <w:style w:type="paragraph" w:customStyle="1" w:styleId="17">
    <w:name w:val="表格"/>
    <w:basedOn w:val="18"/>
    <w:qFormat/>
    <w:uiPriority w:val="0"/>
    <w:pPr>
      <w:spacing w:line="240" w:lineRule="auto"/>
      <w:jc w:val="left"/>
    </w:pPr>
  </w:style>
  <w:style w:type="paragraph" w:customStyle="1" w:styleId="18">
    <w:name w:val="图片"/>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4859</Words>
  <Characters>4987</Characters>
  <Lines>0</Lines>
  <Paragraphs>0</Paragraphs>
  <TotalTime>0</TotalTime>
  <ScaleCrop>false</ScaleCrop>
  <LinksUpToDate>false</LinksUpToDate>
  <CharactersWithSpaces>5132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Sun</cp:lastModifiedBy>
  <dcterms:modified xsi:type="dcterms:W3CDTF">2025-07-25T06:49:04Z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eyJoZGlkIjoiYzZkYjI3YWY3Y2EyYzFjYzc3Mjc1NjQ2MjIxMjE1MmUiLCJ1c2VySWQiOiI3NjExNDQyMDEifQ==</vt:lpwstr>
  </property>
</Properties>
</file>