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版本号：SXHJZB-2025-2120250728001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国有局院屋顶更换管道、水箱及防水</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SXHJZB-2025-21</w:t>
      </w:r>
      <w:r>
        <w:br/>
      </w:r>
      <w:r>
        <w:br/>
      </w:r>
      <w:r>
        <w:br/>
      </w:r>
    </w:p>
    <w:p>
      <w:pPr>
        <w:pStyle w:val="null3"/>
        <w:jc w:val="center"/>
        <w:outlineLvl w:val="2"/>
      </w:pPr>
      <w:r>
        <w:rPr>
          <w:rFonts w:ascii="仿宋_GB2312" w:hAnsi="仿宋_GB2312" w:cs="仿宋_GB2312" w:eastAsia="仿宋_GB2312"/>
          <w:sz w:val="28"/>
          <w:b/>
        </w:rPr>
        <w:t>省财政厅机关后勤服务中心</w:t>
      </w:r>
    </w:p>
    <w:p>
      <w:pPr>
        <w:pStyle w:val="null3"/>
        <w:jc w:val="center"/>
        <w:outlineLvl w:val="2"/>
      </w:pPr>
      <w:r>
        <w:rPr>
          <w:rFonts w:ascii="仿宋_GB2312" w:hAnsi="仿宋_GB2312" w:cs="仿宋_GB2312" w:eastAsia="仿宋_GB2312"/>
          <w:sz w:val="28"/>
          <w:b/>
        </w:rPr>
        <w:t>陕西华璟项目管理有限公司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陕西华璟项目管理有限公司</w:t>
      </w:r>
      <w:r>
        <w:rPr>
          <w:rFonts w:ascii="仿宋_GB2312" w:hAnsi="仿宋_GB2312" w:cs="仿宋_GB2312" w:eastAsia="仿宋_GB2312"/>
        </w:rPr>
        <w:t>（以下简称“代理机构”）受</w:t>
      </w:r>
      <w:r>
        <w:rPr>
          <w:rFonts w:ascii="仿宋_GB2312" w:hAnsi="仿宋_GB2312" w:cs="仿宋_GB2312" w:eastAsia="仿宋_GB2312"/>
        </w:rPr>
        <w:t>省财政厅机关后勤服务中心</w:t>
      </w:r>
      <w:r>
        <w:rPr>
          <w:rFonts w:ascii="仿宋_GB2312" w:hAnsi="仿宋_GB2312" w:cs="仿宋_GB2312" w:eastAsia="仿宋_GB2312"/>
        </w:rPr>
        <w:t>委托，拟对</w:t>
      </w:r>
      <w:r>
        <w:rPr>
          <w:rFonts w:ascii="仿宋_GB2312" w:hAnsi="仿宋_GB2312" w:cs="仿宋_GB2312" w:eastAsia="仿宋_GB2312"/>
        </w:rPr>
        <w:t>国有局院屋顶更换管道、水箱及防水</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SXHJZB-2025-21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国有局院屋顶更换管道、水箱及防水</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本次采购内容为国有局院屋顶更换管道、水箱及防水，共计1个标段（具体内容详见竞争性磋商文件）。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采购包1（国有局院屋顶更换管道、水箱及防水）：属于专门面向中小企业采购。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财务状况报告：提供经具有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p>
      <w:pPr>
        <w:pStyle w:val="null3"/>
      </w:pPr>
      <w:r>
        <w:rPr>
          <w:rFonts w:ascii="仿宋_GB2312" w:hAnsi="仿宋_GB2312" w:cs="仿宋_GB2312" w:eastAsia="仿宋_GB2312"/>
        </w:rPr>
        <w:t>3、社保缴纳证明：提供首次磋商响应文件递交截止时间前6个月内任意时段的缴纳证明。依法不需要交纳社会保障资金的供应商应提供相关文件证明。</w:t>
      </w:r>
    </w:p>
    <w:p>
      <w:pPr>
        <w:pStyle w:val="null3"/>
      </w:pPr>
      <w:r>
        <w:rPr>
          <w:rFonts w:ascii="仿宋_GB2312" w:hAnsi="仿宋_GB2312" w:cs="仿宋_GB2312" w:eastAsia="仿宋_GB2312"/>
        </w:rPr>
        <w:t>4、税收缴纳证明：提供首次磋商响应文件递交截止时间前6个月内任意时段的纳税证明或完税证明（除印花税外任意税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5、履行合同承诺函：提供具有履行合同所必需的设备和专业技术能力的承诺函。</w:t>
      </w:r>
    </w:p>
    <w:p>
      <w:pPr>
        <w:pStyle w:val="null3"/>
      </w:pPr>
      <w:r>
        <w:rPr>
          <w:rFonts w:ascii="仿宋_GB2312" w:hAnsi="仿宋_GB2312" w:cs="仿宋_GB2312" w:eastAsia="仿宋_GB2312"/>
        </w:rPr>
        <w:t>6、无重大违法记录书面声明：提供参加政府采购活动前3年内，在经营活动中没有重大违法记录的书面声明。</w:t>
      </w:r>
    </w:p>
    <w:p>
      <w:pPr>
        <w:pStyle w:val="null3"/>
      </w:pPr>
      <w:r>
        <w:rPr>
          <w:rFonts w:ascii="仿宋_GB2312" w:hAnsi="仿宋_GB2312" w:cs="仿宋_GB2312" w:eastAsia="仿宋_GB2312"/>
        </w:rPr>
        <w:t>7、落实政府采购政策需满足的资格要求：本项目专门面向中小企业采购，供应商应为中小微企业或监狱企业或残疾人福利性单位。</w:t>
      </w:r>
    </w:p>
    <w:p>
      <w:pPr>
        <w:pStyle w:val="null3"/>
      </w:pPr>
      <w:r>
        <w:rPr>
          <w:rFonts w:ascii="仿宋_GB2312" w:hAnsi="仿宋_GB2312" w:cs="仿宋_GB2312" w:eastAsia="仿宋_GB2312"/>
        </w:rPr>
        <w:t>8、法定代表人授权委托书：法定代表人直接参加磋商的，须提供法定代表人身份证明及其身份证电子件或扫描件；法定代表人授权他人参加磋商的，须提供法定代表人授权委托书（附法定代表人、被授权人身份证电子件或扫描件）。</w:t>
      </w:r>
    </w:p>
    <w:p>
      <w:pPr>
        <w:pStyle w:val="null3"/>
      </w:pPr>
      <w:r>
        <w:rPr>
          <w:rFonts w:ascii="仿宋_GB2312" w:hAnsi="仿宋_GB2312" w:cs="仿宋_GB2312" w:eastAsia="仿宋_GB2312"/>
        </w:rPr>
        <w:t>9、资质证书：供应商须建筑工程施工总承包三级（或以上）资质且具备有效的安全生产许可证；</w:t>
      </w:r>
    </w:p>
    <w:p>
      <w:pPr>
        <w:pStyle w:val="null3"/>
      </w:pPr>
      <w:r>
        <w:rPr>
          <w:rFonts w:ascii="仿宋_GB2312" w:hAnsi="仿宋_GB2312" w:cs="仿宋_GB2312" w:eastAsia="仿宋_GB2312"/>
        </w:rPr>
        <w:t>10、拟派项目负责人资质和专业要求：拟派项目负责人资质需具备建筑工程专业二级（含二级）及以上注册建造师证书和有效的安全生产考核合格证（建安B证），且无在建工程（无在建供应商自主承诺）。</w:t>
      </w:r>
    </w:p>
    <w:p>
      <w:pPr>
        <w:pStyle w:val="null3"/>
      </w:pPr>
      <w:r>
        <w:rPr>
          <w:rFonts w:ascii="仿宋_GB2312" w:hAnsi="仿宋_GB2312" w:cs="仿宋_GB2312" w:eastAsia="仿宋_GB2312"/>
        </w:rPr>
        <w:t>11、信用记录声明：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失信主体”名单；不处于“中国政府采购网”记录的“政府采购严重违法失信行为记录名单 ”中的禁止参加政府采购活动期间。</w:t>
      </w:r>
    </w:p>
    <w:p>
      <w:pPr>
        <w:pStyle w:val="null3"/>
      </w:pPr>
      <w:r>
        <w:rPr>
          <w:rFonts w:ascii="仿宋_GB2312" w:hAnsi="仿宋_GB2312" w:cs="仿宋_GB2312" w:eastAsia="仿宋_GB2312"/>
        </w:rPr>
        <w:t>12、控股管理关系承诺书：单位负责人为同一人或者存在直接控股、管理关系的供应商，不得参加同一合同下的政府采购活动。</w:t>
      </w:r>
    </w:p>
    <w:p>
      <w:pPr>
        <w:pStyle w:val="null3"/>
      </w:pPr>
      <w:r>
        <w:rPr>
          <w:rFonts w:ascii="仿宋_GB2312" w:hAnsi="仿宋_GB2312" w:cs="仿宋_GB2312" w:eastAsia="仿宋_GB2312"/>
        </w:rPr>
        <w:t>13、本项目不接受联合体响应，不允许分包：供应商提供《非联合体、不分包投标声明》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省财政厅机关后勤服务中心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西安市莲湖区冰窖巷6号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029-68936157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陕西华璟项目管理有限公司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陕西省西安市高新区沣惠南路与科技二路交叉路口西南侧泰华金贸国际6号楼902室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15309262087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采购包1：620,012.34元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颁发的《招标代理服务收费管理暂行办法》（计价格[2002]1980号）和国家发展改革委员会办公厅颁发的《关于招标代理服务收费有关问题的通知》（发改办价格[2003]857号）的有关规定收取。成交供应商在领取《成交通知书》前，须向采购代理机构一次性支付招标代理服务费。 开户名称：陕西华璟项目管理有限公司 开 户 行：中国工商银行股份有限公司西安高新技术开发区支行 账 号：3700024609200529721 汇款备注：项目名称+代理服务费（可简写）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省财政厅机关后勤服务中心</w:t>
      </w:r>
      <w:r>
        <w:rPr>
          <w:rFonts w:ascii="仿宋_GB2312" w:hAnsi="仿宋_GB2312" w:cs="仿宋_GB2312" w:eastAsia="仿宋_GB2312"/>
        </w:rPr>
        <w:t>和</w:t>
      </w:r>
      <w:r>
        <w:rPr>
          <w:rFonts w:ascii="仿宋_GB2312" w:hAnsi="仿宋_GB2312" w:cs="仿宋_GB2312" w:eastAsia="仿宋_GB2312"/>
        </w:rPr>
        <w:t>陕西华璟项目管理有限公司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省财政厅机关后勤服务中心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陕西华璟项目管理有限公司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省财政厅机关后勤服务中心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陕西华璟项目管理有限公司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工程须达到国家及行业现行技术规范标准，符合国家及行业验收合格标准。 质量：符合国家工程质量验收合格标准。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陕西华璟项目管理有限公司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陕西华璟项目管理有限公司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陕西华璟项目管理有限公司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联系人：陈普</w:t>
      </w:r>
    </w:p>
    <w:p>
      <w:pPr>
        <w:pStyle w:val="null3"/>
      </w:pPr>
      <w:r>
        <w:rPr>
          <w:rFonts w:ascii="仿宋_GB2312" w:hAnsi="仿宋_GB2312" w:cs="仿宋_GB2312" w:eastAsia="仿宋_GB2312"/>
        </w:rPr>
        <w:t>联系电话：15309262087</w:t>
      </w:r>
    </w:p>
    <w:p>
      <w:pPr>
        <w:pStyle w:val="null3"/>
      </w:pPr>
      <w:r>
        <w:rPr>
          <w:rFonts w:ascii="仿宋_GB2312" w:hAnsi="仿宋_GB2312" w:cs="仿宋_GB2312" w:eastAsia="仿宋_GB2312"/>
        </w:rPr>
        <w:t>地址：陕西省西安市高新区沣惠南路与科技二路交叉路口西南侧泰华金贸国际6号楼902室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620,012.34</w:t>
      </w:r>
    </w:p>
    <w:p>
      <w:pPr>
        <w:pStyle w:val="null3"/>
      </w:pPr>
      <w:r>
        <w:rPr>
          <w:rFonts w:ascii="仿宋_GB2312" w:hAnsi="仿宋_GB2312" w:cs="仿宋_GB2312" w:eastAsia="仿宋_GB2312"/>
        </w:rPr>
        <w:t>采购包最高限价（元）: 620,012.34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水箱更换</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620,012.34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标的名称：水箱更换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color w:val="000000"/>
              </w:rPr>
              <w:t>一、项目概况</w:t>
            </w:r>
          </w:p>
          <w:p>
            <w:pPr>
              <w:pStyle w:val="null3"/>
              <w:ind w:firstLine="440"/>
              <w:jc w:val="both"/>
            </w:pPr>
            <w:r>
              <w:rPr>
                <w:rFonts w:ascii="仿宋_GB2312" w:hAnsi="仿宋_GB2312" w:cs="仿宋_GB2312" w:eastAsia="仿宋_GB2312"/>
                <w:sz w:val="22"/>
                <w:color w:val="000000"/>
              </w:rPr>
              <w:t>1.建设地点：陕西省西安市冰窖巷国有局13号院内</w:t>
            </w:r>
          </w:p>
          <w:p>
            <w:pPr>
              <w:pStyle w:val="null3"/>
              <w:ind w:firstLine="440"/>
              <w:jc w:val="both"/>
            </w:pPr>
            <w:r>
              <w:rPr>
                <w:rFonts w:ascii="仿宋_GB2312" w:hAnsi="仿宋_GB2312" w:cs="仿宋_GB2312" w:eastAsia="仿宋_GB2312"/>
                <w:sz w:val="22"/>
                <w:color w:val="000000"/>
              </w:rPr>
              <w:t>2.建设内容：国有局院屋顶更换管道、水箱及防水。</w:t>
            </w:r>
          </w:p>
          <w:p>
            <w:pPr>
              <w:pStyle w:val="null3"/>
              <w:ind w:firstLine="440"/>
              <w:jc w:val="both"/>
            </w:pPr>
            <w:r>
              <w:rPr>
                <w:rFonts w:ascii="仿宋_GB2312" w:hAnsi="仿宋_GB2312" w:cs="仿宋_GB2312" w:eastAsia="仿宋_GB2312"/>
                <w:sz w:val="22"/>
                <w:color w:val="000000"/>
              </w:rPr>
              <w:t>3.需满足的要求:改善居民生活质量，提升人居环境。</w:t>
            </w:r>
          </w:p>
          <w:p>
            <w:pPr>
              <w:pStyle w:val="null3"/>
              <w:jc w:val="both"/>
            </w:pPr>
            <w:r>
              <w:rPr>
                <w:rFonts w:ascii="仿宋_GB2312" w:hAnsi="仿宋_GB2312" w:cs="仿宋_GB2312" w:eastAsia="仿宋_GB2312"/>
                <w:sz w:val="22"/>
                <w:b/>
                <w:color w:val="000000"/>
              </w:rPr>
              <w:t>二、项目最高限价：</w:t>
            </w:r>
            <w:r>
              <w:rPr>
                <w:rFonts w:ascii="仿宋_GB2312" w:hAnsi="仿宋_GB2312" w:cs="仿宋_GB2312" w:eastAsia="仿宋_GB2312"/>
                <w:sz w:val="22"/>
                <w:color w:val="000000"/>
              </w:rPr>
              <w:t>620,012.34元</w:t>
            </w:r>
          </w:p>
          <w:p>
            <w:pPr>
              <w:pStyle w:val="null3"/>
              <w:jc w:val="both"/>
            </w:pPr>
            <w:r>
              <w:rPr>
                <w:rFonts w:ascii="仿宋_GB2312" w:hAnsi="仿宋_GB2312" w:cs="仿宋_GB2312" w:eastAsia="仿宋_GB2312"/>
                <w:sz w:val="22"/>
                <w:b/>
                <w:color w:val="000000"/>
              </w:rPr>
              <w:t>三、编制依据</w:t>
            </w:r>
          </w:p>
          <w:p>
            <w:pPr>
              <w:pStyle w:val="null3"/>
              <w:ind w:firstLine="440"/>
              <w:jc w:val="both"/>
            </w:pPr>
            <w:r>
              <w:rPr>
                <w:rFonts w:ascii="仿宋_GB2312" w:hAnsi="仿宋_GB2312" w:cs="仿宋_GB2312" w:eastAsia="仿宋_GB2312"/>
                <w:sz w:val="22"/>
                <w:color w:val="000000"/>
              </w:rPr>
              <w:t>1.本工程依据《国有局院屋顶更换管道、水箱及防水》现场实测实量数据、相关要求及其他资料；</w:t>
            </w:r>
          </w:p>
          <w:p>
            <w:pPr>
              <w:pStyle w:val="null3"/>
              <w:spacing w:after="105"/>
              <w:ind w:firstLine="440"/>
              <w:jc w:val="left"/>
            </w:pPr>
            <w:r>
              <w:rPr>
                <w:rFonts w:ascii="仿宋_GB2312" w:hAnsi="仿宋_GB2312" w:cs="仿宋_GB2312" w:eastAsia="仿宋_GB2312"/>
                <w:sz w:val="22"/>
                <w:color w:val="000000"/>
              </w:rPr>
              <w:t>2.设计图采用的相关标准图集、施工规范及验收规范；</w:t>
            </w:r>
          </w:p>
          <w:p>
            <w:pPr>
              <w:pStyle w:val="null3"/>
              <w:spacing w:after="105"/>
              <w:ind w:firstLine="440"/>
              <w:jc w:val="left"/>
            </w:pPr>
            <w:r>
              <w:rPr>
                <w:rFonts w:ascii="仿宋_GB2312" w:hAnsi="仿宋_GB2312" w:cs="仿宋_GB2312" w:eastAsia="仿宋_GB2312"/>
                <w:sz w:val="22"/>
                <w:color w:val="000000"/>
              </w:rPr>
              <w:t>3.《陕西省建设工程费用规则》（2025），《陕西省房屋建筑与装饰工程基价表》（2025），《陕西省通用安装工程基价表》（2025），《陕西省房屋建筑与装饰工程消耗量定额》（2025），《陕西省通用安装工程消耗量定额》（2025），《陕西省建设工程工程量清单计价标准及计算标准》（2025）等相关文件；</w:t>
            </w:r>
          </w:p>
          <w:p>
            <w:pPr>
              <w:pStyle w:val="null3"/>
              <w:spacing w:after="105"/>
              <w:ind w:firstLine="440"/>
              <w:jc w:val="left"/>
            </w:pPr>
            <w:r>
              <w:rPr>
                <w:rFonts w:ascii="仿宋_GB2312" w:hAnsi="仿宋_GB2312" w:cs="仿宋_GB2312" w:eastAsia="仿宋_GB2312"/>
                <w:sz w:val="22"/>
                <w:color w:val="000000"/>
              </w:rPr>
              <w:t>4.本工程人工单价执行《陕西省建设工程费用规则》（2025）中有关人材机费用的相关规定。</w:t>
            </w:r>
          </w:p>
          <w:p>
            <w:pPr>
              <w:pStyle w:val="null3"/>
              <w:spacing w:after="105"/>
              <w:ind w:firstLine="440"/>
              <w:jc w:val="left"/>
            </w:pPr>
            <w:r>
              <w:rPr>
                <w:rFonts w:ascii="仿宋_GB2312" w:hAnsi="仿宋_GB2312" w:cs="仿宋_GB2312" w:eastAsia="仿宋_GB2312"/>
                <w:sz w:val="22"/>
                <w:color w:val="000000"/>
              </w:rPr>
              <w:t>5.本工程材料、设备价格依据陕西省2025年07月份信息价及当地市场行情进行编制；</w:t>
            </w:r>
          </w:p>
          <w:p>
            <w:pPr>
              <w:pStyle w:val="null3"/>
              <w:spacing w:after="105"/>
              <w:ind w:firstLine="440"/>
              <w:jc w:val="left"/>
            </w:pPr>
            <w:r>
              <w:rPr>
                <w:rFonts w:ascii="仿宋_GB2312" w:hAnsi="仿宋_GB2312" w:cs="仿宋_GB2312" w:eastAsia="仿宋_GB2312"/>
                <w:sz w:val="22"/>
                <w:color w:val="000000"/>
              </w:rPr>
              <w:t>6.工程版本号:广联达计价软件GCCP7.0 [7.5000.23.1]。</w:t>
            </w:r>
          </w:p>
          <w:p>
            <w:pPr>
              <w:pStyle w:val="null3"/>
              <w:jc w:val="both"/>
            </w:pPr>
            <w:r>
              <w:rPr>
                <w:rFonts w:ascii="仿宋_GB2312" w:hAnsi="仿宋_GB2312" w:cs="仿宋_GB2312" w:eastAsia="仿宋_GB2312"/>
                <w:sz w:val="22"/>
                <w:b/>
                <w:color w:val="000000"/>
              </w:rPr>
              <w:t>四、编制范围：</w:t>
            </w:r>
          </w:p>
          <w:p>
            <w:pPr>
              <w:pStyle w:val="null3"/>
              <w:spacing w:after="105"/>
              <w:jc w:val="left"/>
            </w:pPr>
            <w:r>
              <w:rPr>
                <w:rFonts w:ascii="仿宋_GB2312" w:hAnsi="仿宋_GB2312" w:cs="仿宋_GB2312" w:eastAsia="仿宋_GB2312"/>
                <w:sz w:val="22"/>
                <w:color w:val="000000"/>
              </w:rPr>
              <w:t>本次编制范围为：</w:t>
            </w:r>
          </w:p>
          <w:p>
            <w:pPr>
              <w:pStyle w:val="null3"/>
              <w:spacing w:after="105"/>
              <w:ind w:firstLine="440"/>
              <w:jc w:val="left"/>
            </w:pPr>
            <w:r>
              <w:rPr>
                <w:rFonts w:ascii="仿宋_GB2312" w:hAnsi="仿宋_GB2312" w:cs="仿宋_GB2312" w:eastAsia="仿宋_GB2312"/>
                <w:sz w:val="22"/>
                <w:color w:val="000000"/>
              </w:rPr>
              <w:t>1.国有局13号院屋面处所有管道更换（包含所有给排水的拆除及新建）、所有屋面防水更换（包含屋面面层、原防水、水泥砂浆找平层、保温层及陶粒找坡层拆除及新建）及屋面避雷装置更换（包含避雷网的拆除及新建）；</w:t>
            </w:r>
          </w:p>
          <w:p>
            <w:pPr>
              <w:pStyle w:val="null3"/>
              <w:spacing w:after="105"/>
              <w:ind w:firstLine="440"/>
              <w:jc w:val="left"/>
            </w:pPr>
            <w:r>
              <w:rPr>
                <w:rFonts w:ascii="仿宋_GB2312" w:hAnsi="仿宋_GB2312" w:cs="仿宋_GB2312" w:eastAsia="仿宋_GB2312"/>
                <w:sz w:val="22"/>
                <w:color w:val="000000"/>
              </w:rPr>
              <w:t>2.国有局13号院屋面处水箱间内改造内容为：所有水箱全部拆除（包含配套给排水管道及附件和相关电气拆除）、新建热水箱（包括配套给排水管道及附件和相关电气的新建）、水箱间内装饰装修拆除及新建（包括地面、墙面、防盗门、外爬梯等内容的拆除及新建）。</w:t>
            </w:r>
          </w:p>
          <w:p>
            <w:pPr>
              <w:pStyle w:val="null3"/>
              <w:jc w:val="both"/>
            </w:pPr>
            <w:r>
              <w:rPr>
                <w:rFonts w:ascii="仿宋_GB2312" w:hAnsi="仿宋_GB2312" w:cs="仿宋_GB2312" w:eastAsia="仿宋_GB2312"/>
                <w:sz w:val="22"/>
                <w:b/>
                <w:color w:val="000000"/>
              </w:rPr>
              <w:t>五、</w:t>
            </w:r>
            <w:r>
              <w:rPr>
                <w:rFonts w:ascii="仿宋_GB2312" w:hAnsi="仿宋_GB2312" w:cs="仿宋_GB2312" w:eastAsia="仿宋_GB2312"/>
                <w:sz w:val="22"/>
                <w:b/>
                <w:color w:val="000000"/>
              </w:rPr>
              <w:t>工程量清单</w:t>
            </w:r>
          </w:p>
          <w:p>
            <w:pPr>
              <w:pStyle w:val="null3"/>
              <w:ind w:firstLine="440"/>
              <w:jc w:val="both"/>
            </w:pPr>
            <w:r>
              <w:rPr>
                <w:rFonts w:ascii="仿宋_GB2312" w:hAnsi="仿宋_GB2312" w:cs="仿宋_GB2312" w:eastAsia="仿宋_GB2312"/>
                <w:sz w:val="22"/>
                <w:color w:val="000000"/>
              </w:rPr>
              <w:t>详见附件。</w:t>
            </w:r>
          </w:p>
          <w:p>
            <w:pPr>
              <w:pStyle w:val="null3"/>
              <w:jc w:val="both"/>
            </w:pPr>
            <w:r>
              <w:rPr>
                <w:rFonts w:ascii="仿宋_GB2312" w:hAnsi="仿宋_GB2312" w:cs="仿宋_GB2312" w:eastAsia="仿宋_GB2312"/>
                <w:sz w:val="22"/>
                <w:b/>
                <w:color w:val="000000"/>
              </w:rPr>
              <w:t>六</w:t>
            </w:r>
            <w:r>
              <w:rPr>
                <w:rFonts w:ascii="仿宋_GB2312" w:hAnsi="仿宋_GB2312" w:cs="仿宋_GB2312" w:eastAsia="仿宋_GB2312"/>
                <w:sz w:val="22"/>
                <w:b/>
                <w:color w:val="000000"/>
              </w:rPr>
              <w:t>、商务要求</w:t>
            </w:r>
          </w:p>
          <w:p>
            <w:pPr>
              <w:pStyle w:val="null3"/>
              <w:ind w:firstLine="420"/>
              <w:jc w:val="both"/>
            </w:pPr>
            <w:r>
              <w:rPr>
                <w:rFonts w:ascii="仿宋_GB2312" w:hAnsi="仿宋_GB2312" w:cs="仿宋_GB2312" w:eastAsia="仿宋_GB2312"/>
                <w:sz w:val="21"/>
                <w:color w:val="000000"/>
              </w:rPr>
              <w:t>工期：</w:t>
            </w:r>
            <w:r>
              <w:rPr>
                <w:rFonts w:ascii="仿宋_GB2312" w:hAnsi="仿宋_GB2312" w:cs="仿宋_GB2312" w:eastAsia="仿宋_GB2312"/>
                <w:sz w:val="21"/>
                <w:b/>
                <w:color w:val="000000"/>
              </w:rPr>
              <w:t>60</w:t>
            </w:r>
            <w:r>
              <w:rPr>
                <w:rFonts w:ascii="仿宋_GB2312" w:hAnsi="仿宋_GB2312" w:cs="仿宋_GB2312" w:eastAsia="仿宋_GB2312"/>
                <w:sz w:val="24"/>
              </w:rPr>
              <w:t xml:space="preserve"> </w:t>
            </w:r>
            <w:r>
              <w:rPr>
                <w:rFonts w:ascii="仿宋_GB2312" w:hAnsi="仿宋_GB2312" w:cs="仿宋_GB2312" w:eastAsia="仿宋_GB2312"/>
                <w:sz w:val="21"/>
                <w:color w:val="000000"/>
              </w:rPr>
              <w:t>天</w:t>
            </w:r>
          </w:p>
          <w:p>
            <w:pPr>
              <w:pStyle w:val="null3"/>
              <w:ind w:firstLine="420"/>
              <w:jc w:val="both"/>
            </w:pPr>
            <w:r>
              <w:rPr>
                <w:rFonts w:ascii="仿宋_GB2312" w:hAnsi="仿宋_GB2312" w:cs="仿宋_GB2312" w:eastAsia="仿宋_GB2312"/>
                <w:sz w:val="21"/>
                <w:color w:val="000000"/>
              </w:rPr>
              <w:t>合同价款支付方式：合同签订后甲方向乙方支付合同金额</w:t>
            </w:r>
            <w:r>
              <w:rPr>
                <w:rFonts w:ascii="仿宋_GB2312" w:hAnsi="仿宋_GB2312" w:cs="仿宋_GB2312" w:eastAsia="仿宋_GB2312"/>
                <w:sz w:val="21"/>
                <w:color w:val="000000"/>
              </w:rPr>
              <w:t>40%的预付款，工程竣工验收合格，结算审计完成后甲方向乙方支付至结算审计金额的100%。付款前，乙方须向甲方开具符合甲方要求的等额发票。</w:t>
            </w:r>
          </w:p>
          <w:p>
            <w:pPr>
              <w:pStyle w:val="null3"/>
              <w:jc w:val="both"/>
            </w:pPr>
            <w:r>
              <w:rPr>
                <w:rFonts w:ascii="仿宋_GB2312" w:hAnsi="仿宋_GB2312" w:cs="仿宋_GB2312" w:eastAsia="仿宋_GB2312"/>
                <w:sz w:val="22"/>
                <w:b/>
                <w:color w:val="000000"/>
              </w:rPr>
              <w:t>七、</w:t>
            </w:r>
            <w:r>
              <w:rPr>
                <w:rFonts w:ascii="仿宋_GB2312" w:hAnsi="仿宋_GB2312" w:cs="仿宋_GB2312" w:eastAsia="仿宋_GB2312"/>
                <w:sz w:val="22"/>
                <w:b/>
                <w:color w:val="000000"/>
              </w:rPr>
              <w:t>技术要求：</w:t>
            </w:r>
          </w:p>
          <w:p>
            <w:pPr>
              <w:pStyle w:val="null3"/>
              <w:ind w:firstLine="420"/>
              <w:jc w:val="left"/>
            </w:pPr>
            <w:r>
              <w:rPr>
                <w:rFonts w:ascii="仿宋_GB2312" w:hAnsi="仿宋_GB2312" w:cs="仿宋_GB2312" w:eastAsia="仿宋_GB2312"/>
                <w:sz w:val="21"/>
                <w:color w:val="000000"/>
              </w:rPr>
              <w:t>工程须达到国家及行业现行技术规范标准，符合国家及行业验收合格标准。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满足磋商文件、工程量清单要求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具有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具有审计资质单位出具的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提供首次磋商响应文件递交截止时间前6个月内任意时段的缴纳证明。依法不需要交纳社会保障资金的供应商应提供相关文件证明。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首次磋商响应文件递交截止时间前6个月内任意时段的纳税证明或完税证明（除印花税外任意税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法定代表人直接参加磋商的，须提供法定代表人身份证明及其身份证电子件或扫描件；法定代表人授权他人参加磋商的，须提供法定代表人授权委托书（附法定代表人、被授权人身份证电子件或扫描件）。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供应商须建筑工程施工总承包三级（或以上）资质且具备有效的安全生产许可证；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拟派项目负责人资质需具备建筑工程专业二级（含二级）及以上注册建造师证书和有效的安全生产考核合格证（建安B证），且无在建工程（无在建供应商自主承诺）。</w:t>
            </w:r>
          </w:p>
        </w:tc>
        <w:tc>
          <w:tcPr>
            <w:tcW w:type="dxa" w:w="1661"/>
          </w:tcPr>
          <w:p>
            <w:pPr>
              <w:pStyle w:val="null3"/>
            </w:pPr>
            <w:r>
              <w:rPr>
                <w:rFonts w:ascii="仿宋_GB2312" w:hAnsi="仿宋_GB2312" w:cs="仿宋_GB2312" w:eastAsia="仿宋_GB2312"/>
              </w:rPr>
              <w:t>标的清单 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信用记录声明</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失信主体”名单；不处于“中国政府采购网”记录的“政府采购严重违法失信行为记录名单 ”中的禁止参加政府采购活动期间。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控股管理关系承诺书</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本项目不接受联合体响应，不允许分包</w:t>
            </w:r>
          </w:p>
        </w:tc>
        <w:tc>
          <w:tcPr>
            <w:tcW w:type="dxa" w:w="3322"/>
          </w:tcPr>
          <w:p>
            <w:pPr>
              <w:pStyle w:val="null3"/>
            </w:pPr>
            <w:r>
              <w:rPr>
                <w:rFonts w:ascii="仿宋_GB2312" w:hAnsi="仿宋_GB2312" w:cs="仿宋_GB2312" w:eastAsia="仿宋_GB2312"/>
              </w:rPr>
              <w:t>供应商提供《非联合体、不分包投标声明》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供应商参加政府采购活动承诺书.docx 已标价工程量清单 磋商响应方案.docx 报价函 标的清单 响应函 商务条款偏离表.docx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已标价工程量清单 报价函 标的清单 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无其他竞争性磋商文件或法律法规明确规定响应无效的事项</w:t>
            </w:r>
          </w:p>
        </w:tc>
        <w:tc>
          <w:tcPr>
            <w:tcW w:type="dxa" w:w="3322"/>
          </w:tcPr>
          <w:p>
            <w:pPr>
              <w:pStyle w:val="null3"/>
            </w:pPr>
            <w:r>
              <w:rPr>
                <w:rFonts w:ascii="仿宋_GB2312" w:hAnsi="仿宋_GB2312" w:cs="仿宋_GB2312" w:eastAsia="仿宋_GB2312"/>
              </w:rPr>
              <w:t>没有不符合竞争性磋商文件及法律法规规定的被视为无效响应的其他条款，不能有采购人不能接受的附加条件</w:t>
            </w:r>
          </w:p>
        </w:tc>
        <w:tc>
          <w:tcPr>
            <w:tcW w:type="dxa" w:w="1661"/>
          </w:tcPr>
          <w:p>
            <w:pPr>
              <w:pStyle w:val="null3"/>
            </w:pPr>
            <w:r>
              <w:rPr>
                <w:rFonts w:ascii="仿宋_GB2312" w:hAnsi="仿宋_GB2312" w:cs="仿宋_GB2312" w:eastAsia="仿宋_GB2312"/>
              </w:rPr>
              <w:t>供应商参加政府采购活动承诺书.docx 已标价工程量清单 报价函 标的清单 响应函 商务条款偏离表.docx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针对本项目各项要求制定施工方案。 方案全面、具体，科学合理，可行性强，得6分； 方案相对全面、具体、科学，可行性相对较强，得5分； 方案基本全面、具体，有一定的可行性，得4分； 方案不够全面、具体，可行性相对较弱，得3分； 方案笼统，可行性有待考究的，得2分； 方案不全面、具体，可行性较差，得1分；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针对本项目有确保工程质量的技术组织措施。 措施内容全面、具体、科学，可行性强，得6分； 措施内容相对全面、具体、科学，可行性相对较强，得5分； 措施内容基本全面、具体，有一定的可行性，得4分； 措施内容不够全面、具体，可行性相对较弱，得3分； 措施内容不全面、具体，可行性较差，得2分； 措施内容笼统，可行性有待考究的，得1分；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针对本项目拟投入项目经理部组成人员结构合理，人员配备齐全，责任明确，佐证材料齐全得6分； 针对本项目拟投入项目经理部组成人员结构相对合理，人员配备相对齐全，责任相对明确，有相关佐证材料得5分； 针对本项目拟投入项目经理部组成人员结构基本合理，人员配备基本齐全，责任基本明确，有相关佐证材料得4分； 针对本项目拟投入项目经理部组成人员结构不够合理，人员配备不够齐全，责任不太明确，相关佐证材料缺失得3分； 针对本项目拟投入项目经理部组成人员结构不合理，人员配备不齐全，责任不明确，相关佐证材料缺失得2分； 针对本项目拟投入项目经理部组成人员内容笼统，可行性有待考究的，得1分；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确保工程的安全保证措施</w:t>
            </w:r>
          </w:p>
        </w:tc>
        <w:tc>
          <w:tcPr>
            <w:tcW w:type="dxa" w:w="2492"/>
          </w:tcPr>
          <w:p>
            <w:pPr>
              <w:pStyle w:val="null3"/>
            </w:pPr>
            <w:r>
              <w:rPr>
                <w:rFonts w:ascii="仿宋_GB2312" w:hAnsi="仿宋_GB2312" w:cs="仿宋_GB2312" w:eastAsia="仿宋_GB2312"/>
              </w:rPr>
              <w:t>针对本项目的特点、不同的施工工艺、施工场地及施工环境等，编制具体、可行的安全生产措施。 措施内容全面、具体、科学，可行性强，得6分； 措施内容相对全面、具体、科学，可行性相对较强，得5分； 措施内容基本全面、具体，有一定的可行性，得4分； 措施内容不够全面、具体，可行性相对较弱，得3分； 措施内容不全面、具体，可行性较差，得2分； 措施内容笼统，可行性有待考究的，得1分；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针对本项目，有具体、可行的文明施工技术措施。 措施内容全面、具体、科学，可行性强，得6分； 措施内容相对全面、具体、科学，可行性相对较强，得5分； 措施内容基本全面、具体，有一定的可行性，得4分； 措施内容不够全面、具体，可行性相对较弱，得3分； 措施内容笼统，可行性有待考究的，得2分； 措施内容不全面、具体，可行性较差，得1分；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确保环境保护的技术组织措施</w:t>
            </w:r>
          </w:p>
        </w:tc>
        <w:tc>
          <w:tcPr>
            <w:tcW w:type="dxa" w:w="2492"/>
          </w:tcPr>
          <w:p>
            <w:pPr>
              <w:pStyle w:val="null3"/>
            </w:pPr>
            <w:r>
              <w:rPr>
                <w:rFonts w:ascii="仿宋_GB2312" w:hAnsi="仿宋_GB2312" w:cs="仿宋_GB2312" w:eastAsia="仿宋_GB2312"/>
              </w:rPr>
              <w:t>针对本项目，有具体、可行的环境保护措施。 措施内容全面、具体、科学，可行性强，得6分； 措施内容相对全面、具体、科学，可行性相对较强，得5分； 措施内容基本全面、具体，有一定的可行性，得4分； 措施内容不够全面、具体，可行性相对较弱，得3分； 措施内容笼统，可行性有待考究的，得2分； 措施内容不全面、具体，可行性较差，得1分；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针对本项目，有具体、可行的确保工期的技术组织措施。 措施内容全面、具体、科学，可行性强，得6分； 措施内容相对全面、具体、科学，可行性相对较强，得5分； 措施内容基本全面、具体，有一定的可行性，得4分； 措施内容不够全面、具体，可行性相对较弱，得3分； 措施内容不全面、具体，可行性较差，得2分； 措施内容笼统，可行性有待考究的，得1分；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根据本项目的具体情况，设置合理的进度控制点，制定周到、全面、具体的进度计划，同时有科学、合理的施工进度表或施工网络图。能够充分考虑计划，均衡资源，满足工期和质量。 进度计划全面、科学、合理性强，得6分； 进度计划相对全面、科学、合理性较强，得5分； 进度计划基本全面、较科学、有一定的合理性，得4分； 进度计划不够全面、科学、合理性相对较弱，得3分； 进度计划笼统，合理性有待考究的，得2分； 进度计划不全面、科学、合理性较差，得1分；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拟投入主要施工机具、设备及劳动力配备情况</w:t>
            </w:r>
          </w:p>
        </w:tc>
        <w:tc>
          <w:tcPr>
            <w:tcW w:type="dxa" w:w="2492"/>
          </w:tcPr>
          <w:p>
            <w:pPr>
              <w:pStyle w:val="null3"/>
            </w:pPr>
            <w:r>
              <w:rPr>
                <w:rFonts w:ascii="仿宋_GB2312" w:hAnsi="仿宋_GB2312" w:cs="仿宋_GB2312" w:eastAsia="仿宋_GB2312"/>
              </w:rPr>
              <w:t>针对本项目拟投入的主要施工机具、设备及劳动力配备，先进、合理可行，得5分； 针对本项目拟投入的主要施工机具、设备及劳动力配备，相对先进、相对合理可行，得4分； 针对本项目拟投入的主要施工机具、设备及劳动力配备，较先进、基本合理可行，得3分； 针对本项目拟投入的主要施工机具、设备及劳动力配备，不够合理可行，得2分； 针对本项目拟投入的主要施工机具、设备及劳动力配备，不合理，需在采购人要求下完善后才能实施的，得1分； 无内容不得分。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成品保护措施</w:t>
            </w:r>
          </w:p>
        </w:tc>
        <w:tc>
          <w:tcPr>
            <w:tcW w:type="dxa" w:w="2492"/>
          </w:tcPr>
          <w:p>
            <w:pPr>
              <w:pStyle w:val="null3"/>
            </w:pPr>
            <w:r>
              <w:rPr>
                <w:rFonts w:ascii="仿宋_GB2312" w:hAnsi="仿宋_GB2312" w:cs="仿宋_GB2312" w:eastAsia="仿宋_GB2312"/>
              </w:rPr>
              <w:t>提供详细可行的成品保护措施，包括但不限于保护内容、原材料的保护、施工过程中的保护、发生损坏的补救措施等内容。 措施内容全面、具体、科学，可行性强，得6分； 措施内容相对全面、具体、科学，可行性相对较强，得5分； 措施内容基本全面、具体，有一定的可行性，得4分； 措施内容不够全面、具体，可行性相对较弱，得3分； 措施内容不全面、具体，可行性较差，得2分； 措施内容笼统，可行性有待考究的，得1分；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风险预防及应急预案</w:t>
            </w:r>
          </w:p>
        </w:tc>
        <w:tc>
          <w:tcPr>
            <w:tcW w:type="dxa" w:w="2492"/>
          </w:tcPr>
          <w:p>
            <w:pPr>
              <w:pStyle w:val="null3"/>
            </w:pPr>
            <w:r>
              <w:rPr>
                <w:rFonts w:ascii="仿宋_GB2312" w:hAnsi="仿宋_GB2312" w:cs="仿宋_GB2312" w:eastAsia="仿宋_GB2312"/>
              </w:rPr>
              <w:t>针对本项目提供项目风险预测与防范，事故应急预案。 风险预测与防范内容完善，针对性强，预案及措施科学合理可行性强，得5分； 风险预测与防范内容比较完善，预案及措施有一定针对性和可行性强，得4分； 风险预测与防范内容基本完善，预案及措施有针对性和可行性强，得3分； 风险预测与防范内容、预案及措施内容简单笼统，针对性欠缺，得2分。 风险预测与防范内容、预案及措施内容欠缺，无针对性，得1分。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拟派项目负责人具有高级工程师得2分，具备中级工程师得1分，提供证书复印件。未提供不得分。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提供2022年01月01日以来类似项目业绩。以合同签订日期为准，并加盖供应商公章的合同关键页复印件为计分依据，每份合格业绩合同计2分，满分4分。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1、经初审合格的竞争性磋商文件，其最终报价为有效报价。 2、有效最低报价为基准价得30分。 3、按（磋商基准价/有效最终磋商报价）×30的公式计算报价得分。 4、报价不完整的，不进入磋商基准价的计算，本项得0分。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详见附件：供应商参加政府采购活动承诺书.docx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