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版本号：LZBB2025-124520250728001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陕西省药品安全监管综合业务系统2025年升级改造项目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LZBB2025-1245</w:t>
      </w:r>
      <w:r>
        <w:br/>
      </w:r>
      <w:r>
        <w:br/>
      </w:r>
      <w:r>
        <w:br/>
      </w:r>
    </w:p>
    <w:p>
      <w:pPr>
        <w:pStyle w:val="null3"/>
        <w:jc w:val="center"/>
        <w:outlineLvl w:val="5"/>
      </w:pPr>
      <w:r>
        <w:rPr>
          <w:rFonts w:ascii="仿宋_GB2312" w:hAnsi="仿宋_GB2312" w:cs="仿宋_GB2312" w:eastAsia="仿宋_GB2312"/>
          <w:sz w:val="15"/>
          <w:b/>
        </w:rPr>
        <w:t>陕西省药品监督管理局机关</w:t>
      </w:r>
    </w:p>
    <w:p>
      <w:pPr>
        <w:pStyle w:val="null3"/>
        <w:jc w:val="center"/>
        <w:outlineLvl w:val="5"/>
      </w:pPr>
      <w:r>
        <w:rPr>
          <w:rFonts w:ascii="仿宋_GB2312" w:hAnsi="仿宋_GB2312" w:cs="仿宋_GB2312" w:eastAsia="仿宋_GB2312"/>
          <w:sz w:val="15"/>
          <w:b/>
        </w:rPr>
        <w:t>龙寰项目管理咨询有限公司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陕西省药品监督管理局机关</w:t>
      </w:r>
      <w:r>
        <w:rPr>
          <w:rFonts w:ascii="仿宋_GB2312" w:hAnsi="仿宋_GB2312" w:cs="仿宋_GB2312" w:eastAsia="仿宋_GB2312"/>
        </w:rPr>
        <w:t>委托，拟对</w:t>
      </w:r>
      <w:r>
        <w:rPr>
          <w:rFonts w:ascii="仿宋_GB2312" w:hAnsi="仿宋_GB2312" w:cs="仿宋_GB2312" w:eastAsia="仿宋_GB2312"/>
        </w:rPr>
        <w:t>陕西省药品安全监管综合业务系统2025年升级改造项目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LZBB2025-1245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陕西省药品安全监管综合业务系统2025年升级改造项目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陕西省药品安全监管综合业务系统2025年升级改造项目，1项，具体详见采购文件第3章。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采购包1（陕西省药品安全监管综合业务系统2025年升级改造项目）：属于专门面向中小企业采购。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专门面向中小企业采购：专门面向中小企业采购：本项目专门面向中小企业采购，仅限符合《政府采购促进中小企业发展暂行办法》（财库〔2020〕46号）条件的中小企业参与，供应商应填写中小企业声明函并对真实性负责。（残疾人福利性单位及监狱企业视同为小型、微型企业），供应商需在项目电子化交易系统中按要求上传相应承诺函并进行电子签章</w:t>
      </w:r>
    </w:p>
    <w:p>
      <w:pPr>
        <w:pStyle w:val="null3"/>
      </w:pPr>
      <w:r>
        <w:rPr>
          <w:rFonts w:ascii="仿宋_GB2312" w:hAnsi="仿宋_GB2312" w:cs="仿宋_GB2312" w:eastAsia="仿宋_GB2312"/>
        </w:rPr>
        <w:t>3、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陕西省药品监督管理局机关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西安市高新六路56号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陕西省药品监督管理局机关经办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029-62288184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王万里、王飞、张波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采购包1：1,619,400.00元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采购包1：1,619,400.00元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标准计取。2、成交单位在领取成交通知书之前，须向代理机构支付招标代理服务费。3、招标代理服务费以转账或现金形式缴纳至以下账户： 开户名称：龙寰项目管理咨询有限公司，开户银行：平安银行西安高新路支行，账 号：30201278017212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陕西省药品监督管理局机关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陕西省药品监督管理局机关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按照采购文件、响应文件以及合同要求。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陕西省药品安全监管综合业务系统2025年升级改造项目，1项。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1,619,400.00</w:t>
      </w:r>
    </w:p>
    <w:p>
      <w:pPr>
        <w:pStyle w:val="null3"/>
      </w:pPr>
      <w:r>
        <w:rPr>
          <w:rFonts w:ascii="仿宋_GB2312" w:hAnsi="仿宋_GB2312" w:cs="仿宋_GB2312" w:eastAsia="仿宋_GB2312"/>
        </w:rPr>
        <w:t>采购包最高限价（元）: 1,619,400.00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升级改造陕西省药品安全监管综合业务系统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标的名称：升级改造陕西省药品安全监管综合业务系统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45" w:after="330"/>
              <w:jc w:val="both"/>
              <w:outlineLvl w:val="0"/>
            </w:pPr>
            <w:r>
              <w:rPr>
                <w:rFonts w:ascii="仿宋_GB2312" w:hAnsi="仿宋_GB2312" w:cs="仿宋_GB2312" w:eastAsia="仿宋_GB2312"/>
                <w:sz w:val="20"/>
                <w:b/>
              </w:rPr>
              <w:t>一、</w:t>
            </w:r>
            <w:r>
              <w:rPr>
                <w:rFonts w:ascii="仿宋_GB2312" w:hAnsi="仿宋_GB2312" w:cs="仿宋_GB2312" w:eastAsia="仿宋_GB2312"/>
                <w:sz w:val="20"/>
                <w:b/>
              </w:rPr>
              <w:t>系统功能需求</w:t>
            </w:r>
          </w:p>
          <w:p>
            <w:pPr>
              <w:pStyle w:val="null3"/>
              <w:spacing w:before="60" w:after="60"/>
              <w:ind w:left="420"/>
              <w:jc w:val="both"/>
              <w:outlineLvl w:val="1"/>
            </w:pPr>
            <w:r>
              <w:rPr>
                <w:rFonts w:ascii="仿宋_GB2312" w:hAnsi="仿宋_GB2312" w:cs="仿宋_GB2312" w:eastAsia="仿宋_GB2312"/>
                <w:sz w:val="20"/>
                <w:b/>
              </w:rPr>
              <w:t>1.</w:t>
            </w:r>
            <w:r>
              <w:rPr>
                <w:rFonts w:ascii="仿宋_GB2312" w:hAnsi="仿宋_GB2312" w:cs="仿宋_GB2312" w:eastAsia="仿宋_GB2312"/>
                <w:sz w:val="20"/>
                <w:b/>
              </w:rPr>
              <w:t>业务功能升级改造</w:t>
            </w:r>
          </w:p>
          <w:p>
            <w:pPr>
              <w:pStyle w:val="null3"/>
              <w:ind w:firstLine="400"/>
              <w:jc w:val="both"/>
            </w:pPr>
            <w:r>
              <w:rPr>
                <w:rFonts w:ascii="仿宋_GB2312" w:hAnsi="仿宋_GB2312" w:cs="仿宋_GB2312" w:eastAsia="仿宋_GB2312"/>
                <w:sz w:val="20"/>
              </w:rPr>
              <w:t>为满足各业务部门实际工作需要，细化系统功能。依据业务自身监管流程特点，对现有功能模块，进行个性化设置，实现功能的持续细化。</w:t>
            </w:r>
          </w:p>
          <w:p>
            <w:pPr>
              <w:pStyle w:val="null3"/>
              <w:spacing w:before="120" w:after="120"/>
              <w:ind w:left="900"/>
              <w:jc w:val="both"/>
              <w:outlineLvl w:val="2"/>
            </w:pPr>
            <w:r>
              <w:rPr>
                <w:rFonts w:ascii="仿宋_GB2312" w:hAnsi="仿宋_GB2312" w:cs="仿宋_GB2312" w:eastAsia="仿宋_GB2312"/>
                <w:sz w:val="20"/>
                <w:b/>
              </w:rPr>
              <w:t>(1)</w:t>
            </w:r>
            <w:r>
              <w:rPr>
                <w:rFonts w:ascii="仿宋_GB2312" w:hAnsi="仿宋_GB2312" w:cs="仿宋_GB2312" w:eastAsia="仿宋_GB2312"/>
                <w:sz w:val="20"/>
                <w:b/>
              </w:rPr>
              <w:t>第二类医疗器械产品注册备案变更</w:t>
            </w:r>
          </w:p>
          <w:p>
            <w:pPr>
              <w:pStyle w:val="null3"/>
              <w:ind w:firstLine="400"/>
              <w:jc w:val="both"/>
            </w:pPr>
            <w:r>
              <w:rPr>
                <w:rFonts w:ascii="仿宋_GB2312" w:hAnsi="仿宋_GB2312" w:cs="仿宋_GB2312" w:eastAsia="仿宋_GB2312"/>
                <w:sz w:val="20"/>
              </w:rPr>
              <w:t>根据医疗器械管理办法要求在第二类医疗器械产品注册备案变更，增加受托方申请人基本信息的变更。</w:t>
            </w:r>
          </w:p>
          <w:p>
            <w:pPr>
              <w:pStyle w:val="null3"/>
              <w:spacing w:before="120" w:after="120"/>
              <w:ind w:left="900"/>
              <w:jc w:val="both"/>
              <w:outlineLvl w:val="2"/>
            </w:pPr>
            <w:r>
              <w:rPr>
                <w:rFonts w:ascii="仿宋_GB2312" w:hAnsi="仿宋_GB2312" w:cs="仿宋_GB2312" w:eastAsia="仿宋_GB2312"/>
                <w:sz w:val="20"/>
                <w:b/>
              </w:rPr>
              <w:t>(2)</w:t>
            </w:r>
            <w:r>
              <w:rPr>
                <w:rFonts w:ascii="仿宋_GB2312" w:hAnsi="仿宋_GB2312" w:cs="仿宋_GB2312" w:eastAsia="仿宋_GB2312"/>
                <w:sz w:val="20"/>
                <w:b/>
              </w:rPr>
              <w:t>第二类体外诊断试剂备案变更</w:t>
            </w:r>
          </w:p>
          <w:p>
            <w:pPr>
              <w:pStyle w:val="null3"/>
              <w:ind w:firstLine="400"/>
              <w:jc w:val="both"/>
            </w:pPr>
            <w:r>
              <w:rPr>
                <w:rFonts w:ascii="仿宋_GB2312" w:hAnsi="仿宋_GB2312" w:cs="仿宋_GB2312" w:eastAsia="仿宋_GB2312"/>
                <w:sz w:val="20"/>
              </w:rPr>
              <w:t>根据医疗器械管理办法要求在第二类体外诊断试剂备案变更，增加受托方申请人基本信息的变更。</w:t>
            </w:r>
          </w:p>
          <w:p>
            <w:pPr>
              <w:pStyle w:val="null3"/>
              <w:spacing w:before="60" w:after="60"/>
              <w:ind w:left="420"/>
              <w:jc w:val="both"/>
              <w:outlineLvl w:val="1"/>
            </w:pPr>
            <w:r>
              <w:rPr>
                <w:rFonts w:ascii="仿宋_GB2312" w:hAnsi="仿宋_GB2312" w:cs="仿宋_GB2312" w:eastAsia="仿宋_GB2312"/>
                <w:sz w:val="20"/>
                <w:b/>
              </w:rPr>
              <w:t>2.</w:t>
            </w:r>
            <w:r>
              <w:rPr>
                <w:rFonts w:ascii="仿宋_GB2312" w:hAnsi="仿宋_GB2312" w:cs="仿宋_GB2312" w:eastAsia="仿宋_GB2312"/>
                <w:sz w:val="20"/>
                <w:b/>
              </w:rPr>
              <w:t>提质增效专项功能改造</w:t>
            </w:r>
          </w:p>
          <w:p>
            <w:pPr>
              <w:pStyle w:val="null3"/>
              <w:ind w:firstLine="480"/>
              <w:jc w:val="both"/>
            </w:pPr>
            <w:r>
              <w:rPr>
                <w:rFonts w:ascii="仿宋_GB2312" w:hAnsi="仿宋_GB2312" w:cs="仿宋_GB2312" w:eastAsia="仿宋_GB2312"/>
                <w:sz w:val="20"/>
              </w:rPr>
              <w:t>本次提质增效整体的建设思路是针对需要进行许可</w:t>
            </w:r>
            <w:r>
              <w:rPr>
                <w:rFonts w:ascii="仿宋_GB2312" w:hAnsi="仿宋_GB2312" w:cs="仿宋_GB2312" w:eastAsia="仿宋_GB2312"/>
                <w:sz w:val="20"/>
              </w:rPr>
              <w:t>/备案申报的企业，通过申报资料的填写提交之后，由政务大厅进行受理、业务处室进行审核，对于涉及现场检查的企业在日常检查模块进行检查并将检查结果同步至行政许可由业务处室进行审批是否许可；对于需要技术审评的企业专设技术审评模块，在技术审评过程中需要现场检查时，在日常检查模块进行检查并将检查结果同步至技术审评模块，审评完成之后最终同步至许可审批模块由业务处室进行审批是否许可，最终生成相应的电子证照并进行公示</w:t>
            </w:r>
            <w:r>
              <w:rPr>
                <w:rFonts w:ascii="仿宋_GB2312" w:hAnsi="仿宋_GB2312" w:cs="仿宋_GB2312" w:eastAsia="仿宋_GB2312"/>
                <w:sz w:val="20"/>
              </w:rPr>
              <w:t>。根据政务服务事项实行扁平化管理模式要求，</w:t>
            </w:r>
            <w:r>
              <w:rPr>
                <w:rFonts w:ascii="仿宋_GB2312" w:hAnsi="仿宋_GB2312" w:cs="仿宋_GB2312" w:eastAsia="仿宋_GB2312"/>
                <w:sz w:val="20"/>
              </w:rPr>
              <w:t>实施功能改造以下</w:t>
            </w:r>
            <w:r>
              <w:rPr>
                <w:rFonts w:ascii="仿宋_GB2312" w:hAnsi="仿宋_GB2312" w:cs="仿宋_GB2312" w:eastAsia="仿宋_GB2312"/>
                <w:sz w:val="20"/>
              </w:rPr>
              <w:t>22类事项</w:t>
            </w:r>
          </w:p>
          <w:p>
            <w:pPr>
              <w:pStyle w:val="null3"/>
              <w:spacing w:before="120" w:after="120"/>
              <w:ind w:left="900"/>
              <w:jc w:val="both"/>
              <w:outlineLvl w:val="2"/>
            </w:pPr>
            <w:r>
              <w:rPr>
                <w:rFonts w:ascii="仿宋_GB2312" w:hAnsi="仿宋_GB2312" w:cs="仿宋_GB2312" w:eastAsia="仿宋_GB2312"/>
                <w:sz w:val="20"/>
                <w:b/>
              </w:rPr>
              <w:t>(1)</w:t>
            </w:r>
            <w:r>
              <w:rPr>
                <w:rFonts w:ascii="仿宋_GB2312" w:hAnsi="仿宋_GB2312" w:cs="仿宋_GB2312" w:eastAsia="仿宋_GB2312"/>
                <w:sz w:val="20"/>
                <w:b/>
              </w:rPr>
              <w:t>化妆品生产许可事项</w:t>
            </w:r>
          </w:p>
          <w:p>
            <w:pPr>
              <w:pStyle w:val="null3"/>
              <w:ind w:firstLine="480"/>
              <w:jc w:val="both"/>
            </w:pPr>
            <w:r>
              <w:rPr>
                <w:rFonts w:ascii="仿宋_GB2312" w:hAnsi="仿宋_GB2312" w:cs="仿宋_GB2312" w:eastAsia="仿宋_GB2312"/>
                <w:sz w:val="20"/>
              </w:rPr>
              <w:t>对化妆品生产许可事项进行改造包括：企业端申报、行政许可，行政检查、监管档案以及生成的电子证照，同时要求机关业务处室审核与直属单位分管领导审核并联方式进行。</w:t>
            </w:r>
          </w:p>
          <w:p>
            <w:pPr>
              <w:pStyle w:val="null3"/>
              <w:spacing w:before="120" w:after="120"/>
              <w:ind w:left="900"/>
              <w:jc w:val="both"/>
              <w:outlineLvl w:val="2"/>
            </w:pPr>
            <w:r>
              <w:rPr>
                <w:rFonts w:ascii="仿宋_GB2312" w:hAnsi="仿宋_GB2312" w:cs="仿宋_GB2312" w:eastAsia="仿宋_GB2312"/>
                <w:sz w:val="20"/>
                <w:b/>
              </w:rPr>
              <w:t>(2)</w:t>
            </w:r>
            <w:r>
              <w:rPr>
                <w:rFonts w:ascii="仿宋_GB2312" w:hAnsi="仿宋_GB2312" w:cs="仿宋_GB2312" w:eastAsia="仿宋_GB2312"/>
                <w:sz w:val="20"/>
                <w:b/>
              </w:rPr>
              <w:t>药品生产许可事项</w:t>
            </w:r>
          </w:p>
          <w:p>
            <w:pPr>
              <w:pStyle w:val="null3"/>
              <w:ind w:firstLine="480"/>
              <w:jc w:val="both"/>
            </w:pPr>
            <w:r>
              <w:rPr>
                <w:rFonts w:ascii="仿宋_GB2312" w:hAnsi="仿宋_GB2312" w:cs="仿宋_GB2312" w:eastAsia="仿宋_GB2312"/>
                <w:sz w:val="20"/>
              </w:rPr>
              <w:t>对药品生产许可事项进行改造包括：企业端申报、行政许可，行政检查、监管档案以及生成的电子证照，同时要求机关业务处室审核与直属单位分管领导审核并联方式进行。</w:t>
            </w:r>
          </w:p>
          <w:p>
            <w:pPr>
              <w:pStyle w:val="null3"/>
              <w:spacing w:before="120" w:after="120"/>
              <w:ind w:left="900"/>
              <w:jc w:val="both"/>
              <w:outlineLvl w:val="2"/>
            </w:pPr>
            <w:r>
              <w:rPr>
                <w:rFonts w:ascii="仿宋_GB2312" w:hAnsi="仿宋_GB2312" w:cs="仿宋_GB2312" w:eastAsia="仿宋_GB2312"/>
                <w:sz w:val="20"/>
                <w:b/>
              </w:rPr>
              <w:t>(3)</w:t>
            </w:r>
            <w:r>
              <w:rPr>
                <w:rFonts w:ascii="仿宋_GB2312" w:hAnsi="仿宋_GB2312" w:cs="仿宋_GB2312" w:eastAsia="仿宋_GB2312"/>
                <w:sz w:val="20"/>
                <w:b/>
              </w:rPr>
              <w:t>药品经营（批发）许可事项</w:t>
            </w:r>
          </w:p>
          <w:p>
            <w:pPr>
              <w:pStyle w:val="null3"/>
              <w:ind w:firstLine="480"/>
              <w:jc w:val="both"/>
            </w:pPr>
            <w:r>
              <w:rPr>
                <w:rFonts w:ascii="仿宋_GB2312" w:hAnsi="仿宋_GB2312" w:cs="仿宋_GB2312" w:eastAsia="仿宋_GB2312"/>
                <w:sz w:val="20"/>
              </w:rPr>
              <w:t>对药品经营（批发）许可事项进行改造包括：企业端申报、行政许可，行政检查、监管档案以及生成的电子证照，同时要求机关业务处室审核与直属单位分管领导审核监督并联方式进行。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(4)</w:t>
            </w:r>
            <w:r>
              <w:rPr>
                <w:rFonts w:ascii="仿宋_GB2312" w:hAnsi="仿宋_GB2312" w:cs="仿宋_GB2312" w:eastAsia="仿宋_GB2312"/>
                <w:sz w:val="20"/>
                <w:b/>
              </w:rPr>
              <w:t>药品经营许可（零售）连锁总部事项</w:t>
            </w:r>
          </w:p>
          <w:p>
            <w:pPr>
              <w:pStyle w:val="null3"/>
              <w:ind w:firstLine="480"/>
              <w:jc w:val="both"/>
            </w:pPr>
            <w:r>
              <w:rPr>
                <w:rFonts w:ascii="仿宋_GB2312" w:hAnsi="仿宋_GB2312" w:cs="仿宋_GB2312" w:eastAsia="仿宋_GB2312"/>
                <w:sz w:val="20"/>
              </w:rPr>
              <w:t>对药品经营许可（零售）连锁总部事项进行改造包括：企业端申报、行政许可，行政检查、监管档案以及生成的电子证照，同时要求机关业务处室审核与直属单位分管领导审核监督并联方式进行。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(5)</w:t>
            </w:r>
            <w:r>
              <w:rPr>
                <w:rFonts w:ascii="仿宋_GB2312" w:hAnsi="仿宋_GB2312" w:cs="仿宋_GB2312" w:eastAsia="仿宋_GB2312"/>
                <w:sz w:val="20"/>
                <w:b/>
              </w:rPr>
              <w:t>放射性药品生产许可事项</w:t>
            </w:r>
          </w:p>
          <w:p>
            <w:pPr>
              <w:pStyle w:val="null3"/>
              <w:ind w:firstLine="480"/>
              <w:jc w:val="both"/>
            </w:pPr>
            <w:r>
              <w:rPr>
                <w:rFonts w:ascii="仿宋_GB2312" w:hAnsi="仿宋_GB2312" w:cs="仿宋_GB2312" w:eastAsia="仿宋_GB2312"/>
                <w:sz w:val="20"/>
              </w:rPr>
              <w:t>对放射性药品生产许可事项进行改造包括：企业端申报、行政许可，行政检查、监管档案以及生成的电子证照，同时要求机关业务处室审核与直属单位分管领导审核监督并联方式进行。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(6)</w:t>
            </w:r>
            <w:r>
              <w:rPr>
                <w:rFonts w:ascii="仿宋_GB2312" w:hAnsi="仿宋_GB2312" w:cs="仿宋_GB2312" w:eastAsia="仿宋_GB2312"/>
                <w:sz w:val="20"/>
                <w:b/>
              </w:rPr>
              <w:t>医疗机构制剂许可事项</w:t>
            </w:r>
          </w:p>
          <w:p>
            <w:pPr>
              <w:pStyle w:val="null3"/>
              <w:ind w:firstLine="480"/>
              <w:jc w:val="both"/>
            </w:pPr>
            <w:r>
              <w:rPr>
                <w:rFonts w:ascii="仿宋_GB2312" w:hAnsi="仿宋_GB2312" w:cs="仿宋_GB2312" w:eastAsia="仿宋_GB2312"/>
                <w:sz w:val="20"/>
              </w:rPr>
              <w:t>对医疗机构制剂许可事项进行改造包括：企业端申报、行政许可，行政检查、监管档案以及生成的电子证照，同时要求机关业务处室审核与直属单位分管领导审核监督并联方式进行。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(7)</w:t>
            </w:r>
            <w:r>
              <w:rPr>
                <w:rFonts w:ascii="仿宋_GB2312" w:hAnsi="仿宋_GB2312" w:cs="仿宋_GB2312" w:eastAsia="仿宋_GB2312"/>
                <w:sz w:val="20"/>
                <w:b/>
              </w:rPr>
              <w:t>第二三类医疗器械生产许可事项</w:t>
            </w:r>
          </w:p>
          <w:p>
            <w:pPr>
              <w:pStyle w:val="null3"/>
              <w:ind w:firstLine="480"/>
              <w:jc w:val="both"/>
            </w:pPr>
            <w:r>
              <w:rPr>
                <w:rFonts w:ascii="仿宋_GB2312" w:hAnsi="仿宋_GB2312" w:cs="仿宋_GB2312" w:eastAsia="仿宋_GB2312"/>
                <w:sz w:val="20"/>
              </w:rPr>
              <w:t>对第二三类医疗器械生产许可事项进行改造包括：企业端申报、行政许可，行政检查、监管档案以及生成的电子证照，同时要求机关业务处室审核与直属单位分管领导审核监督并联方式进行。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(8)</w:t>
            </w:r>
            <w:r>
              <w:rPr>
                <w:rFonts w:ascii="仿宋_GB2312" w:hAnsi="仿宋_GB2312" w:cs="仿宋_GB2312" w:eastAsia="仿宋_GB2312"/>
                <w:sz w:val="20"/>
                <w:b/>
              </w:rPr>
              <w:t>药品网络交易第三方平台备案事项</w:t>
            </w:r>
          </w:p>
          <w:p>
            <w:pPr>
              <w:pStyle w:val="null3"/>
              <w:ind w:firstLine="480"/>
              <w:jc w:val="both"/>
            </w:pPr>
            <w:r>
              <w:rPr>
                <w:rFonts w:ascii="仿宋_GB2312" w:hAnsi="仿宋_GB2312" w:cs="仿宋_GB2312" w:eastAsia="仿宋_GB2312"/>
                <w:sz w:val="20"/>
              </w:rPr>
              <w:t>对药品网络交易第三方平台备案事项进行改造包括：企业端申报、行政许可，行政检查、监管档案以及生成的电子证照，同时要求机关业务处室审核与直属单位分管领导审核监督并联方式进行。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(9)</w:t>
            </w:r>
            <w:r>
              <w:rPr>
                <w:rFonts w:ascii="仿宋_GB2312" w:hAnsi="仿宋_GB2312" w:cs="仿宋_GB2312" w:eastAsia="仿宋_GB2312"/>
                <w:sz w:val="20"/>
                <w:b/>
              </w:rPr>
              <w:t>放射性药品经营许可事项</w:t>
            </w:r>
          </w:p>
          <w:p>
            <w:pPr>
              <w:pStyle w:val="null3"/>
              <w:ind w:firstLine="480"/>
              <w:jc w:val="both"/>
            </w:pPr>
            <w:r>
              <w:rPr>
                <w:rFonts w:ascii="仿宋_GB2312" w:hAnsi="仿宋_GB2312" w:cs="仿宋_GB2312" w:eastAsia="仿宋_GB2312"/>
                <w:sz w:val="20"/>
              </w:rPr>
              <w:t>对放射性药品经营许可事项进行改造包括：企业端申报、行政许可，行政检查、监管档案以及生成的电子证照，同时要求机关业务处室审核与直属单位分管领导审核监督并联方式进行。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(10)</w:t>
            </w:r>
            <w:r>
              <w:rPr>
                <w:rFonts w:ascii="仿宋_GB2312" w:hAnsi="仿宋_GB2312" w:cs="仿宋_GB2312" w:eastAsia="仿宋_GB2312"/>
                <w:sz w:val="20"/>
                <w:b/>
              </w:rPr>
              <w:t>医疗机构放射性药品使用审批事项</w:t>
            </w:r>
          </w:p>
          <w:p>
            <w:pPr>
              <w:pStyle w:val="null3"/>
              <w:ind w:firstLine="480"/>
              <w:jc w:val="both"/>
            </w:pPr>
            <w:r>
              <w:rPr>
                <w:rFonts w:ascii="仿宋_GB2312" w:hAnsi="仿宋_GB2312" w:cs="仿宋_GB2312" w:eastAsia="仿宋_GB2312"/>
                <w:sz w:val="20"/>
              </w:rPr>
              <w:t>对医疗机构放射性药品使用审批事项进行改造包括：企业端申报、行政许可，行政检查、监管档案以及生成的电子证照，同时要求机关业务处室审核与直属单位分管领导审核监督并联方式进行。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(11)</w:t>
            </w:r>
            <w:r>
              <w:rPr>
                <w:rFonts w:ascii="仿宋_GB2312" w:hAnsi="仿宋_GB2312" w:cs="仿宋_GB2312" w:eastAsia="仿宋_GB2312"/>
                <w:sz w:val="20"/>
                <w:b/>
              </w:rPr>
              <w:t>第二类医疗器械产品注册备案变更</w:t>
            </w:r>
          </w:p>
          <w:p>
            <w:pPr>
              <w:pStyle w:val="null3"/>
              <w:ind w:firstLine="480"/>
              <w:jc w:val="both"/>
            </w:pPr>
            <w:r>
              <w:rPr>
                <w:rFonts w:ascii="仿宋_GB2312" w:hAnsi="仿宋_GB2312" w:cs="仿宋_GB2312" w:eastAsia="仿宋_GB2312"/>
                <w:sz w:val="20"/>
              </w:rPr>
              <w:t>对第二类医疗器械产品注册备案变更事项进行改造包括：企业端申报、行政许可。</w:t>
            </w:r>
          </w:p>
          <w:p>
            <w:pPr>
              <w:pStyle w:val="null3"/>
              <w:spacing w:before="120" w:after="120"/>
              <w:ind w:left="900"/>
              <w:jc w:val="both"/>
              <w:outlineLvl w:val="2"/>
            </w:pPr>
            <w:r>
              <w:rPr>
                <w:rFonts w:ascii="仿宋_GB2312" w:hAnsi="仿宋_GB2312" w:cs="仿宋_GB2312" w:eastAsia="仿宋_GB2312"/>
                <w:sz w:val="20"/>
                <w:b/>
              </w:rPr>
              <w:t>(12)</w:t>
            </w:r>
            <w:r>
              <w:rPr>
                <w:rFonts w:ascii="仿宋_GB2312" w:hAnsi="仿宋_GB2312" w:cs="仿宋_GB2312" w:eastAsia="仿宋_GB2312"/>
                <w:sz w:val="20"/>
                <w:b/>
              </w:rPr>
              <w:t>第二类体外诊断试剂产品注册备案变更</w:t>
            </w:r>
          </w:p>
          <w:p>
            <w:pPr>
              <w:pStyle w:val="null3"/>
              <w:ind w:firstLine="480"/>
              <w:jc w:val="both"/>
            </w:pPr>
            <w:r>
              <w:rPr>
                <w:rFonts w:ascii="仿宋_GB2312" w:hAnsi="仿宋_GB2312" w:cs="仿宋_GB2312" w:eastAsia="仿宋_GB2312"/>
                <w:sz w:val="20"/>
              </w:rPr>
              <w:t>对第二类体外诊断试剂产品注册备案变更事项进行改造包括：企业端申报、行政许可。</w:t>
            </w:r>
          </w:p>
          <w:p>
            <w:pPr>
              <w:pStyle w:val="null3"/>
              <w:spacing w:before="120" w:after="120"/>
              <w:ind w:left="900"/>
              <w:jc w:val="both"/>
              <w:outlineLvl w:val="2"/>
            </w:pPr>
            <w:r>
              <w:rPr>
                <w:rFonts w:ascii="仿宋_GB2312" w:hAnsi="仿宋_GB2312" w:cs="仿宋_GB2312" w:eastAsia="仿宋_GB2312"/>
                <w:sz w:val="20"/>
                <w:b/>
              </w:rPr>
              <w:t>(13)</w:t>
            </w:r>
            <w:r>
              <w:rPr>
                <w:rFonts w:ascii="仿宋_GB2312" w:hAnsi="仿宋_GB2312" w:cs="仿宋_GB2312" w:eastAsia="仿宋_GB2312"/>
                <w:sz w:val="20"/>
                <w:b/>
              </w:rPr>
              <w:t>医疗器械生产企业名称、住所变更</w:t>
            </w:r>
          </w:p>
          <w:p>
            <w:pPr>
              <w:pStyle w:val="null3"/>
              <w:ind w:firstLine="480"/>
              <w:jc w:val="both"/>
            </w:pPr>
            <w:r>
              <w:rPr>
                <w:rFonts w:ascii="仿宋_GB2312" w:hAnsi="仿宋_GB2312" w:cs="仿宋_GB2312" w:eastAsia="仿宋_GB2312"/>
                <w:sz w:val="20"/>
              </w:rPr>
              <w:t>对医疗器械生产企业名称、住所变更事项进行改造包括：企业端申报、行政许可。</w:t>
            </w:r>
          </w:p>
          <w:p>
            <w:pPr>
              <w:pStyle w:val="null3"/>
              <w:spacing w:before="120" w:after="120"/>
              <w:ind w:left="900"/>
              <w:jc w:val="both"/>
              <w:outlineLvl w:val="2"/>
            </w:pPr>
            <w:r>
              <w:rPr>
                <w:rFonts w:ascii="仿宋_GB2312" w:hAnsi="仿宋_GB2312" w:cs="仿宋_GB2312" w:eastAsia="仿宋_GB2312"/>
                <w:sz w:val="20"/>
                <w:b/>
              </w:rPr>
              <w:t>(14)</w:t>
            </w:r>
            <w:r>
              <w:rPr>
                <w:rFonts w:ascii="仿宋_GB2312" w:hAnsi="仿宋_GB2312" w:cs="仿宋_GB2312" w:eastAsia="仿宋_GB2312"/>
                <w:sz w:val="20"/>
                <w:b/>
              </w:rPr>
              <w:t>第二类医疗器械产品注册事项</w:t>
            </w:r>
          </w:p>
          <w:p>
            <w:pPr>
              <w:pStyle w:val="null3"/>
              <w:ind w:firstLine="480"/>
              <w:jc w:val="both"/>
            </w:pPr>
            <w:r>
              <w:rPr>
                <w:rFonts w:ascii="仿宋_GB2312" w:hAnsi="仿宋_GB2312" w:cs="仿宋_GB2312" w:eastAsia="仿宋_GB2312"/>
                <w:sz w:val="20"/>
              </w:rPr>
              <w:t>对第二类医疗器械产品注册事项进行改造包括：企业端申报、行政许可，行政检查、技术评审、监管档案以及生成的电子证照，同时要求机关业务处室审核与直属单位分管领导审核监督并联方式进行。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(15)</w:t>
            </w:r>
            <w:r>
              <w:rPr>
                <w:rFonts w:ascii="仿宋_GB2312" w:hAnsi="仿宋_GB2312" w:cs="仿宋_GB2312" w:eastAsia="仿宋_GB2312"/>
                <w:sz w:val="20"/>
                <w:b/>
              </w:rPr>
              <w:t>第二类体外诊断试剂产品注册事项</w:t>
            </w:r>
          </w:p>
          <w:p>
            <w:pPr>
              <w:pStyle w:val="null3"/>
              <w:ind w:firstLine="480"/>
              <w:jc w:val="both"/>
            </w:pPr>
            <w:r>
              <w:rPr>
                <w:rFonts w:ascii="仿宋_GB2312" w:hAnsi="仿宋_GB2312" w:cs="仿宋_GB2312" w:eastAsia="仿宋_GB2312"/>
                <w:sz w:val="20"/>
              </w:rPr>
              <w:t>对第二类体外诊断试剂产品注册事项进行改造包括：企业端申报、行政许可，行政检查、技术评审、监管档案以及生成的电子证照，同时要求机关业务处室审核与直属单位分管领导审核监督并联方式进行。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(16)</w:t>
            </w:r>
            <w:r>
              <w:rPr>
                <w:rFonts w:ascii="仿宋_GB2312" w:hAnsi="仿宋_GB2312" w:cs="仿宋_GB2312" w:eastAsia="仿宋_GB2312"/>
                <w:sz w:val="20"/>
                <w:b/>
              </w:rPr>
              <w:t>药品上市后变更注册管理事项</w:t>
            </w:r>
          </w:p>
          <w:p>
            <w:pPr>
              <w:pStyle w:val="null3"/>
              <w:ind w:firstLine="480"/>
              <w:jc w:val="both"/>
            </w:pPr>
            <w:r>
              <w:rPr>
                <w:rFonts w:ascii="仿宋_GB2312" w:hAnsi="仿宋_GB2312" w:cs="仿宋_GB2312" w:eastAsia="仿宋_GB2312"/>
                <w:sz w:val="20"/>
              </w:rPr>
              <w:t>对药品上市后变更注册管理事项进行改造包括：企业端申报、行政许可，行政检查、技术评审以及生成的电子证照，同时要求机关业务处室审核与直属单位分管领导审核监督并联方式进行。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(17)</w:t>
            </w:r>
            <w:r>
              <w:rPr>
                <w:rFonts w:ascii="仿宋_GB2312" w:hAnsi="仿宋_GB2312" w:cs="仿宋_GB2312" w:eastAsia="仿宋_GB2312"/>
                <w:sz w:val="20"/>
                <w:b/>
              </w:rPr>
              <w:t>中药制剂备案事项</w:t>
            </w:r>
          </w:p>
          <w:p>
            <w:pPr>
              <w:pStyle w:val="null3"/>
              <w:ind w:firstLine="480"/>
              <w:jc w:val="both"/>
            </w:pPr>
            <w:r>
              <w:rPr>
                <w:rFonts w:ascii="仿宋_GB2312" w:hAnsi="仿宋_GB2312" w:cs="仿宋_GB2312" w:eastAsia="仿宋_GB2312"/>
                <w:sz w:val="20"/>
              </w:rPr>
              <w:t>对中药制剂备案事项进行改造包括：企业端申报、行政许可，行政检查、技术评审。</w:t>
            </w:r>
          </w:p>
          <w:p>
            <w:pPr>
              <w:pStyle w:val="null3"/>
              <w:spacing w:before="120" w:after="120"/>
              <w:ind w:left="900"/>
              <w:jc w:val="both"/>
              <w:outlineLvl w:val="2"/>
            </w:pPr>
            <w:r>
              <w:rPr>
                <w:rFonts w:ascii="仿宋_GB2312" w:hAnsi="仿宋_GB2312" w:cs="仿宋_GB2312" w:eastAsia="仿宋_GB2312"/>
                <w:sz w:val="20"/>
                <w:b/>
              </w:rPr>
              <w:t>(18)</w:t>
            </w:r>
            <w:r>
              <w:rPr>
                <w:rFonts w:ascii="仿宋_GB2312" w:hAnsi="仿宋_GB2312" w:cs="仿宋_GB2312" w:eastAsia="仿宋_GB2312"/>
                <w:sz w:val="20"/>
                <w:b/>
              </w:rPr>
              <w:t>中药配方颗粒上市备案</w:t>
            </w:r>
          </w:p>
          <w:p>
            <w:pPr>
              <w:pStyle w:val="null3"/>
              <w:ind w:firstLine="480"/>
              <w:jc w:val="both"/>
            </w:pPr>
            <w:r>
              <w:rPr>
                <w:rFonts w:ascii="仿宋_GB2312" w:hAnsi="仿宋_GB2312" w:cs="仿宋_GB2312" w:eastAsia="仿宋_GB2312"/>
                <w:sz w:val="20"/>
              </w:rPr>
              <w:t>对中药配方颗粒上市备案进行改造包括：企业端申报、行政许可，行政检查、监管档案以及生成的电子证照，同时要求机关业务处室审核与直属单位分管领导审核监督并联方式进行。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(19)</w:t>
            </w:r>
            <w:r>
              <w:rPr>
                <w:rFonts w:ascii="仿宋_GB2312" w:hAnsi="仿宋_GB2312" w:cs="仿宋_GB2312" w:eastAsia="仿宋_GB2312"/>
                <w:sz w:val="20"/>
                <w:b/>
              </w:rPr>
              <w:t>国产药品再注册事项</w:t>
            </w:r>
          </w:p>
          <w:p>
            <w:pPr>
              <w:pStyle w:val="null3"/>
              <w:ind w:firstLine="480"/>
              <w:jc w:val="both"/>
            </w:pPr>
            <w:r>
              <w:rPr>
                <w:rFonts w:ascii="仿宋_GB2312" w:hAnsi="仿宋_GB2312" w:cs="仿宋_GB2312" w:eastAsia="仿宋_GB2312"/>
                <w:sz w:val="20"/>
              </w:rPr>
              <w:t>对国产药品再注册事项进行改造包括：企业端申报、行政许可、技术评审、以及生成的电子证照，同时要求机关业务处室审核与直属单位分管领导审核监督并联方式进行。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(20)</w:t>
            </w:r>
            <w:r>
              <w:rPr>
                <w:rFonts w:ascii="仿宋_GB2312" w:hAnsi="仿宋_GB2312" w:cs="仿宋_GB2312" w:eastAsia="仿宋_GB2312"/>
                <w:sz w:val="20"/>
                <w:b/>
              </w:rPr>
              <w:t>医疗机构制剂再注册事项</w:t>
            </w:r>
          </w:p>
          <w:p>
            <w:pPr>
              <w:pStyle w:val="null3"/>
              <w:ind w:firstLine="480"/>
              <w:jc w:val="both"/>
            </w:pPr>
            <w:r>
              <w:rPr>
                <w:rFonts w:ascii="仿宋_GB2312" w:hAnsi="仿宋_GB2312" w:cs="仿宋_GB2312" w:eastAsia="仿宋_GB2312"/>
                <w:sz w:val="20"/>
              </w:rPr>
              <w:t>对医疗机构制剂再注册事项进行改造包括：企业端申报、行政许可、技术评审、以及生成的电子证照，同时要求机关业务处室审核与直属单位分管领导审核监督并联方式进行。</w:t>
            </w:r>
          </w:p>
          <w:p>
            <w:pPr>
              <w:pStyle w:val="null3"/>
              <w:spacing w:before="120" w:after="120"/>
              <w:ind w:left="900"/>
              <w:jc w:val="both"/>
              <w:outlineLvl w:val="2"/>
            </w:pPr>
            <w:r>
              <w:rPr>
                <w:rFonts w:ascii="仿宋_GB2312" w:hAnsi="仿宋_GB2312" w:cs="仿宋_GB2312" w:eastAsia="仿宋_GB2312"/>
                <w:sz w:val="20"/>
                <w:b/>
              </w:rPr>
              <w:t>(21)</w:t>
            </w:r>
            <w:r>
              <w:rPr>
                <w:rFonts w:ascii="仿宋_GB2312" w:hAnsi="仿宋_GB2312" w:cs="仿宋_GB2312" w:eastAsia="仿宋_GB2312"/>
                <w:sz w:val="20"/>
                <w:b/>
              </w:rPr>
              <w:t>医疗机构制剂补充申请事项</w:t>
            </w:r>
          </w:p>
          <w:p>
            <w:pPr>
              <w:pStyle w:val="null3"/>
              <w:ind w:firstLine="480"/>
              <w:jc w:val="both"/>
            </w:pPr>
            <w:r>
              <w:rPr>
                <w:rFonts w:ascii="仿宋_GB2312" w:hAnsi="仿宋_GB2312" w:cs="仿宋_GB2312" w:eastAsia="仿宋_GB2312"/>
                <w:sz w:val="20"/>
              </w:rPr>
              <w:t>对医疗机构制剂补充申请事项进行改造包括：企业端申报、行政许可，行政检查、技术评审。</w:t>
            </w:r>
          </w:p>
          <w:p>
            <w:pPr>
              <w:pStyle w:val="null3"/>
              <w:spacing w:before="120" w:after="120"/>
              <w:ind w:left="900"/>
              <w:jc w:val="both"/>
              <w:outlineLvl w:val="2"/>
            </w:pPr>
            <w:r>
              <w:rPr>
                <w:rFonts w:ascii="仿宋_GB2312" w:hAnsi="仿宋_GB2312" w:cs="仿宋_GB2312" w:eastAsia="仿宋_GB2312"/>
                <w:sz w:val="20"/>
                <w:b/>
              </w:rPr>
              <w:t>(22)</w:t>
            </w:r>
            <w:r>
              <w:rPr>
                <w:rFonts w:ascii="仿宋_GB2312" w:hAnsi="仿宋_GB2312" w:cs="仿宋_GB2312" w:eastAsia="仿宋_GB2312"/>
                <w:sz w:val="20"/>
                <w:b/>
              </w:rPr>
              <w:t>医疗机构配制制剂新品种批准事项</w:t>
            </w:r>
          </w:p>
          <w:p>
            <w:pPr>
              <w:pStyle w:val="null3"/>
              <w:ind w:firstLine="480"/>
              <w:jc w:val="both"/>
            </w:pPr>
            <w:r>
              <w:rPr>
                <w:rFonts w:ascii="仿宋_GB2312" w:hAnsi="仿宋_GB2312" w:cs="仿宋_GB2312" w:eastAsia="仿宋_GB2312"/>
                <w:sz w:val="20"/>
              </w:rPr>
              <w:t>对医疗机构配制制剂新品种批准事项进行改造包括：企业端申报、行政许可，行政检查、技术评审。</w:t>
            </w:r>
          </w:p>
          <w:p>
            <w:pPr>
              <w:pStyle w:val="null3"/>
              <w:spacing w:before="60" w:after="60"/>
              <w:ind w:left="420"/>
              <w:jc w:val="both"/>
              <w:outlineLvl w:val="1"/>
            </w:pPr>
            <w:r>
              <w:rPr>
                <w:rFonts w:ascii="仿宋_GB2312" w:hAnsi="仿宋_GB2312" w:cs="仿宋_GB2312" w:eastAsia="仿宋_GB2312"/>
                <w:sz w:val="20"/>
                <w:b/>
              </w:rPr>
              <w:t>3.</w:t>
            </w:r>
            <w:r>
              <w:rPr>
                <w:rFonts w:ascii="仿宋_GB2312" w:hAnsi="仿宋_GB2312" w:cs="仿宋_GB2312" w:eastAsia="仿宋_GB2312"/>
                <w:sz w:val="20"/>
                <w:b/>
              </w:rPr>
              <w:t>高效办事一件事需求</w:t>
            </w:r>
          </w:p>
          <w:p>
            <w:pPr>
              <w:pStyle w:val="null3"/>
              <w:ind w:firstLine="480"/>
              <w:jc w:val="both"/>
            </w:pPr>
            <w:r>
              <w:rPr>
                <w:rFonts w:ascii="仿宋_GB2312" w:hAnsi="仿宋_GB2312" w:cs="仿宋_GB2312" w:eastAsia="仿宋_GB2312"/>
                <w:sz w:val="20"/>
              </w:rPr>
              <w:t>随着</w:t>
            </w:r>
            <w:r>
              <w:rPr>
                <w:rFonts w:ascii="仿宋_GB2312" w:hAnsi="仿宋_GB2312" w:cs="仿宋_GB2312" w:eastAsia="仿宋_GB2312"/>
                <w:sz w:val="20"/>
              </w:rPr>
              <w:t>“放管服”改革的深入，各级政府积极推动陕西省高效办成“一件事”的联办，旨在简化审批流程，提高审批效率，降低企业成本，优化营商环境。实现了开办药品零售店时同步进行药品经营许可证、第二类医疗器械经营备案、第三类医疗器械经营许可、预包装食品经营备案、牌匾标识审查登记申请办理，大幅提升了审批效率，减少了企业的申报次数。</w:t>
            </w:r>
          </w:p>
          <w:p>
            <w:pPr>
              <w:pStyle w:val="null3"/>
              <w:spacing w:before="60" w:after="60"/>
              <w:ind w:left="420"/>
              <w:jc w:val="both"/>
              <w:outlineLvl w:val="1"/>
            </w:pPr>
            <w:r>
              <w:rPr>
                <w:rFonts w:ascii="仿宋_GB2312" w:hAnsi="仿宋_GB2312" w:cs="仿宋_GB2312" w:eastAsia="仿宋_GB2312"/>
                <w:sz w:val="20"/>
                <w:b/>
              </w:rPr>
              <w:t>4.</w:t>
            </w:r>
            <w:r>
              <w:rPr>
                <w:rFonts w:ascii="仿宋_GB2312" w:hAnsi="仿宋_GB2312" w:cs="仿宋_GB2312" w:eastAsia="仿宋_GB2312"/>
                <w:sz w:val="20"/>
                <w:b/>
              </w:rPr>
              <w:t>数据对接与共享</w:t>
            </w:r>
          </w:p>
          <w:p>
            <w:pPr>
              <w:pStyle w:val="null3"/>
              <w:ind w:firstLine="480"/>
              <w:jc w:val="both"/>
            </w:pPr>
            <w:r>
              <w:rPr>
                <w:rFonts w:ascii="仿宋_GB2312" w:hAnsi="仿宋_GB2312" w:cs="仿宋_GB2312" w:eastAsia="仿宋_GB2312"/>
                <w:sz w:val="20"/>
              </w:rPr>
              <w:t>依托国家电子政务外网，通过数据接口实现与国家数据中心、国家局、下级药品监管部门、省信用办、省政府服务网及其他政府部门的数据交换与共享，打破数据孤岛，实现跨地区、跨层级、跨部门的数据互认共享</w:t>
            </w:r>
            <w:r>
              <w:rPr>
                <w:rFonts w:ascii="仿宋_GB2312" w:hAnsi="仿宋_GB2312" w:cs="仿宋_GB2312" w:eastAsia="仿宋_GB2312"/>
                <w:sz w:val="20"/>
              </w:rPr>
              <w:t>。</w:t>
            </w:r>
          </w:p>
          <w:p>
            <w:pPr>
              <w:pStyle w:val="null3"/>
              <w:spacing w:before="120" w:after="120"/>
              <w:ind w:left="900"/>
              <w:jc w:val="both"/>
              <w:outlineLvl w:val="2"/>
            </w:pPr>
            <w:r>
              <w:rPr>
                <w:rFonts w:ascii="仿宋_GB2312" w:hAnsi="仿宋_GB2312" w:cs="仿宋_GB2312" w:eastAsia="仿宋_GB2312"/>
                <w:sz w:val="20"/>
                <w:b/>
              </w:rPr>
              <w:t>(1)</w:t>
            </w:r>
            <w:r>
              <w:rPr>
                <w:rFonts w:ascii="仿宋_GB2312" w:hAnsi="仿宋_GB2312" w:cs="仿宋_GB2312" w:eastAsia="仿宋_GB2312"/>
                <w:sz w:val="20"/>
                <w:b/>
              </w:rPr>
              <w:t>与执法系统行政许可和监督检查信息的对接</w:t>
            </w:r>
          </w:p>
          <w:p>
            <w:pPr>
              <w:pStyle w:val="null3"/>
              <w:ind w:firstLine="480"/>
              <w:jc w:val="both"/>
            </w:pPr>
            <w:r>
              <w:rPr>
                <w:rFonts w:ascii="仿宋_GB2312" w:hAnsi="仿宋_GB2312" w:cs="仿宋_GB2312" w:eastAsia="仿宋_GB2312"/>
                <w:sz w:val="20"/>
              </w:rPr>
              <w:t>根据国家局行政执法综合管理监督信息系统规范的要求，完成行政许可，行政检查数据的对接。</w:t>
            </w:r>
          </w:p>
          <w:p>
            <w:pPr>
              <w:pStyle w:val="null3"/>
              <w:spacing w:before="120" w:after="120"/>
              <w:ind w:left="900"/>
              <w:jc w:val="both"/>
              <w:outlineLvl w:val="2"/>
            </w:pPr>
            <w:r>
              <w:rPr>
                <w:rFonts w:ascii="仿宋_GB2312" w:hAnsi="仿宋_GB2312" w:cs="仿宋_GB2312" w:eastAsia="仿宋_GB2312"/>
                <w:sz w:val="20"/>
                <w:b/>
              </w:rPr>
              <w:t>(2)</w:t>
            </w:r>
            <w:r>
              <w:rPr>
                <w:rFonts w:ascii="仿宋_GB2312" w:hAnsi="仿宋_GB2312" w:cs="仿宋_GB2312" w:eastAsia="仿宋_GB2312"/>
                <w:sz w:val="20"/>
                <w:b/>
              </w:rPr>
              <w:t>新旧事项库切换对接</w:t>
            </w:r>
          </w:p>
          <w:p>
            <w:pPr>
              <w:pStyle w:val="null3"/>
              <w:ind w:firstLine="480"/>
              <w:jc w:val="both"/>
            </w:pPr>
            <w:r>
              <w:rPr>
                <w:rFonts w:ascii="仿宋_GB2312" w:hAnsi="仿宋_GB2312" w:cs="仿宋_GB2312" w:eastAsia="仿宋_GB2312"/>
                <w:sz w:val="20"/>
              </w:rPr>
              <w:t>加强对政务服务事项规范管理，提升政务服务规范化水平，并依据《</w:t>
            </w:r>
            <w:r>
              <w:rPr>
                <w:rFonts w:ascii="仿宋_GB2312" w:hAnsi="仿宋_GB2312" w:cs="仿宋_GB2312" w:eastAsia="仿宋_GB2312"/>
                <w:sz w:val="20"/>
              </w:rPr>
              <w:t>GB/T 39554.1-2020 全国一体化政务服务平台政务服务事项基本目录及实施清单第1部分：编码要求》和《GB/T 39554.2-2020 全国一体化政务服务平台政务服务事项基本目录及实施清单第1部分：要素要求》需要对全省政务服务事项库功能进行优化升级。需要将旧的事项拆分为颗粒化的事项，总计155个事项。（本次只针对155个事项查询详情页面，查询事项列表和获取事项详情在2024年已做）</w:t>
            </w:r>
          </w:p>
          <w:p>
            <w:pPr>
              <w:pStyle w:val="null3"/>
              <w:spacing w:before="120" w:after="120"/>
              <w:ind w:left="900"/>
              <w:jc w:val="both"/>
              <w:outlineLvl w:val="2"/>
            </w:pPr>
            <w:r>
              <w:rPr>
                <w:rFonts w:ascii="仿宋_GB2312" w:hAnsi="仿宋_GB2312" w:cs="仿宋_GB2312" w:eastAsia="仿宋_GB2312"/>
                <w:sz w:val="20"/>
                <w:b/>
              </w:rPr>
              <w:t>(3)</w:t>
            </w:r>
            <w:r>
              <w:rPr>
                <w:rFonts w:ascii="仿宋_GB2312" w:hAnsi="仿宋_GB2312" w:cs="仿宋_GB2312" w:eastAsia="仿宋_GB2312"/>
                <w:sz w:val="20"/>
                <w:b/>
              </w:rPr>
              <w:t>药械化企业档案数据与各地市进行数据交换</w:t>
            </w:r>
          </w:p>
          <w:p>
            <w:pPr>
              <w:pStyle w:val="null3"/>
              <w:ind w:firstLine="480"/>
              <w:jc w:val="both"/>
            </w:pPr>
            <w:r>
              <w:rPr>
                <w:rFonts w:ascii="仿宋_GB2312" w:hAnsi="仿宋_GB2312" w:cs="仿宋_GB2312" w:eastAsia="仿宋_GB2312"/>
                <w:sz w:val="20"/>
              </w:rPr>
              <w:t>为了方便各地市及时掌握各辖区的企业情况，根据《陕西省药品监督管理局关于落实</w:t>
            </w:r>
            <w:r>
              <w:rPr>
                <w:rFonts w:ascii="仿宋_GB2312" w:hAnsi="仿宋_GB2312" w:cs="仿宋_GB2312" w:eastAsia="仿宋_GB2312"/>
                <w:sz w:val="20"/>
              </w:rPr>
              <w:t>“放管服”有关改革举措的通知》，结合各地市的监管要求，开发企业主体信息共享的接口。</w:t>
            </w:r>
          </w:p>
          <w:p>
            <w:pPr>
              <w:pStyle w:val="null3"/>
              <w:spacing w:before="120" w:after="120"/>
              <w:ind w:left="900"/>
              <w:jc w:val="both"/>
              <w:outlineLvl w:val="2"/>
            </w:pPr>
            <w:r>
              <w:rPr>
                <w:rFonts w:ascii="仿宋_GB2312" w:hAnsi="仿宋_GB2312" w:cs="仿宋_GB2312" w:eastAsia="仿宋_GB2312"/>
                <w:sz w:val="20"/>
                <w:b/>
              </w:rPr>
              <w:t>(4)</w:t>
            </w:r>
            <w:r>
              <w:rPr>
                <w:rFonts w:ascii="仿宋_GB2312" w:hAnsi="仿宋_GB2312" w:cs="仿宋_GB2312" w:eastAsia="仿宋_GB2312"/>
                <w:sz w:val="20"/>
                <w:b/>
              </w:rPr>
              <w:t>与执法记录仪对接</w:t>
            </w:r>
          </w:p>
          <w:p>
            <w:pPr>
              <w:pStyle w:val="null3"/>
              <w:ind w:firstLine="480"/>
              <w:jc w:val="both"/>
            </w:pPr>
            <w:r>
              <w:rPr>
                <w:rFonts w:ascii="仿宋_GB2312" w:hAnsi="仿宋_GB2312" w:cs="仿宋_GB2312" w:eastAsia="仿宋_GB2312"/>
                <w:sz w:val="20"/>
              </w:rPr>
              <w:t>根据标准化检查规范要求，建立移动监管</w:t>
            </w:r>
            <w:r>
              <w:rPr>
                <w:rFonts w:ascii="仿宋_GB2312" w:hAnsi="仿宋_GB2312" w:cs="仿宋_GB2312" w:eastAsia="仿宋_GB2312"/>
                <w:sz w:val="20"/>
              </w:rPr>
              <w:t>APP与执法记录仪的联动检查。要求在移动监管APP中直接启用执法记录仪进行视频和照片的拍摄，并进行查看。</w:t>
            </w:r>
          </w:p>
          <w:p>
            <w:pPr>
              <w:pStyle w:val="null3"/>
              <w:spacing w:before="60" w:after="60"/>
              <w:ind w:left="420"/>
              <w:jc w:val="both"/>
              <w:outlineLvl w:val="1"/>
            </w:pPr>
            <w:r>
              <w:rPr>
                <w:rFonts w:ascii="仿宋_GB2312" w:hAnsi="仿宋_GB2312" w:cs="仿宋_GB2312" w:eastAsia="仿宋_GB2312"/>
                <w:sz w:val="20"/>
                <w:b/>
              </w:rPr>
              <w:t>5.</w:t>
            </w:r>
            <w:r>
              <w:rPr>
                <w:rFonts w:ascii="仿宋_GB2312" w:hAnsi="仿宋_GB2312" w:cs="仿宋_GB2312" w:eastAsia="仿宋_GB2312"/>
                <w:sz w:val="20"/>
                <w:b/>
              </w:rPr>
              <w:t>新增业务功能</w:t>
            </w:r>
          </w:p>
          <w:p>
            <w:pPr>
              <w:pStyle w:val="null3"/>
              <w:ind w:firstLine="480"/>
              <w:jc w:val="both"/>
            </w:pPr>
            <w:r>
              <w:rPr>
                <w:rFonts w:ascii="仿宋_GB2312" w:hAnsi="仿宋_GB2312" w:cs="仿宋_GB2312" w:eastAsia="仿宋_GB2312"/>
                <w:sz w:val="20"/>
              </w:rPr>
              <w:t>根据药品安全监管领域的新业务需求，在系统中新增许可、备案业务事项模块。模块应具备完善的申请受理、审核审批、证书发放等功能，且严格遵循最新法规标准，保障新业务的规范化办理。</w:t>
            </w:r>
          </w:p>
          <w:p>
            <w:pPr>
              <w:pStyle w:val="null3"/>
              <w:spacing w:before="120" w:after="120"/>
              <w:ind w:left="900"/>
              <w:jc w:val="both"/>
              <w:outlineLvl w:val="2"/>
            </w:pPr>
            <w:r>
              <w:rPr>
                <w:rFonts w:ascii="仿宋_GB2312" w:hAnsi="仿宋_GB2312" w:cs="仿宋_GB2312" w:eastAsia="仿宋_GB2312"/>
                <w:sz w:val="20"/>
                <w:b/>
              </w:rPr>
              <w:t>(1)</w:t>
            </w:r>
            <w:r>
              <w:rPr>
                <w:rFonts w:ascii="仿宋_GB2312" w:hAnsi="仿宋_GB2312" w:cs="仿宋_GB2312" w:eastAsia="仿宋_GB2312"/>
                <w:sz w:val="20"/>
                <w:b/>
              </w:rPr>
              <w:t>中药提取物生产备案事项</w:t>
            </w:r>
          </w:p>
          <w:p>
            <w:pPr>
              <w:pStyle w:val="null3"/>
              <w:ind w:firstLine="480"/>
              <w:jc w:val="both"/>
            </w:pPr>
            <w:r>
              <w:rPr>
                <w:rFonts w:ascii="仿宋_GB2312" w:hAnsi="仿宋_GB2312" w:cs="仿宋_GB2312" w:eastAsia="仿宋_GB2312"/>
                <w:sz w:val="20"/>
              </w:rPr>
              <w:t>根据业务要求，新增中药提取物生产备案的监管审批模块。涉及企业端，监管端和公开公示端。业务类型划分为新办和变更。</w:t>
            </w:r>
          </w:p>
          <w:p>
            <w:pPr>
              <w:pStyle w:val="null3"/>
              <w:spacing w:before="120" w:after="120"/>
              <w:ind w:left="900"/>
              <w:jc w:val="both"/>
              <w:outlineLvl w:val="2"/>
            </w:pPr>
            <w:r>
              <w:rPr>
                <w:rFonts w:ascii="仿宋_GB2312" w:hAnsi="仿宋_GB2312" w:cs="仿宋_GB2312" w:eastAsia="仿宋_GB2312"/>
                <w:sz w:val="20"/>
                <w:b/>
              </w:rPr>
              <w:t>(2)</w:t>
            </w:r>
            <w:r>
              <w:rPr>
                <w:rFonts w:ascii="仿宋_GB2312" w:hAnsi="仿宋_GB2312" w:cs="仿宋_GB2312" w:eastAsia="仿宋_GB2312"/>
                <w:sz w:val="20"/>
                <w:b/>
              </w:rPr>
              <w:t>中药提取物使用备案事项</w:t>
            </w:r>
          </w:p>
          <w:p>
            <w:pPr>
              <w:pStyle w:val="null3"/>
              <w:ind w:firstLine="480"/>
              <w:jc w:val="both"/>
            </w:pPr>
            <w:r>
              <w:rPr>
                <w:rFonts w:ascii="仿宋_GB2312" w:hAnsi="仿宋_GB2312" w:cs="仿宋_GB2312" w:eastAsia="仿宋_GB2312"/>
                <w:sz w:val="20"/>
              </w:rPr>
              <w:t>根据业务要求，新增中药提取物使用备案的监管审批模块。涉及企业端，监管端和公开公示端。业务类型划分为新办和变更。</w:t>
            </w:r>
          </w:p>
          <w:p>
            <w:pPr>
              <w:pStyle w:val="null3"/>
              <w:spacing w:before="120" w:after="120"/>
              <w:ind w:left="900"/>
              <w:jc w:val="both"/>
              <w:outlineLvl w:val="2"/>
            </w:pPr>
            <w:r>
              <w:rPr>
                <w:rFonts w:ascii="仿宋_GB2312" w:hAnsi="仿宋_GB2312" w:cs="仿宋_GB2312" w:eastAsia="仿宋_GB2312"/>
                <w:sz w:val="20"/>
                <w:b/>
              </w:rPr>
              <w:t>(3)</w:t>
            </w:r>
            <w:r>
              <w:rPr>
                <w:rFonts w:ascii="仿宋_GB2312" w:hAnsi="仿宋_GB2312" w:cs="仿宋_GB2312" w:eastAsia="仿宋_GB2312"/>
                <w:sz w:val="20"/>
                <w:b/>
              </w:rPr>
              <w:t>药物研发机构事项上报事项</w:t>
            </w:r>
          </w:p>
          <w:p>
            <w:pPr>
              <w:pStyle w:val="null3"/>
              <w:ind w:firstLine="480"/>
              <w:jc w:val="both"/>
            </w:pPr>
            <w:r>
              <w:rPr>
                <w:rFonts w:ascii="仿宋_GB2312" w:hAnsi="仿宋_GB2312" w:cs="仿宋_GB2312" w:eastAsia="仿宋_GB2312"/>
                <w:sz w:val="20"/>
              </w:rPr>
              <w:t>根据工作实际，需在综合业务系统中增设</w:t>
            </w:r>
            <w:r>
              <w:rPr>
                <w:rFonts w:ascii="仿宋_GB2312" w:hAnsi="仿宋_GB2312" w:cs="仿宋_GB2312" w:eastAsia="仿宋_GB2312"/>
                <w:sz w:val="20"/>
              </w:rPr>
              <w:t>“药物研发机构”企业上报端、监管审批模块。</w:t>
            </w:r>
          </w:p>
          <w:p>
            <w:pPr>
              <w:pStyle w:val="null3"/>
              <w:spacing w:before="120" w:after="120"/>
              <w:ind w:left="900"/>
              <w:jc w:val="both"/>
              <w:outlineLvl w:val="2"/>
            </w:pPr>
            <w:r>
              <w:rPr>
                <w:rFonts w:ascii="仿宋_GB2312" w:hAnsi="仿宋_GB2312" w:cs="仿宋_GB2312" w:eastAsia="仿宋_GB2312"/>
                <w:sz w:val="20"/>
                <w:b/>
              </w:rPr>
              <w:t>(4)</w:t>
            </w:r>
            <w:r>
              <w:rPr>
                <w:rFonts w:ascii="仿宋_GB2312" w:hAnsi="仿宋_GB2312" w:cs="仿宋_GB2312" w:eastAsia="仿宋_GB2312"/>
                <w:sz w:val="20"/>
                <w:b/>
              </w:rPr>
              <w:t>药品经营批发企业库房结构变更、增减面积备案事项</w:t>
            </w:r>
          </w:p>
          <w:p>
            <w:pPr>
              <w:pStyle w:val="null3"/>
              <w:ind w:firstLine="480"/>
              <w:jc w:val="both"/>
            </w:pPr>
            <w:r>
              <w:rPr>
                <w:rFonts w:ascii="仿宋_GB2312" w:hAnsi="仿宋_GB2312" w:cs="仿宋_GB2312" w:eastAsia="仿宋_GB2312"/>
                <w:sz w:val="20"/>
              </w:rPr>
              <w:t>根据业务需求，新增药品经营批发企业库房结构变更、增减面积备案。</w:t>
            </w:r>
          </w:p>
          <w:p>
            <w:pPr>
              <w:pStyle w:val="null3"/>
              <w:spacing w:before="120" w:after="120"/>
              <w:ind w:left="900"/>
              <w:jc w:val="both"/>
              <w:outlineLvl w:val="2"/>
            </w:pPr>
            <w:r>
              <w:rPr>
                <w:rFonts w:ascii="仿宋_GB2312" w:hAnsi="仿宋_GB2312" w:cs="仿宋_GB2312" w:eastAsia="仿宋_GB2312"/>
                <w:sz w:val="20"/>
                <w:b/>
              </w:rPr>
              <w:t>(5)</w:t>
            </w:r>
            <w:r>
              <w:rPr>
                <w:rFonts w:ascii="仿宋_GB2312" w:hAnsi="仿宋_GB2312" w:cs="仿宋_GB2312" w:eastAsia="仿宋_GB2312"/>
                <w:sz w:val="20"/>
                <w:b/>
              </w:rPr>
              <w:t>执业药师远程审方服务审批事项</w:t>
            </w:r>
          </w:p>
          <w:p>
            <w:pPr>
              <w:pStyle w:val="null3"/>
              <w:ind w:firstLine="480"/>
              <w:jc w:val="both"/>
            </w:pPr>
            <w:r>
              <w:rPr>
                <w:rFonts w:ascii="仿宋_GB2312" w:hAnsi="仿宋_GB2312" w:cs="仿宋_GB2312" w:eastAsia="仿宋_GB2312"/>
                <w:sz w:val="20"/>
              </w:rPr>
              <w:t>根据业务需求，新增执业药师远程审方服务审批事项，主要涉及企业申报端、审批端以及公示端。</w:t>
            </w:r>
          </w:p>
          <w:p>
            <w:pPr>
              <w:pStyle w:val="null3"/>
              <w:spacing w:before="120" w:after="120"/>
              <w:ind w:left="900"/>
              <w:jc w:val="both"/>
              <w:outlineLvl w:val="2"/>
            </w:pPr>
            <w:r>
              <w:rPr>
                <w:rFonts w:ascii="仿宋_GB2312" w:hAnsi="仿宋_GB2312" w:cs="仿宋_GB2312" w:eastAsia="仿宋_GB2312"/>
                <w:sz w:val="20"/>
                <w:b/>
              </w:rPr>
              <w:t>(6)</w:t>
            </w:r>
            <w:r>
              <w:rPr>
                <w:rFonts w:ascii="仿宋_GB2312" w:hAnsi="仿宋_GB2312" w:cs="仿宋_GB2312" w:eastAsia="仿宋_GB2312"/>
                <w:sz w:val="20"/>
                <w:b/>
              </w:rPr>
              <w:t>第二类医疗器械产品说明书变更备案事项</w:t>
            </w:r>
          </w:p>
          <w:p>
            <w:pPr>
              <w:pStyle w:val="null3"/>
              <w:ind w:firstLine="480"/>
              <w:jc w:val="both"/>
            </w:pPr>
            <w:r>
              <w:rPr>
                <w:rFonts w:ascii="仿宋_GB2312" w:hAnsi="仿宋_GB2312" w:cs="仿宋_GB2312" w:eastAsia="仿宋_GB2312"/>
                <w:sz w:val="20"/>
              </w:rPr>
              <w:t>根据《医疗器械注册与备案管理办法》《医疗器械说明书和标签管理规定》的要求，单独设立</w:t>
            </w:r>
            <w:r>
              <w:rPr>
                <w:rFonts w:ascii="仿宋_GB2312" w:hAnsi="仿宋_GB2312" w:cs="仿宋_GB2312" w:eastAsia="仿宋_GB2312"/>
                <w:sz w:val="20"/>
              </w:rPr>
              <w:t>“说明书变更”事项。</w:t>
            </w:r>
          </w:p>
          <w:p>
            <w:pPr>
              <w:pStyle w:val="null3"/>
              <w:spacing w:before="120" w:after="120"/>
              <w:ind w:left="900"/>
              <w:jc w:val="both"/>
              <w:outlineLvl w:val="2"/>
            </w:pPr>
            <w:r>
              <w:rPr>
                <w:rFonts w:ascii="仿宋_GB2312" w:hAnsi="仿宋_GB2312" w:cs="仿宋_GB2312" w:eastAsia="仿宋_GB2312"/>
                <w:sz w:val="20"/>
                <w:b/>
              </w:rPr>
              <w:t>(7)</w:t>
            </w:r>
            <w:r>
              <w:rPr>
                <w:rFonts w:ascii="仿宋_GB2312" w:hAnsi="仿宋_GB2312" w:cs="仿宋_GB2312" w:eastAsia="仿宋_GB2312"/>
                <w:sz w:val="20"/>
                <w:b/>
              </w:rPr>
              <w:t>第三类医疗器械产品体系核查事项</w:t>
            </w:r>
          </w:p>
          <w:p>
            <w:pPr>
              <w:pStyle w:val="null3"/>
              <w:ind w:firstLine="480"/>
              <w:jc w:val="both"/>
            </w:pPr>
            <w:r>
              <w:rPr>
                <w:rFonts w:ascii="仿宋_GB2312" w:hAnsi="仿宋_GB2312" w:cs="仿宋_GB2312" w:eastAsia="仿宋_GB2312"/>
                <w:sz w:val="20"/>
              </w:rPr>
              <w:t>根据业务要求在在许可模块由经办人创建需要体系核查的信息，指派给检查中心进行检查。</w:t>
            </w:r>
          </w:p>
          <w:p>
            <w:pPr>
              <w:pStyle w:val="null3"/>
              <w:spacing w:before="120" w:after="120"/>
              <w:ind w:left="900"/>
              <w:jc w:val="both"/>
              <w:outlineLvl w:val="2"/>
            </w:pPr>
            <w:r>
              <w:rPr>
                <w:rFonts w:ascii="仿宋_GB2312" w:hAnsi="仿宋_GB2312" w:cs="仿宋_GB2312" w:eastAsia="仿宋_GB2312"/>
                <w:sz w:val="20"/>
                <w:b/>
              </w:rPr>
              <w:t>(8)</w:t>
            </w:r>
            <w:r>
              <w:rPr>
                <w:rFonts w:ascii="仿宋_GB2312" w:hAnsi="仿宋_GB2312" w:cs="仿宋_GB2312" w:eastAsia="仿宋_GB2312"/>
                <w:sz w:val="20"/>
                <w:b/>
              </w:rPr>
              <w:t>第二类体外诊断试剂说明书变更备案事项</w:t>
            </w:r>
          </w:p>
          <w:p>
            <w:pPr>
              <w:pStyle w:val="null3"/>
              <w:ind w:firstLine="480"/>
              <w:jc w:val="both"/>
            </w:pPr>
            <w:r>
              <w:rPr>
                <w:rFonts w:ascii="仿宋_GB2312" w:hAnsi="仿宋_GB2312" w:cs="仿宋_GB2312" w:eastAsia="仿宋_GB2312"/>
                <w:sz w:val="20"/>
              </w:rPr>
              <w:t>根据《医疗器械注册与备案管理办法》《医疗器械说明书和标签管理规定》的要求，单独设立</w:t>
            </w:r>
            <w:r>
              <w:rPr>
                <w:rFonts w:ascii="仿宋_GB2312" w:hAnsi="仿宋_GB2312" w:cs="仿宋_GB2312" w:eastAsia="仿宋_GB2312"/>
                <w:sz w:val="20"/>
              </w:rPr>
              <w:t>“说明书变更”事项。</w:t>
            </w:r>
          </w:p>
          <w:p>
            <w:pPr>
              <w:pStyle w:val="null3"/>
              <w:spacing w:before="120" w:after="120"/>
              <w:ind w:left="900"/>
              <w:jc w:val="both"/>
              <w:outlineLvl w:val="2"/>
            </w:pPr>
            <w:r>
              <w:rPr>
                <w:rFonts w:ascii="仿宋_GB2312" w:hAnsi="仿宋_GB2312" w:cs="仿宋_GB2312" w:eastAsia="仿宋_GB2312"/>
                <w:sz w:val="20"/>
                <w:b/>
              </w:rPr>
              <w:t>(9)</w:t>
            </w:r>
            <w:r>
              <w:rPr>
                <w:rFonts w:ascii="仿宋_GB2312" w:hAnsi="仿宋_GB2312" w:cs="仿宋_GB2312" w:eastAsia="仿宋_GB2312"/>
                <w:sz w:val="20"/>
                <w:b/>
              </w:rPr>
              <w:t>药品生产许可事项优化升级</w:t>
            </w:r>
          </w:p>
          <w:p>
            <w:pPr>
              <w:pStyle w:val="null3"/>
              <w:ind w:firstLine="480"/>
              <w:jc w:val="both"/>
            </w:pPr>
            <w:r>
              <w:rPr>
                <w:rFonts w:ascii="仿宋_GB2312" w:hAnsi="仿宋_GB2312" w:cs="仿宋_GB2312" w:eastAsia="仿宋_GB2312"/>
                <w:sz w:val="20"/>
              </w:rPr>
              <w:t>根据业务需求，在药品生产许可事项中，生产范围中生产类型仅</w:t>
            </w:r>
            <w:r>
              <w:rPr>
                <w:rFonts w:ascii="仿宋_GB2312" w:hAnsi="仿宋_GB2312" w:cs="仿宋_GB2312" w:eastAsia="仿宋_GB2312"/>
                <w:sz w:val="20"/>
              </w:rPr>
              <w:t>“受托”时，正本【生产地址和生产范围】显示“受托企业生产地址+剂型 ”。允许药品生产企业负责人、药品质量负责人可由1人变更为多人。</w:t>
            </w:r>
          </w:p>
          <w:p>
            <w:pPr>
              <w:pStyle w:val="null3"/>
              <w:spacing w:before="120" w:after="120"/>
              <w:ind w:left="900"/>
              <w:jc w:val="both"/>
              <w:outlineLvl w:val="2"/>
            </w:pPr>
            <w:r>
              <w:rPr>
                <w:rFonts w:ascii="仿宋_GB2312" w:hAnsi="仿宋_GB2312" w:cs="仿宋_GB2312" w:eastAsia="仿宋_GB2312"/>
                <w:sz w:val="20"/>
                <w:b/>
              </w:rPr>
              <w:t>(10)</w:t>
            </w:r>
            <w:r>
              <w:rPr>
                <w:rFonts w:ascii="仿宋_GB2312" w:hAnsi="仿宋_GB2312" w:cs="仿宋_GB2312" w:eastAsia="仿宋_GB2312"/>
                <w:sz w:val="20"/>
                <w:b/>
              </w:rPr>
              <w:t>药品生产许可事项上报优化升级</w:t>
            </w:r>
          </w:p>
          <w:p>
            <w:pPr>
              <w:pStyle w:val="null3"/>
              <w:ind w:firstLine="480"/>
              <w:jc w:val="both"/>
            </w:pPr>
            <w:r>
              <w:rPr>
                <w:rFonts w:ascii="仿宋_GB2312" w:hAnsi="仿宋_GB2312" w:cs="仿宋_GB2312" w:eastAsia="仿宋_GB2312"/>
                <w:sz w:val="20"/>
              </w:rPr>
              <w:t>根据《陕西省药品上市许可持有人报告事项管理暂行规定》，为做好相关报告事项的提交及管理工作，现需要在在</w:t>
            </w:r>
            <w:r>
              <w:rPr>
                <w:rFonts w:ascii="仿宋_GB2312" w:hAnsi="仿宋_GB2312" w:cs="仿宋_GB2312" w:eastAsia="仿宋_GB2312"/>
                <w:sz w:val="20"/>
              </w:rPr>
              <w:t>“陕西省药品安全监管综合业务系统-行政审批-药品生产企业事项上报”下增设报告事项子项：“委托第三方检验事项报告”“委托销售、储存、运输事项报告”“受托生产企业不良信用记录事项报告”“停产事项报告”“恢复生产事项报告”“关键生产设备设施变更事项报告”“重点企业风险管理报告”“其他”。</w:t>
            </w:r>
          </w:p>
          <w:p>
            <w:pPr>
              <w:pStyle w:val="null3"/>
              <w:spacing w:before="120" w:after="120"/>
              <w:ind w:left="900"/>
              <w:jc w:val="both"/>
              <w:outlineLvl w:val="2"/>
            </w:pPr>
            <w:r>
              <w:rPr>
                <w:rFonts w:ascii="仿宋_GB2312" w:hAnsi="仿宋_GB2312" w:cs="仿宋_GB2312" w:eastAsia="仿宋_GB2312"/>
                <w:sz w:val="20"/>
                <w:b/>
              </w:rPr>
              <w:t>(11)</w:t>
            </w:r>
            <w:r>
              <w:rPr>
                <w:rFonts w:ascii="仿宋_GB2312" w:hAnsi="仿宋_GB2312" w:cs="仿宋_GB2312" w:eastAsia="仿宋_GB2312"/>
                <w:sz w:val="20"/>
                <w:b/>
              </w:rPr>
              <w:t>放射性药品生产数据归集</w:t>
            </w:r>
          </w:p>
          <w:p>
            <w:pPr>
              <w:pStyle w:val="null3"/>
              <w:ind w:firstLine="480"/>
              <w:jc w:val="both"/>
            </w:pPr>
            <w:r>
              <w:rPr>
                <w:rFonts w:ascii="仿宋_GB2312" w:hAnsi="仿宋_GB2312" w:cs="仿宋_GB2312" w:eastAsia="仿宋_GB2312"/>
                <w:sz w:val="20"/>
              </w:rPr>
              <w:t>根据国家药品监督管理局的要求，各省级需要积极向国家药品监管数据新版共享平台报送放射性药品生产的监管数据。本次对接主要涉及</w:t>
            </w:r>
            <w:r>
              <w:rPr>
                <w:rFonts w:ascii="仿宋_GB2312" w:hAnsi="仿宋_GB2312" w:cs="仿宋_GB2312" w:eastAsia="仿宋_GB2312"/>
                <w:sz w:val="20"/>
              </w:rPr>
              <w:t>3个接口，新办换发接口、变更接口、注销接口。</w:t>
            </w:r>
          </w:p>
          <w:p>
            <w:pPr>
              <w:pStyle w:val="null3"/>
              <w:spacing w:before="120" w:after="120"/>
              <w:ind w:left="900"/>
              <w:jc w:val="both"/>
              <w:outlineLvl w:val="2"/>
            </w:pPr>
            <w:r>
              <w:rPr>
                <w:rFonts w:ascii="仿宋_GB2312" w:hAnsi="仿宋_GB2312" w:cs="仿宋_GB2312" w:eastAsia="仿宋_GB2312"/>
                <w:sz w:val="20"/>
                <w:b/>
              </w:rPr>
              <w:t>(12)</w:t>
            </w:r>
            <w:r>
              <w:rPr>
                <w:rFonts w:ascii="仿宋_GB2312" w:hAnsi="仿宋_GB2312" w:cs="仿宋_GB2312" w:eastAsia="仿宋_GB2312"/>
                <w:sz w:val="20"/>
                <w:b/>
              </w:rPr>
              <w:t>放射性药品经营数据归集</w:t>
            </w:r>
          </w:p>
          <w:p>
            <w:pPr>
              <w:pStyle w:val="null3"/>
              <w:ind w:firstLine="480"/>
              <w:jc w:val="both"/>
            </w:pPr>
            <w:r>
              <w:rPr>
                <w:rFonts w:ascii="仿宋_GB2312" w:hAnsi="仿宋_GB2312" w:cs="仿宋_GB2312" w:eastAsia="仿宋_GB2312"/>
                <w:sz w:val="20"/>
              </w:rPr>
              <w:t>根据国家药品监督管理局的要求，各省级需要积极向国家药品监管数据新版共享平台报送放射性药品经营的监管数据。本次对接主要涉及</w:t>
            </w:r>
            <w:r>
              <w:rPr>
                <w:rFonts w:ascii="仿宋_GB2312" w:hAnsi="仿宋_GB2312" w:cs="仿宋_GB2312" w:eastAsia="仿宋_GB2312"/>
                <w:sz w:val="20"/>
              </w:rPr>
              <w:t>3个接口，新办换发接口、变更接口、注销接口。</w:t>
            </w:r>
          </w:p>
          <w:p>
            <w:pPr>
              <w:pStyle w:val="null3"/>
              <w:spacing w:before="120" w:after="120"/>
              <w:ind w:left="900"/>
              <w:jc w:val="both"/>
              <w:outlineLvl w:val="2"/>
            </w:pPr>
            <w:r>
              <w:rPr>
                <w:rFonts w:ascii="仿宋_GB2312" w:hAnsi="仿宋_GB2312" w:cs="仿宋_GB2312" w:eastAsia="仿宋_GB2312"/>
                <w:sz w:val="20"/>
                <w:b/>
              </w:rPr>
              <w:t>(13)</w:t>
            </w:r>
            <w:r>
              <w:rPr>
                <w:rFonts w:ascii="仿宋_GB2312" w:hAnsi="仿宋_GB2312" w:cs="仿宋_GB2312" w:eastAsia="仿宋_GB2312"/>
                <w:sz w:val="20"/>
                <w:b/>
              </w:rPr>
              <w:t>获取电子营业执照</w:t>
            </w:r>
          </w:p>
          <w:p>
            <w:pPr>
              <w:pStyle w:val="null3"/>
              <w:ind w:firstLine="480"/>
              <w:jc w:val="both"/>
            </w:pPr>
            <w:r>
              <w:rPr>
                <w:rFonts w:ascii="仿宋_GB2312" w:hAnsi="仿宋_GB2312" w:cs="仿宋_GB2312" w:eastAsia="仿宋_GB2312"/>
                <w:sz w:val="20"/>
              </w:rPr>
              <w:t>为进一步优化营商环境，便利化企业申报行政许可</w:t>
            </w:r>
            <w:r>
              <w:rPr>
                <w:rFonts w:ascii="仿宋_GB2312" w:hAnsi="仿宋_GB2312" w:cs="仿宋_GB2312" w:eastAsia="仿宋_GB2312"/>
                <w:sz w:val="20"/>
              </w:rPr>
              <w:t>(备案)事项，升级优化全省统一应用的药品安全监管综合业务系统，以实现企业免提交营业执照扫描件和工作人员的证书核验，从而减少纸质材料的递交，最终达成全流程无纸化高效便捷审批的目标。</w:t>
            </w:r>
            <w:r>
              <w:br/>
            </w:r>
            <w:r>
              <w:rPr>
                <w:rFonts w:ascii="仿宋_GB2312" w:hAnsi="仿宋_GB2312" w:cs="仿宋_GB2312" w:eastAsia="仿宋_GB2312"/>
                <w:sz w:val="20"/>
              </w:rPr>
              <w:t>本次对接主要涉及关联服务、下载服务和</w:t>
            </w:r>
            <w:r>
              <w:rPr>
                <w:rFonts w:ascii="仿宋_GB2312" w:hAnsi="仿宋_GB2312" w:cs="仿宋_GB2312" w:eastAsia="仿宋_GB2312"/>
                <w:sz w:val="20"/>
              </w:rPr>
              <w:t>84个企业许可（备案）事项中的展示。</w:t>
            </w:r>
          </w:p>
          <w:p>
            <w:pPr>
              <w:pStyle w:val="null3"/>
              <w:spacing w:before="120" w:after="120"/>
              <w:ind w:left="900"/>
              <w:jc w:val="both"/>
              <w:outlineLvl w:val="2"/>
            </w:pPr>
            <w:r>
              <w:rPr>
                <w:rFonts w:ascii="仿宋_GB2312" w:hAnsi="仿宋_GB2312" w:cs="仿宋_GB2312" w:eastAsia="仿宋_GB2312"/>
                <w:sz w:val="20"/>
                <w:b/>
              </w:rPr>
              <w:t>(14)</w:t>
            </w:r>
            <w:r>
              <w:rPr>
                <w:rFonts w:ascii="仿宋_GB2312" w:hAnsi="仿宋_GB2312" w:cs="仿宋_GB2312" w:eastAsia="仿宋_GB2312"/>
                <w:sz w:val="20"/>
                <w:b/>
              </w:rPr>
              <w:t>医疗机构制剂企业变更医疗机构名称、配制地址</w:t>
            </w:r>
          </w:p>
          <w:p>
            <w:pPr>
              <w:pStyle w:val="null3"/>
              <w:ind w:firstLine="480"/>
              <w:jc w:val="both"/>
            </w:pPr>
            <w:r>
              <w:rPr>
                <w:rFonts w:ascii="仿宋_GB2312" w:hAnsi="仿宋_GB2312" w:cs="仿宋_GB2312" w:eastAsia="仿宋_GB2312"/>
                <w:sz w:val="20"/>
              </w:rPr>
              <w:t>在综合业务系统企业端增加【一件事一次办】栏目，</w:t>
            </w:r>
            <w:r>
              <w:rPr>
                <w:rFonts w:ascii="仿宋_GB2312" w:hAnsi="仿宋_GB2312" w:cs="仿宋_GB2312" w:eastAsia="仿宋_GB2312"/>
                <w:sz w:val="20"/>
              </w:rPr>
              <w:t>“医疗机构配制制剂许可变更医疗机构名称、配制地址”与“医疗机构配制制剂品种变更医疗机构名称、配制地址”合并办理。监管审批之后同时发放该企业的所有涉及电子证照并进行公示，同时更新各自企业类型的监管档案。</w:t>
            </w:r>
          </w:p>
          <w:p>
            <w:pPr>
              <w:pStyle w:val="null3"/>
              <w:spacing w:before="120" w:after="120"/>
              <w:ind w:left="900"/>
              <w:jc w:val="both"/>
              <w:outlineLvl w:val="2"/>
            </w:pPr>
            <w:r>
              <w:rPr>
                <w:rFonts w:ascii="仿宋_GB2312" w:hAnsi="仿宋_GB2312" w:cs="仿宋_GB2312" w:eastAsia="仿宋_GB2312"/>
                <w:sz w:val="20"/>
                <w:b/>
              </w:rPr>
              <w:t>(15)</w:t>
            </w:r>
            <w:r>
              <w:rPr>
                <w:rFonts w:ascii="仿宋_GB2312" w:hAnsi="仿宋_GB2312" w:cs="仿宋_GB2312" w:eastAsia="仿宋_GB2312"/>
                <w:sz w:val="20"/>
                <w:b/>
              </w:rPr>
              <w:t>国产药品再注册缴费确认对接</w:t>
            </w:r>
          </w:p>
          <w:p>
            <w:pPr>
              <w:pStyle w:val="null3"/>
              <w:ind w:firstLine="480"/>
              <w:jc w:val="both"/>
            </w:pPr>
            <w:r>
              <w:rPr>
                <w:rFonts w:ascii="仿宋_GB2312" w:hAnsi="仿宋_GB2312" w:cs="仿宋_GB2312" w:eastAsia="仿宋_GB2312"/>
                <w:sz w:val="20"/>
              </w:rPr>
              <w:t>为了方便企业在办理国产药再注册时，免线下获取缴费通知单和人工核验企业缴费状态，现需与</w:t>
            </w:r>
            <w:r>
              <w:rPr>
                <w:rFonts w:ascii="仿宋_GB2312" w:hAnsi="仿宋_GB2312" w:cs="仿宋_GB2312" w:eastAsia="仿宋_GB2312"/>
                <w:sz w:val="20"/>
              </w:rPr>
              <w:t>“电子缴费平台”进行对接实现全程线上查看缴费通知单以及线上查看缴费状态。</w:t>
            </w:r>
            <w:r>
              <w:br/>
            </w:r>
            <w:r>
              <w:rPr>
                <w:rFonts w:ascii="仿宋_GB2312" w:hAnsi="仿宋_GB2312" w:cs="仿宋_GB2312" w:eastAsia="仿宋_GB2312"/>
                <w:sz w:val="20"/>
              </w:rPr>
              <w:t xml:space="preserve">     </w:t>
            </w:r>
            <w:r>
              <w:rPr>
                <w:rFonts w:ascii="仿宋_GB2312" w:hAnsi="仿宋_GB2312" w:cs="仿宋_GB2312" w:eastAsia="仿宋_GB2312"/>
                <w:sz w:val="20"/>
              </w:rPr>
              <w:t>本次对接主要是由</w:t>
            </w:r>
            <w:r>
              <w:rPr>
                <w:rFonts w:ascii="仿宋_GB2312" w:hAnsi="仿宋_GB2312" w:cs="仿宋_GB2312" w:eastAsia="仿宋_GB2312"/>
                <w:sz w:val="20"/>
              </w:rPr>
              <w:t>“业务系统”根据审评人员的缴费金额及产品信息向“电子缴费平台”发起缴费申请，然后“电子缴费平台”根据缴费申请返回《缴费通知单》并在“业务系统”中展示，企业登陆“业务系统”查看《缴费通知书》并在“电子缴费平台”进行线上缴费，缴费完成之后“电子缴费平台”将缴费结果通知“业务系统”进行标注。</w:t>
            </w:r>
          </w:p>
          <w:p>
            <w:pPr>
              <w:pStyle w:val="null3"/>
              <w:spacing w:before="60" w:after="60"/>
              <w:ind w:left="420"/>
              <w:jc w:val="both"/>
              <w:outlineLvl w:val="1"/>
            </w:pPr>
            <w:r>
              <w:rPr>
                <w:rFonts w:ascii="仿宋_GB2312" w:hAnsi="仿宋_GB2312" w:cs="仿宋_GB2312" w:eastAsia="仿宋_GB2312"/>
                <w:sz w:val="20"/>
                <w:b/>
              </w:rPr>
              <w:t>6.</w:t>
            </w:r>
            <w:r>
              <w:rPr>
                <w:rFonts w:ascii="仿宋_GB2312" w:hAnsi="仿宋_GB2312" w:cs="仿宋_GB2312" w:eastAsia="仿宋_GB2312"/>
                <w:sz w:val="20"/>
                <w:b/>
              </w:rPr>
              <w:t>药械化抽检系统功能改造</w:t>
            </w:r>
          </w:p>
          <w:p>
            <w:pPr>
              <w:pStyle w:val="null3"/>
              <w:ind w:firstLine="480"/>
              <w:jc w:val="both"/>
            </w:pPr>
            <w:r>
              <w:rPr>
                <w:rFonts w:ascii="仿宋_GB2312" w:hAnsi="仿宋_GB2312" w:cs="仿宋_GB2312" w:eastAsia="仿宋_GB2312"/>
                <w:sz w:val="20"/>
              </w:rPr>
              <w:t>增加药械化抽检不合格报告处置模块功能，系统能够自动接收来自各级检验机构的药械化抽检不合格报告，并根据报告类型、药品类别、生产企业等信息进行智能分类。方便监管人员快速定位与处理相关报告，提高工作效率。</w:t>
            </w:r>
          </w:p>
          <w:p>
            <w:pPr>
              <w:pStyle w:val="null3"/>
              <w:ind w:firstLine="480"/>
              <w:jc w:val="both"/>
            </w:pPr>
            <w:r>
              <w:rPr>
                <w:rFonts w:ascii="仿宋_GB2312" w:hAnsi="仿宋_GB2312" w:cs="仿宋_GB2312" w:eastAsia="仿宋_GB2312"/>
                <w:sz w:val="20"/>
              </w:rPr>
              <w:t>为每一份不合格报告建立全流程处置跟踪机制，从报告接收、调查核实、责令整改到复查验收，监管人员可在系统中实时查看处置进度，形成闭环管理，确保问题得到有效解决。</w:t>
            </w:r>
          </w:p>
          <w:p>
            <w:pPr>
              <w:pStyle w:val="null3"/>
              <w:spacing w:before="345" w:after="330"/>
              <w:jc w:val="both"/>
              <w:outlineLvl w:val="0"/>
            </w:pPr>
            <w:r>
              <w:rPr>
                <w:rFonts w:ascii="仿宋_GB2312" w:hAnsi="仿宋_GB2312" w:cs="仿宋_GB2312" w:eastAsia="仿宋_GB2312"/>
                <w:sz w:val="20"/>
                <w:b/>
              </w:rPr>
              <w:t>二、</w:t>
            </w:r>
            <w:r>
              <w:rPr>
                <w:rFonts w:ascii="仿宋_GB2312" w:hAnsi="仿宋_GB2312" w:cs="仿宋_GB2312" w:eastAsia="仿宋_GB2312"/>
                <w:sz w:val="20"/>
                <w:b/>
              </w:rPr>
              <w:t>其他</w:t>
            </w:r>
            <w:r>
              <w:rPr>
                <w:rFonts w:ascii="仿宋_GB2312" w:hAnsi="仿宋_GB2312" w:cs="仿宋_GB2312" w:eastAsia="仿宋_GB2312"/>
                <w:sz w:val="20"/>
                <w:b/>
              </w:rPr>
              <w:t>需求</w:t>
            </w:r>
          </w:p>
          <w:p>
            <w:pPr>
              <w:pStyle w:val="null3"/>
              <w:spacing w:before="60" w:after="60"/>
              <w:jc w:val="both"/>
              <w:outlineLvl w:val="1"/>
            </w:pPr>
            <w:r>
              <w:rPr>
                <w:rFonts w:ascii="仿宋_GB2312" w:hAnsi="仿宋_GB2312" w:cs="仿宋_GB2312" w:eastAsia="仿宋_GB2312"/>
                <w:sz w:val="20"/>
                <w:b/>
              </w:rPr>
              <w:t>（一）</w:t>
            </w:r>
            <w:r>
              <w:rPr>
                <w:rFonts w:ascii="仿宋_GB2312" w:hAnsi="仿宋_GB2312" w:cs="仿宋_GB2312" w:eastAsia="仿宋_GB2312"/>
                <w:sz w:val="20"/>
                <w:b/>
              </w:rPr>
              <w:t>性能需求</w:t>
            </w:r>
          </w:p>
          <w:p>
            <w:pPr>
              <w:pStyle w:val="null3"/>
              <w:ind w:firstLine="480"/>
              <w:jc w:val="both"/>
            </w:pPr>
            <w:r>
              <w:rPr>
                <w:rFonts w:ascii="仿宋_GB2312" w:hAnsi="仿宋_GB2312" w:cs="仿宋_GB2312" w:eastAsia="仿宋_GB2312"/>
                <w:sz w:val="20"/>
              </w:rPr>
              <w:t>本项目系统的性能指标将达到以下的基本要求：</w:t>
            </w:r>
          </w:p>
          <w:p>
            <w:pPr>
              <w:pStyle w:val="null3"/>
              <w:ind w:firstLine="480"/>
              <w:jc w:val="both"/>
            </w:pPr>
            <w:r>
              <w:rPr>
                <w:rFonts w:ascii="仿宋_GB2312" w:hAnsi="仿宋_GB2312" w:cs="仿宋_GB2312" w:eastAsia="仿宋_GB2312"/>
                <w:sz w:val="20"/>
              </w:rPr>
              <w:t>对于特定的业务，项目建设时在最大限度地满足业务开展要求和用户使用习惯的前提下，制定具体的性能要求指标。</w:t>
            </w:r>
          </w:p>
          <w:p>
            <w:pPr>
              <w:pStyle w:val="null3"/>
              <w:ind w:firstLine="480"/>
              <w:jc w:val="both"/>
            </w:pPr>
            <w:r>
              <w:rPr>
                <w:rFonts w:ascii="仿宋_GB2312" w:hAnsi="仿宋_GB2312" w:cs="仿宋_GB2312" w:eastAsia="仿宋_GB2312"/>
                <w:sz w:val="20"/>
              </w:rPr>
              <w:t>1.响应时间特指用户当次操作提交给系统到系统反馈出结果的时间：</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1）系统一般查询响应时间≤3秒，多条件复杂查询响应时间≤8秒，涉及复杂逻辑处理和操作响应时间在100万数据记录内不超过10秒；</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2）复杂查询在100万数据记录内一般不超过20秒。</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.复杂的动态查询的响应时间，随着数据量增长以及查询复杂度的增加，也应保持在业务分析人员可容忍的时间内。</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.单项统计、复合汇总统计的响应时间随着数据量增长以及统计复杂度的增加，也应保持在业务分析人员可容忍的时间内。</w:t>
            </w:r>
          </w:p>
          <w:p>
            <w:pPr>
              <w:pStyle w:val="null3"/>
              <w:ind w:firstLine="480"/>
              <w:jc w:val="both"/>
            </w:pPr>
            <w:r>
              <w:rPr>
                <w:rFonts w:ascii="仿宋_GB2312" w:hAnsi="仿宋_GB2312" w:cs="仿宋_GB2312" w:eastAsia="仿宋_GB2312"/>
                <w:sz w:val="20"/>
              </w:rPr>
              <w:t>4</w:t>
            </w:r>
            <w:r>
              <w:rPr>
                <w:rFonts w:ascii="仿宋_GB2312" w:hAnsi="仿宋_GB2312" w:cs="仿宋_GB2312" w:eastAsia="仿宋_GB2312"/>
                <w:sz w:val="20"/>
              </w:rPr>
              <w:t>.提供对外数据共享需求时，不能影响繁忙时间业务分析的使用。</w:t>
            </w:r>
          </w:p>
          <w:p>
            <w:pPr>
              <w:pStyle w:val="null3"/>
              <w:ind w:firstLine="480"/>
              <w:jc w:val="both"/>
            </w:pPr>
            <w:r>
              <w:rPr>
                <w:rFonts w:ascii="仿宋_GB2312" w:hAnsi="仿宋_GB2312" w:cs="仿宋_GB2312" w:eastAsia="仿宋_GB2312"/>
                <w:sz w:val="20"/>
              </w:rPr>
              <w:t>5</w:t>
            </w:r>
            <w:r>
              <w:rPr>
                <w:rFonts w:ascii="仿宋_GB2312" w:hAnsi="仿宋_GB2312" w:cs="仿宋_GB2312" w:eastAsia="仿宋_GB2312"/>
                <w:sz w:val="20"/>
              </w:rPr>
              <w:t>.系统采用负载均衡技术，排除单点故障的可能性。</w:t>
            </w:r>
          </w:p>
          <w:p>
            <w:pPr>
              <w:pStyle w:val="null3"/>
              <w:ind w:firstLine="480"/>
              <w:jc w:val="both"/>
            </w:pPr>
            <w:r>
              <w:rPr>
                <w:rFonts w:ascii="仿宋_GB2312" w:hAnsi="仿宋_GB2312" w:cs="仿宋_GB2312" w:eastAsia="仿宋_GB2312"/>
                <w:sz w:val="20"/>
              </w:rPr>
              <w:t>（二）信创要求</w:t>
            </w:r>
          </w:p>
          <w:p>
            <w:pPr>
              <w:pStyle w:val="null3"/>
              <w:ind w:firstLine="480"/>
              <w:jc w:val="both"/>
            </w:pPr>
            <w:r>
              <w:rPr>
                <w:rFonts w:ascii="仿宋_GB2312" w:hAnsi="仿宋_GB2312" w:cs="仿宋_GB2312" w:eastAsia="仿宋_GB2312"/>
                <w:sz w:val="20"/>
              </w:rPr>
              <w:t>系统承建商应当完全提供系统开发源代码、安装包及安装部署说明文档，配合建设方按照政策要求开展信创迁移等相关工作。</w:t>
            </w:r>
          </w:p>
          <w:p>
            <w:pPr>
              <w:pStyle w:val="null3"/>
              <w:ind w:firstLine="480"/>
              <w:jc w:val="both"/>
            </w:pPr>
            <w:r>
              <w:rPr>
                <w:rFonts w:ascii="仿宋_GB2312" w:hAnsi="仿宋_GB2312" w:cs="仿宋_GB2312" w:eastAsia="仿宋_GB2312"/>
                <w:sz w:val="20"/>
              </w:rPr>
              <w:t>（三）安全要求</w:t>
            </w:r>
          </w:p>
          <w:p>
            <w:pPr>
              <w:pStyle w:val="null3"/>
              <w:ind w:firstLine="480"/>
              <w:jc w:val="both"/>
            </w:pPr>
            <w:r>
              <w:rPr>
                <w:rFonts w:ascii="仿宋_GB2312" w:hAnsi="仿宋_GB2312" w:cs="仿宋_GB2312" w:eastAsia="仿宋_GB2312"/>
                <w:sz w:val="20"/>
              </w:rPr>
              <w:t>需提供符合资质要求的第三方机构出具的安全测试报告。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满足项目采购要求配备，具备专项小组。</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陕西省药品监督管理局指定地点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按照采购文件、响应文件以及合同要求。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因合同而发生的争议或纠纷，采购人与供应商双方应先协商解决，协商不成时可向采购人所在地的人民法院提请诉讼。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2.本项目专门面向中小企业采购（残疾人福利性单位、监狱企业视同小型、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本项目成交供应商须在成交结果公示后提供纸质响应文件三套交由采购代理机构备案，该文件须与线上电子响应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①供应商需在项目电子化交易系统中按要求填写《响应函》完成承诺并进行电子签章。 ②税收缴纳凭证及社会保险缴纳的凭证：供应商在本项目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 ③财务状况：供应商提供2023年度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并进行电子签章 ④参加政府采购活动前3年内在经营活动中没有重大违法记录的书面声明；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 ⑤履行合同所必需的设备和专业技术能力书面声明函：具有履行合同所必需的设备和专业技术能力书面声明函，供应商需在项目电子化交易系统中按要求上传相应证明文件并进行电子签章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专门面向中小企业采购：本项目专门面向中小企业采购，仅限符合《政府采购促进中小企业发展暂行办法》（财库〔2020〕46号）条件的中小企业参与，供应商应填写中小企业声明函并对真实性负责。（残疾人福利性单位及监狱企业视同为小型、微型企业），供应商需在项目电子化交易系统中按要求上传相应承诺函并进行电子签章</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供应商资格证明文件.docx 商务部分偏离表.docx 响应函 技术响应与偏离表.docx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报价未超过采购文件中规定的预算金额或者最高限价</w:t>
            </w:r>
          </w:p>
        </w:tc>
        <w:tc>
          <w:tcPr>
            <w:tcW w:type="dxa" w:w="3322"/>
          </w:tcPr>
          <w:p>
            <w:pPr>
              <w:pStyle w:val="null3"/>
            </w:pPr>
            <w:r>
              <w:rPr>
                <w:rFonts w:ascii="仿宋_GB2312" w:hAnsi="仿宋_GB2312" w:cs="仿宋_GB2312" w:eastAsia="仿宋_GB2312"/>
              </w:rPr>
              <w:t>供应商响应报价未超过采购文件中规定的预算金额或者最高限价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符合供应商资格证明文的实质性要求</w:t>
            </w:r>
          </w:p>
        </w:tc>
        <w:tc>
          <w:tcPr>
            <w:tcW w:type="dxa" w:w="3322"/>
          </w:tcPr>
          <w:p>
            <w:pPr>
              <w:pStyle w:val="null3"/>
            </w:pPr>
            <w:r>
              <w:rPr>
                <w:rFonts w:ascii="仿宋_GB2312" w:hAnsi="仿宋_GB2312" w:cs="仿宋_GB2312" w:eastAsia="仿宋_GB2312"/>
              </w:rPr>
              <w:t>满足本单一来源采购文件中第三章中商务要求的“服务期限、服务地点、支付方式及约定”的实质性条款要求。</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响应文件作为无效处理。</w:t>
            </w:r>
          </w:p>
        </w:tc>
        <w:tc>
          <w:tcPr>
            <w:tcW w:type="dxa" w:w="1661"/>
          </w:tcPr>
          <w:p>
            <w:pPr>
              <w:pStyle w:val="null3"/>
            </w:pPr>
            <w:r>
              <w:rPr>
                <w:rFonts w:ascii="仿宋_GB2312" w:hAnsi="仿宋_GB2312" w:cs="仿宋_GB2312" w:eastAsia="仿宋_GB2312"/>
              </w:rPr>
              <w:t>供应商资格证明文件.docx 商务部分偏离表.docx 响应函 技术响应与偏离表.docx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w:t>
            </w:r>
          </w:p>
        </w:tc>
        <w:tc>
          <w:tcPr>
            <w:tcW w:type="dxa" w:w="1661"/>
          </w:tcPr>
          <w:p>
            <w:pPr>
              <w:pStyle w:val="null3"/>
            </w:pPr>
            <w:r>
              <w:rPr>
                <w:rFonts w:ascii="仿宋_GB2312" w:hAnsi="仿宋_GB2312" w:cs="仿宋_GB2312" w:eastAsia="仿宋_GB2312"/>
              </w:rPr>
              <w:t>响应文件封面 分项报价表.docx 供应商相关专利、专有技术情况说明.docx 中小企业声明函 标的清单 报价表 供应商资格证明文件.docx 商务部分偏离表.docx 响应函 技术响应与偏离表.docx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不属于法律、法规和供应商资格证明文规定的其他无效情形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