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版本号：JXRC-25072420250728001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长安校区紫荆苑餐厅消防及维修改造项目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JXRC-250724</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长安校区紫荆苑餐厅消防及维修改造项目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JXRC-250724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长安校区紫荆苑餐厅消防及维修改造项目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采购包1：西北大学长安校区紫荆苑餐厅维修改造项目，预算667,557.62元。采购包2：西北大学长安校区紫荆苑餐厅一楼防火卷帘及消防弱电改造项目，预算130,995.11元。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采购包1（西北大学长安校区紫荆苑餐厅维修改造项目）：属于专门面向中小企业采购。</w:t>
      </w:r>
    </w:p>
    <w:p>
      <w:pPr>
        <w:pStyle w:val="null3"/>
      </w:pPr>
      <w:r>
        <w:rPr>
          <w:rFonts w:ascii="仿宋_GB2312" w:hAnsi="仿宋_GB2312" w:cs="仿宋_GB2312" w:eastAsia="仿宋_GB2312"/>
        </w:rPr>
        <w:t>采购包2（西北大学长安校区紫荆苑餐厅一楼防火卷帘及消防弱电改造项目）：属于专门面向中小企业采购。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 ：企业法人应提供合法有效的标识有统一社会信用代码的营业执照；事业法人应提供事业单位法人证书；其他组织应提供合法登记证明文件；自然人应提供身份证；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2、法定代表人/负责人授权书 ：法定代表人/负责人直接参加的，只须递交《法定代表人/负责人身份证明》；法定代表人/负责人授权代表参加的，须递交《法定代表人/负责人授权书》；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3、供应商资质 ：供应商应具备建设行政主管部门核发的建筑装修装饰工程专业承包二级及以上资质，具有有效的安全生产许可证；</w:t>
      </w:r>
    </w:p>
    <w:p>
      <w:pPr>
        <w:pStyle w:val="null3"/>
      </w:pPr>
      <w:r>
        <w:rPr>
          <w:rFonts w:ascii="仿宋_GB2312" w:hAnsi="仿宋_GB2312" w:cs="仿宋_GB2312" w:eastAsia="仿宋_GB2312"/>
        </w:rPr>
        <w:t>4、拟派项目负责人资质和专业要求 ：提供拟派项目经理须具有建筑工程专业二级（含二级）以上注册建造师资格，电子化证书与纸质证书具有同等效力；并具有合法有效的建设行政主管部门颁发的安全生产考核合格证（安全考核B证），须在本单位注册，无不良信用记录，且未担任其他在建工程项目的项目经理；</w:t>
      </w:r>
    </w:p>
    <w:p>
      <w:pPr>
        <w:pStyle w:val="null3"/>
      </w:pPr>
      <w:r>
        <w:rPr>
          <w:rFonts w:ascii="仿宋_GB2312" w:hAnsi="仿宋_GB2312" w:cs="仿宋_GB2312" w:eastAsia="仿宋_GB2312"/>
        </w:rPr>
        <w:t>5、财务状况证明 ：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6、税收缴纳证明 ：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供应商应提供相关文件证明。注:①零报税的提供申报成功的凭证。②时间以税款所属时段为准；</w:t>
      </w:r>
    </w:p>
    <w:p>
      <w:pPr>
        <w:pStyle w:val="null3"/>
      </w:pPr>
      <w:r>
        <w:rPr>
          <w:rFonts w:ascii="仿宋_GB2312" w:hAnsi="仿宋_GB2312" w:cs="仿宋_GB2312" w:eastAsia="仿宋_GB2312"/>
        </w:rPr>
        <w:t>7、社保缴纳证明 ：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8、无重大违法记录 ：供应商参加本项目前3年内，在经营活动中没有重大违法纪录的书面声明；</w:t>
      </w:r>
    </w:p>
    <w:p>
      <w:pPr>
        <w:pStyle w:val="null3"/>
      </w:pPr>
      <w:r>
        <w:rPr>
          <w:rFonts w:ascii="仿宋_GB2312" w:hAnsi="仿宋_GB2312" w:cs="仿宋_GB2312" w:eastAsia="仿宋_GB2312"/>
        </w:rPr>
        <w:t>9、履约能力证明 ：提供具有履行合同所必需的设备和专业技术能力的承诺。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 ：企业法人应提供合法有效的标识有统一社会信用代码的营业执照；事业法人应提供事业单位法人证书；其他组织应提供合法登记证明文件；自然人应提供身份证；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2、法定代表人/负责人授权书 ：法定代表人/负责人直接参加的，只须递交《法定代表人/负责人身份证明》；法定代表人/负责人授权代表参加的，须递交《法定代表人/负责人授权书》；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3、供应商资质 ：供应商应具备建设行政主管部门核发的消防设施工程专业承包二级及以上资质，具有有效的安全生产许可证；</w:t>
      </w:r>
    </w:p>
    <w:p>
      <w:pPr>
        <w:pStyle w:val="null3"/>
      </w:pPr>
      <w:r>
        <w:rPr>
          <w:rFonts w:ascii="仿宋_GB2312" w:hAnsi="仿宋_GB2312" w:cs="仿宋_GB2312" w:eastAsia="仿宋_GB2312"/>
        </w:rPr>
        <w:t>4、拟派项目负责人资质和专业要求 ：提供拟派项目经理须具有机电工程专业二级（含二级）以上注册建造师资格，电子化证书与纸质证书具有同等效力；并具有合法有效的建设行政主管部门颁发的安全生产考核合格证（安全考核B证），须在本单位注册，无不良信用记录，且未担任其他在建工程项目的项目经理；</w:t>
      </w:r>
    </w:p>
    <w:p>
      <w:pPr>
        <w:pStyle w:val="null3"/>
      </w:pPr>
      <w:r>
        <w:rPr>
          <w:rFonts w:ascii="仿宋_GB2312" w:hAnsi="仿宋_GB2312" w:cs="仿宋_GB2312" w:eastAsia="仿宋_GB2312"/>
        </w:rPr>
        <w:t>5、财务状况证明 ：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6、税收缴纳证明 ：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供应商应提供相关文件证明。注:①零报税的提供申报成功的凭证。②时间以税款所属时段为准；</w:t>
      </w:r>
    </w:p>
    <w:p>
      <w:pPr>
        <w:pStyle w:val="null3"/>
      </w:pPr>
      <w:r>
        <w:rPr>
          <w:rFonts w:ascii="仿宋_GB2312" w:hAnsi="仿宋_GB2312" w:cs="仿宋_GB2312" w:eastAsia="仿宋_GB2312"/>
        </w:rPr>
        <w:t>7、社保缴纳证明 ：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8、无重大违法记录 ：供应商参加本项目前3年内，在经营活动中没有重大违法纪录的书面声明；</w:t>
      </w:r>
    </w:p>
    <w:p>
      <w:pPr>
        <w:pStyle w:val="null3"/>
      </w:pPr>
      <w:r>
        <w:rPr>
          <w:rFonts w:ascii="仿宋_GB2312" w:hAnsi="仿宋_GB2312" w:cs="仿宋_GB2312" w:eastAsia="仿宋_GB2312"/>
        </w:rPr>
        <w:t>9、履约能力证明 ：提供具有履行合同所必需的设备和专业技术能力的承诺。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采购包1：667,557.62元</w:t>
            </w:r>
          </w:p>
          <w:p>
            <w:pPr>
              <w:pStyle w:val="null3"/>
            </w:pPr>
            <w:r>
              <w:rPr>
                <w:rFonts w:ascii="仿宋_GB2312" w:hAnsi="仿宋_GB2312" w:cs="仿宋_GB2312" w:eastAsia="仿宋_GB2312"/>
              </w:rPr>
              <w:t>采购包2：130,995.11元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A060805 便器蹲便器 《蹲便器用水效率限定值及用水效率等级》（GB 30717） ，小便器《小便器用水效率限定值及用水效率等级》（GB 28377）</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1、A020619 照明设备LED 筒灯《室内照明用 LED 产品能效限定值及能效等级》（GB 30255）；2、A060807 便器冲洗阀《便器冲洗阀用水效率限定值及用水效率等级》（GB 28379）</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1、A10030901 沥青和改性沥青防水卷材，HJ455 防水卷材（屋顶的防水卷材）；2、A100301 水泥熟料及水泥A10030102 水泥 HJ2519 水泥（卫生间贴砖用水泥）；3、A10030701 瓷质砖 HJ/T297 陶瓷砖（室内楼梯踏步用的瓷砖）；4、A100601 功能性建筑涂料HJ2537 水性涂料 （就餐大厅及楼梯间的水性涂料 乳胶漆）；5、A100604 防水涂料A10060499 其他防水涂料 HJ2537 水性涂料（卫生间防水柔性涂料）；6、A020619 照明设备A02061908 室内照明灯具 HJ2518 照明光源（卫生间照明灯具）；7、A170112 密封用填料及类似品HJ2541 胶粘剂 （外立面窗体防水密封的耐候胶）</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开户银行：民生银行西安分行营业部（转账时须备注250724包X谈判保证金）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具体收费额以采购代理机构出具的发票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踏勘时间：2025-08-01 10:00:00</w:t>
            </w:r>
          </w:p>
          <w:p>
            <w:pPr>
              <w:pStyle w:val="null3"/>
              <w:ind w:firstLine="975"/>
            </w:pPr>
            <w:r>
              <w:rPr>
                <w:rFonts w:ascii="仿宋_GB2312" w:hAnsi="仿宋_GB2312" w:cs="仿宋_GB2312" w:eastAsia="仿宋_GB2312"/>
              </w:rPr>
              <w:t>踏勘地点：西北大学长安校区紫荆苑餐厅一楼</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踏勘时间：2025-08-01 10:00:00</w:t>
            </w:r>
          </w:p>
          <w:p>
            <w:pPr>
              <w:pStyle w:val="null3"/>
              <w:ind w:firstLine="975"/>
            </w:pPr>
            <w:r>
              <w:rPr>
                <w:rFonts w:ascii="仿宋_GB2312" w:hAnsi="仿宋_GB2312" w:cs="仿宋_GB2312" w:eastAsia="仿宋_GB2312"/>
              </w:rPr>
              <w:t>踏勘地点：西北大学长安校区紫荆苑餐厅一楼</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陕西嘉信瑞诚招标有限公司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标的名称：西北大学长安校区紫荆苑餐厅维修改造项目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紫荆苑餐厅已投入使用二十余年，因长期未进行系统性升级改造，整体服务效能降低，基础环境陈旧，为了提升广大师生就餐环境，饮食服务中心计划对紫荆苑餐厅进行维修改造，施工内容包括：紫荆苑餐厅外窗漏水密封及屋顶渗水修缮；室内南北两侧1-4层餐厅主通道整体踏步维修改造；1-3层餐厅公共区域卫生间修缮；1-2层餐厅大厅及后厨修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二、执行标准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改造执行：《中华人民共和国建筑法》、《高等学校消防安全管理规定》、《建筑装饰装修工程质量验收规范》GB 50210-2001、《建筑工程施工质量验收统一标准》GB 50300-2001 、《室内装饰装修材料内墙涂料中有害物质限量》GB 18582-2001、《建筑玻璃应用技术规程》JGJ113-2003 J255-2003、《建筑给水排水及采暖工程施工质量验收规范》GB50242-2002 等执行标准。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三、施工要求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1．要求施工单位文明施工，尽力降低噪音。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2．为确保校园师生人身安全，施工期间严格遵循学校相关管理制度。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3.垃圾清运做到工完场清。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四、施工内容</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对西北大学长安校区紫荆苑餐厅进行维修改造。具体工程内容见工程量清单。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标的名称：西北大学长安校区紫荆苑餐厅一楼防火卷帘及消防弱电改造项目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紫荆苑餐厅一楼防火卷帘已使用多年，部件老化，消防系统烟道报警器容易出现故障，无法正常使用，帘面锈迹斑斑，为消除安全隐患，饮食服务中心计划对紫荆苑一楼部分消防卷帘及消防弱电改造及维修维护，对相应基础设施进行维修改造等（包含防火卷帘的更换、火灾探测器设备及线路的检修、消防报警主机连接等），确保师生人身安全和财产安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二、执行标准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改造执行：《中华人民共和国消防法》《高等学校消防安全管理规定》《消防设计建筑规范》《高层民用建筑防火设计规范》《建筑防火通用规范》《消防设施通用规范》。</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三、施工要求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1．要求施工单位文明施工，尽力降低噪音。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2．为确保校园师生人身安全，施工期间严格遵循学校相关管理制度。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3.垃圾清运做到工完场清。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四、施工内容</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西北大学长安校区紫荆苑餐厅一楼防火卷帘及消防弱电改造项目，具体施工内容见工程量清单。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质量保证：施工质量符合国家相关政策执行标准，工程质量：合格。 验收标准：（1）项目在竣工后，成交人应向采购人提交竣工验收申请报告，并将施工过程中相关资料提交采购人，由各方共同验收项目竣工情况。 （2）终验：项目竣工后由采购人及相关部门进行最终验收，合格后签发《西北大学专项工程验收记录单》。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质量保证：施工质量符合国家相关政策执行标准，工程质量：合格。 验收标准：（1）项目在竣工后，成交人应向采购人提交竣工验收申请报告，并将施工过程中相关资料提交采购人，由各方共同验收项目竣工情况。 （2）终验：项目竣工后由采购人及相关部门进行最终验收，合格后签发《西北大学专项工程验收记录单》。</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见谈判文件3.1技术、服务标准和要求“一、技术、服务标准和要求”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 采购包1：2025年8月25日之前完工 采购包2：2025年8月25日之前完工 2、质量保修期 采购包1：本项目竣工验收合格之日起两年，防水项目五年。 采购包2：本项目竣工验收合格之日起两年。 3、支付约定： 采购包1：本项目无预付款，工程竣工并达到验收标准后付至合同金额的80%;待学校审计后支付至审定金额的 100%。但前期支付金额超过审定金额的乙方应当退还。不足审定金额的，甲方可以补足。 采购包2：本项目无预付款，工程竣工并达到验收标准后付至合同金额的80%;待学校审计后支付至审定金额的 100%。但前期支付金额超过审定金额的乙方应当退还。不足审定金额的，甲方可以补足。 4、合同价款： 采购包1：固定综合单价 采购包2：固定综合单价 5、违约责任： 中标/成交供应商所交付工程不符合其投标承诺，存在偷工减料、以次充好情形的，采购人要求更换一次后仍不符合约定的，采购人有权解除采购合同，没收履约保证金，并将有关情况上报政府采购监管部门处理。 二、为顺利推进政府采购电子化交易平台应用工作，投标人需要在线提交所有通过电子化交易平台实施的政府采购项目的投标文件，同时，线下提交纸质版投标文件，正本壹份、副本贰份(标明投标人名称，密封递交)。 若线上电子投标文件与纸质投标文件不一致的， 以线上电子投标文件为准；若正本和副本不符， 以正本为准。 线下递交文件截止时间:详见本项目竞争性谈判公告文件递交截止时间。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供应商应具备建设行政主管部门核发的建筑装修装饰工程专业承包二级及以上资质，具有有效的安全生产许可证；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提供拟派项目经理须具有建筑工程专业二级（含二级）以上注册建造师资格，电子化证书与纸质证书具有同等效力；并具有合法有效的建设行政主管部门颁发的安全生产考核合格证（安全考核B证），须在本单位注册，无不良信用记录，且未担任其他在建工程项目的项目经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供应商应提供相关文件证明。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供应商参加本项目前3年内，在经营活动中没有重大违法纪录的书面声明；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供应商应具备建设行政主管部门核发的消防设施工程专业承包二级及以上资质，具有有效的安全生产许可证；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提供拟派项目经理须具有机电工程专业二级（含二级）以上注册建造师资格，电子化证书与纸质证书具有同等效力；并具有合法有效的建设行政主管部门颁发的安全生产考核合格证（安全考核B证），须在本单位注册，无不良信用记录，且未担任其他在建工程项目的项目经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2025年1月1日后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供应商应提供相关文件证明。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供应商参加本项目前3年内，在经营活动中没有重大违法纪录的书面声明；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响应文件应按照采购文件规定要求签署、盖章；</w:t>
            </w:r>
          </w:p>
        </w:tc>
        <w:tc>
          <w:tcPr>
            <w:tcW w:type="dxa" w:w="1661"/>
          </w:tcPr>
          <w:p>
            <w:pPr>
              <w:pStyle w:val="null3"/>
            </w:pPr>
            <w:r>
              <w:rPr>
                <w:rFonts w:ascii="仿宋_GB2312" w:hAnsi="仿宋_GB2312" w:cs="仿宋_GB2312" w:eastAsia="仿宋_GB2312"/>
              </w:rPr>
              <w:t>商务响应偏离表 已标价工程量清单 投标方案 技术响应偏离表 主材清单表 中小企业声明函 保证金缴纳凭证 强制优先采购产品承诺函 响应文件封面 其他材料 残疾人福利性单位声明函 报价函 供应商基本信息 标的清单 供应商企业关联关系说明书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报价未超过采购文件中规定的采购包预算金额。</w:t>
            </w:r>
          </w:p>
        </w:tc>
        <w:tc>
          <w:tcPr>
            <w:tcW w:type="dxa" w:w="1661"/>
          </w:tcPr>
          <w:p>
            <w:pPr>
              <w:pStyle w:val="null3"/>
            </w:pPr>
            <w:r>
              <w:rPr>
                <w:rFonts w:ascii="仿宋_GB2312" w:hAnsi="仿宋_GB2312" w:cs="仿宋_GB2312" w:eastAsia="仿宋_GB2312"/>
              </w:rPr>
              <w:t>已标价工程量清单 报价函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响应文件应按照采购文件规定要求签署、盖章；</w:t>
            </w:r>
          </w:p>
        </w:tc>
        <w:tc>
          <w:tcPr>
            <w:tcW w:type="dxa" w:w="1661"/>
          </w:tcPr>
          <w:p>
            <w:pPr>
              <w:pStyle w:val="null3"/>
            </w:pPr>
            <w:r>
              <w:rPr>
                <w:rFonts w:ascii="仿宋_GB2312" w:hAnsi="仿宋_GB2312" w:cs="仿宋_GB2312" w:eastAsia="仿宋_GB2312"/>
              </w:rPr>
              <w:t>商务响应偏离表 已标价工程量清单 投标方案 技术响应偏离表 主材清单表 中小企业声明函 保证金缴纳凭证 强制优先采购产品承诺函 响应文件封面 其他材料 残疾人福利性单位声明函 报价函 供应商基本信息 标的清单 供应商企业关联关系说明书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报价未超过采购文件中规定的采购包预算金额。</w:t>
            </w:r>
          </w:p>
        </w:tc>
        <w:tc>
          <w:tcPr>
            <w:tcW w:type="dxa" w:w="1661"/>
          </w:tcPr>
          <w:p>
            <w:pPr>
              <w:pStyle w:val="null3"/>
            </w:pPr>
            <w:r>
              <w:rPr>
                <w:rFonts w:ascii="仿宋_GB2312" w:hAnsi="仿宋_GB2312" w:cs="仿宋_GB2312" w:eastAsia="仿宋_GB2312"/>
              </w:rPr>
              <w:t>已标价工程量清单 报价函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详见附件：主材清单表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详见附件：主材清单表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